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PK indices alone are insufficient for our proposed use cases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default primary key indices cover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subject_id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hadm_id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stay_id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itemid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transfer_id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These are sufficient for simple point lookups and direct joins on PKs, but some use cases involve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time-range filtering and multi-column filter conditions on large non-PK columns, meaning indices could significantly improve queries by avoiding full table scans.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same time, we should assume that this is an active clinical setting. While the dataset is in reality a static research dataset, our intent (reflected in our proposed use cases) is for this dataset’s architecture to be an example of a real and active hospital database. Given this context, indices can also easily add to write times.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emar(hadm_id, event_txt)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— Composite, for Use Case 1. Note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hadm_id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FK, so is not shown in the ER diagram but is a real column in emar during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Case 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event_txt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groups by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hadm_id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Without an index, the query scans all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composite index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(hadm_id, event_txt)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the planner to seek to a specific admission's records and immediately filter on status, avoiding a full scan.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impact: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Cases 2-4 do not 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neutral.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emar write frequency is generally controlled (medications are administered on discrete schedules). On the read side, Use Case 1 (medication safety) is a high-frequency read because nurses and pharmacists actively monitor medication administration records throughout every shift. Given the ratio is not clearly dominated by writes, and the safety-critical use case on the read side, the write overhead is justified.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PK Indices That Do Suffice:</w:t>
      </w:r>
    </w:p>
    <w:p w:rsidR="00000000" w:rsidDel="00000000" w:rsidP="00000000" w:rsidRDefault="00000000" w:rsidRPr="00000000" w14:paraId="0000000C">
      <w:pPr>
        <w:spacing w:after="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Use Cases 3 and 4, the joins are primarily PK-to-FK: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patients.subject_id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admissions.subject_id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(PK index covers this)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admissions.hadm_id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icustays.hadm_id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transfers.hadm_id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services.hadm_id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these are direct key lookups on relatively small-to-medium tables, the default PK indices are sufficient for the join steps. The remaining filters (e.g., grouping by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careunit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operate on already-small result sets after the join, so additional indices on those columns provide diminishing returns.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NoSQL Schema Performance Improvement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modification: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pre-computed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dose_mismatch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emar_detail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computed once at write time and never updated.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nurse records a medication administration, both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dose_due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dose_given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available at that exact moment. The flag can be computed and stored in the same write operation, adding no extra trips to the database.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Modified Schema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"emar_detail"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    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"dose_due"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"0.25"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"dose_due_unit"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"mg"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"dose_given"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"0.25"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"dose_given_unit"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"mg"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"route"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"IV"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"infusion_rate"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"10"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"infusion_rate_unit"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"mL/hr"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"complete_dose_not_given"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be963"/>
          <w:sz w:val="24"/>
          <w:szCs w:val="24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47b85"/>
          <w:sz w:val="24"/>
          <w:szCs w:val="24"/>
          <w:rtl w:val="0"/>
        </w:rPr>
        <w:t xml:space="preserve">        "dose_mismatch"</w:t>
      </w:r>
      <w:r w:rsidDel="00000000" w:rsidR="00000000" w:rsidRPr="00000000">
        <w:rPr>
          <w:rFonts w:ascii="Times New Roman" w:cs="Times New Roman" w:eastAsia="Times New Roman" w:hAnsi="Times New Roman"/>
          <w:color w:val="eaecf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eeded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   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3d7de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helps Use Case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the flag, detecting dose mismatches requires scanning all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emar_detail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subdocuments and performing arithmetic comparisons between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dose_due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dose_given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read time, for every administration record across every patient. With the flag, the query filters directly on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dose_mismatch: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no arithmetic. In a document database this also enables a sparse index on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dose_mismatch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only indexes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 and returns flagged records immediately without touching the full document array.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impact in other aspects: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 2-4: Do not use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, and a properly written query would project it out → neutral.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Continued performance improvement: Yes, unconditionally for Use Case 1, as the flag’s value does not degrade over time because underlying administration records are immutable.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cost: Minimal, as it is computed and stored in the same write operation as when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dose_given is updated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well as justified given the high read frequency and safety-critical nature.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enry Shi" w:id="0" w:date="2026-06-02T09:14:37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is quite important. The idea that we are treating this as an active clinical dataset should probably be mentioned really early on in the presentation, not necessarily here.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