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color w:val="102C57"/>
          <w:sz w:val="34"/>
        </w:rPr>
        <w:t>Tự Động Hóa Sinh và Đánh Giá Trò Chơi Giáo Dục Tương Tác Văn Bản Tiếng Việt Sử Dụng Mô Hình Ngôn Ngữ Lớn và Ngôn Ngữ Kịch Bản Ink</w:t>
      </w:r>
    </w:p>
    <w:p>
      <w:pPr>
        <w:spacing w:after="60"/>
        <w:jc w:val="center"/>
      </w:pPr>
      <w:r>
        <w:rPr>
          <w:rFonts w:ascii="Times New Roman" w:hAnsi="Times New Roman"/>
          <w:b/>
          <w:sz w:val="23"/>
        </w:rPr>
        <w:t>Nguyễn Hoàng Hải, Đồng Ngọc Thiện</w:t>
      </w:r>
    </w:p>
    <w:p>
      <w:pPr>
        <w:spacing w:after="320"/>
        <w:jc w:val="center"/>
      </w:pPr>
      <w:r>
        <w:rPr>
          <w:rFonts w:ascii="Times New Roman" w:hAnsi="Times New Roman"/>
          <w:i/>
          <w:color w:val="464646"/>
          <w:sz w:val="19"/>
        </w:rPr>
        <w:t>Khoa Công nghệ Thông tin và Đa phương tiện, Học viện Công nghệ Bưu chính Viễn thông</w:t>
        <w:br/>
        <w:t>Thư điện tử liên hệ: nghoanghaihn@gmail.com, dongocthien1411@gmail.com</w:t>
      </w:r>
    </w:p>
    <w:p>
      <w:pPr>
        <w:spacing w:after="240"/>
        <w:jc w:val="center"/>
      </w:pPr>
      <w:r>
        <w:rPr>
          <w:color w:val="BEBEBE"/>
        </w:rPr>
        <w:t>————————————————————————————————————————</w:t>
      </w:r>
    </w:p>
    <w:p>
      <w:pPr>
        <w:spacing w:after="120"/>
        <w:ind w:left="504" w:right="504"/>
        <w:jc w:val="both"/>
      </w:pPr>
      <w:r>
        <w:rPr>
          <w:rFonts w:ascii="Times New Roman" w:hAnsi="Times New Roman"/>
          <w:b/>
          <w:sz w:val="20"/>
        </w:rPr>
        <w:t>Tóm tắt—</w:t>
      </w:r>
      <w:r>
        <w:rPr>
          <w:rFonts w:ascii="Times New Roman" w:hAnsi="Times New Roman"/>
          <w:i/>
          <w:sz w:val="20"/>
        </w:rPr>
        <w:t>Việc thiết kế và phát triển trò chơi nghiêm túc phục vụ giáo dục thường đòi hỏi chi phí sản xuất cao và kỹ năng lập trình chuyên sâu, tạo nên rào cản kỹ thuật đáng kể đối với phần lớn nhà sư phạm. Nghiên cứu này trình bày việc mở rộng và bản địa hóa khung hệ thống SINE nhằm tự động hóa hoàn toàn quy trình chuyển đổi các bộ đề thi trắc nghiệm tĩnh sang trò chơi tương tác văn bản bằng tiếng Việt. Hệ thống tích hợp mô hình ngôn ngữ lớn nguồn mở Qwen 2.5 cùng ngôn ngữ kịch bản chuyên dụng Ink. Nghiên cứu đóng góp cơ chế trích xuất đề thi đa thể thức từ tài liệu sẵn có, quy trình xác thực định lượng tự động ba tiêu chí về tính biên dịch, khả năng chơi toàn vẹn và độ trung thực học thuật, kết hợp tác tử tự sửa lỗi. Đặc biệt, chúng tôi đề xuất giải pháp cải tiến cấu trúc lựa chọn vĩnh viễn trong kịch bản Ink, khắc phục triệt để hiện tượng cạn kiệt nhánh trạng thái khi người học thao tác sai nhiều lần. Thực nghiệm trên các bộ đề thi môn Toán học và Khoa học Xã hội cho thấy hệ thống đạt tỷ lệ thành công tuyệt đối sau tối đa hai lượt điều chỉnh, khẳng định tiềm năng ứng dụng trí tuệ nhân tạo tạo sinh vào công nghệ giáo dục hiện đại.</w:t>
      </w:r>
    </w:p>
    <w:p>
      <w:pPr>
        <w:spacing w:after="280"/>
        <w:ind w:left="504" w:right="504"/>
        <w:jc w:val="both"/>
      </w:pPr>
      <w:r>
        <w:rPr>
          <w:rFonts w:ascii="Times New Roman" w:hAnsi="Times New Roman"/>
          <w:b/>
          <w:sz w:val="20"/>
        </w:rPr>
        <w:t>Từ khóa—</w:t>
      </w:r>
      <w:r>
        <w:rPr>
          <w:rFonts w:ascii="Times New Roman" w:hAnsi="Times New Roman"/>
          <w:sz w:val="20"/>
        </w:rPr>
        <w:t>Trò chơi nghiêm túc, kịch bản tương tác văn bản, mô hình ngôn ngữ lớn, hệ thống SINE, ngôn ngữ Ink, công nghệ giáo dục.</w:t>
      </w:r>
    </w:p>
    <w:p>
      <w:pPr>
        <w:keepNext/>
        <w:spacing w:before="280" w:after="80"/>
      </w:pPr>
      <w:r>
        <w:rPr>
          <w:rFonts w:ascii="Times New Roman" w:hAnsi="Times New Roman"/>
          <w:b/>
          <w:color w:val="102C57"/>
          <w:sz w:val="23"/>
        </w:rPr>
        <w:t>I. MỞ ĐẦU</w:t>
      </w:r>
    </w:p>
    <w:p>
      <w:pPr>
        <w:spacing w:after="100" w:line="276" w:lineRule="auto"/>
        <w:jc w:val="both"/>
      </w:pPr>
      <w:r>
        <w:rPr>
          <w:rFonts w:ascii="Times New Roman" w:hAnsi="Times New Roman"/>
          <w:sz w:val="20"/>
        </w:rPr>
        <w:t>Trò chơi nghiêm túc được định nghĩa là các hệ thống trò chơi kỹ thuật số được xây dựng nhằm hướng tới mục tiêu giáo dục, huấn luyện hoặc đánh giá năng lực người học thay vì thuần túy giải trí (theo Rogosch và Schrader, 2026). Nhiều nghiên cứu sư phạm thực nghiệm của Connolly và các cộng sự (2012) đã khẳng định rằng hình thức học tập dựa trên trò chơi giúp gia tăng đáng kể mức độ gắn kết, khơi gợi động lực khám phá và hỗ trợ người học ghi nhớ kiến thức tốt hơn thông qua cơ chế phản hồi theo thời gian thực. Mặc dù sở hữu tiềm năng to lớn, việc áp dụng rộng rãi trò chơi nghiêm túc vào các trường học vẫn đối mặt với nút thắt tác giả: phần lớn giáo viên có năng lực sư phạm xuất sắc nhưng lại thiếu kỹ năng lập trình và thiết kế trò chơi chuyên nghiệp (Horn và Göbel, 2025). Để chuyển hóa một ngân hàng câu hỏi kiến thức thành trò chơi, các nhà giáo dục buộc phải phụ thuộc vào các đội ngũ kỹ thuật bên ngoài, dẫn tới thời gian triển khai kéo dài và chi phí tốn kém.</w:t>
      </w:r>
    </w:p>
    <w:p>
      <w:pPr>
        <w:spacing w:after="100" w:line="276" w:lineRule="auto"/>
        <w:jc w:val="both"/>
      </w:pPr>
      <w:r>
        <w:rPr>
          <w:rFonts w:ascii="Times New Roman" w:hAnsi="Times New Roman"/>
          <w:sz w:val="20"/>
        </w:rPr>
        <w:t>Sự bùng nổ của trí tuệ nhân tạo tạo sinh, đặc biệt là các mô hình ngôn ngữ lớn, đã mở ra cơ hội tự động hóa toàn diện quá trình sáng tạo nội dung và kiến trúc trò chơi (Gallotta và cộng sự, 2024). Thông qua khả năng thấu hiểu và sinh ngôn ngữ tự nhiên, mô hình có thể đảm nhận vai trò thiết kế bối cảnh, kết nối cốt truyện và phân nhánh hành vi. Tuy nhiên, khi ứng dụng mô hình ngôn ngữ lớn vào việc sinh mã kịch bản thực thi, hai rào cản kỹ thuật cốt lõi thường xuất hiện: hiện tượng ảo giác làm sai lệch nội dung tri thức gốc của giáo viên, và lỗi cú pháp hoặc đứt gãy nhánh logic khiến trò chơi rơi vào trạng thái bế tắc (Zhou và cộng sự, 2025).</w:t>
      </w:r>
    </w:p>
    <w:p>
      <w:pPr>
        <w:spacing w:after="100" w:line="276" w:lineRule="auto"/>
        <w:jc w:val="both"/>
      </w:pPr>
      <w:r>
        <w:rPr>
          <w:rFonts w:ascii="Times New Roman" w:hAnsi="Times New Roman"/>
          <w:sz w:val="20"/>
        </w:rPr>
        <w:t>Nhằm vượt qua các rào cản trên, nghiên cứu này phát triển và hoàn thiện hệ thống SINE-VN, kế thừa nguyên lý của khung Serious Interactive Narrative Engine từ các công trình nghiên cứu đi trước và mở rộng cho ngôn ngữ tiếng Việt. Bài báo đóng góp bốn nội dung chính. Thứ nhất, bản địa hóa hoàn chỉnh quy trình sinh kịch bản tiếng Việt có dấu với cấu trúc ngữ nghĩa tự nhiên. Thứ hai, phát hiện và đề xuất giải pháp thay thế toán tử lựa chọn tiêu hao bằng lựa chọn vĩnh viễn trong ngôn ngữ Ink, triệt tiêu hoàn toàn lỗi đứt nhánh khi người học trả lời sai liên tiếp. Thứ ba, tích hợp công cụ tự động trích xuất ngân hàng câu hỏi từ tài liệu thực tế của giáo viên. Thứ tư, hoàn thiện giải pháp đóng gói xuất bản ứng dụng nền web độc lập, cho phép người học trải nghiệm trực tiếp trên trình duyệt mà không cần cài đặt môi trường kỹ thuật phức tạp.</w:t>
      </w:r>
    </w:p>
    <w:p>
      <w:pPr>
        <w:keepNext/>
        <w:spacing w:before="280" w:after="80"/>
      </w:pPr>
      <w:r>
        <w:rPr>
          <w:rFonts w:ascii="Times New Roman" w:hAnsi="Times New Roman"/>
          <w:b/>
          <w:color w:val="102C57"/>
          <w:sz w:val="23"/>
        </w:rPr>
        <w:t>II. TỔNG QUAN NGHIÊN CỨU VÀ CƠ SỞ LÝ THUYẾT</w:t>
      </w:r>
    </w:p>
    <w:p>
      <w:pPr>
        <w:keepNext/>
        <w:spacing w:before="160" w:after="60"/>
      </w:pPr>
      <w:r>
        <w:rPr>
          <w:rFonts w:ascii="Times New Roman" w:hAnsi="Times New Roman"/>
          <w:b/>
          <w:color w:val="282828"/>
          <w:sz w:val="21"/>
        </w:rPr>
        <w:t>A. Trò Chơi Tương Tác Văn Bản Giáo Dục và Ngôn Ngữ Ink</w:t>
      </w:r>
    </w:p>
    <w:p>
      <w:pPr>
        <w:spacing w:after="100" w:line="276" w:lineRule="auto"/>
        <w:jc w:val="both"/>
      </w:pPr>
      <w:r>
        <w:rPr>
          <w:rFonts w:ascii="Times New Roman" w:hAnsi="Times New Roman"/>
          <w:sz w:val="20"/>
        </w:rPr>
        <w:t>Trò chơi tương tác văn bản là thể loại mà ở đó thế giới ảo, nhân vật và sự kiện được khắc họa hoàn toàn qua ngôn từ, còn người chơi tương tác bằng cách lựa chọn các hướng đi do hệ thống đề xuất (Riedl và Bulitko, 2013). Đối với các hệ thống trí tuệ nhân tạo, đây là môi trường thử nghiệm lý tưởng bởi toàn bộ trạng thái thế giới được trừu tượng hóa bằng văn bản, giúp tập trung tối đa vào cấu trúc dẫn dắt và kiểm tra năng lực tư duy mà không tốn tài nguyên dựng hình đồ họa (Rogosch và Schrader, 2026).</w:t>
      </w:r>
    </w:p>
    <w:p>
      <w:pPr>
        <w:spacing w:after="100" w:line="276" w:lineRule="auto"/>
        <w:jc w:val="both"/>
      </w:pPr>
      <w:r>
        <w:rPr>
          <w:rFonts w:ascii="Times New Roman" w:hAnsi="Times New Roman"/>
          <w:sz w:val="20"/>
        </w:rPr>
        <w:t>Ngôn ngữ Ink do Inkle Studios phát triển là một trong những ngôn ngữ kịch bản chuyên dụng phổ biến nhất hiện nay cho thể loại phân nhánh (Inkle Studios, 2025). Ngôn ngữ này tổ chức câu chuyện thành các phân đoạn gọi là nút thắt kịch bản, sử dụng các câu lệnh chuyển hướng để điều hướng mạch truyện và định nghĩa các ngã rẽ tương tác cho người chơi. Hai cú pháp tương tác cơ bản của Ink gồm lựa chọn tiêu hao, ký hiệu bằng dấu sao, và lựa chọn vĩnh viễn, ký hiệu bằng dấu cộng. Sự khác biệt về mặt kỹ thuật giữa hai toán tử này đóng vai trò quyết định đến tính bền vững của các vòng lặp học tập trong trò chơi.</w:t>
      </w:r>
    </w:p>
    <w:p>
      <w:pPr>
        <w:keepNext/>
        <w:spacing w:before="160" w:after="60"/>
      </w:pPr>
      <w:r>
        <w:rPr>
          <w:rFonts w:ascii="Times New Roman" w:hAnsi="Times New Roman"/>
          <w:b/>
          <w:color w:val="282828"/>
          <w:sz w:val="21"/>
        </w:rPr>
        <w:t>B. Ứng Dụng Mô Hình Ngôn Ngữ Lớn trong Phát Triển Trò Chơi</w:t>
      </w:r>
    </w:p>
    <w:p>
      <w:pPr>
        <w:spacing w:after="100" w:line="276" w:lineRule="auto"/>
        <w:jc w:val="both"/>
      </w:pPr>
      <w:r>
        <w:rPr>
          <w:rFonts w:ascii="Times New Roman" w:hAnsi="Times New Roman"/>
          <w:sz w:val="20"/>
        </w:rPr>
        <w:t>Nghiên cứu tổng quan của Gallotta và các cộng sự (2024) đã chỉ ra rằng các mô hình ngôn ngữ lớn đang chuyển dịch mạnh mẽ từ vai trò hỗ trợ viết hội thoại sang vai trò đồng thiết kế luật chơi và cốt truyện. Zhou cùng nhóm tác giả đã đề xuất hệ thống STORY2GAME (2025), sử dụng mô hình ngôn ngữ để sinh thế giới và sinh mã hành động tương ứng từ câu chuyện; tuy nhiên hệ thống này chỉ tập trung vào game phiêu lưu giải trí thuần túy mà chưa gắn kết với mục tiêu sư phạm. Tanaka và Simo-Serra (2024) tiếp cận theo hướng áp dụng bộ lọc ngữ pháp để kiểm soát đầu ra của mô hình, giúp tăng đáng kể tỷ lệ phân tích cú pháp nhưng chưa bảo đảm được tính đúng đắn về mặt ngữ nghĩa và tham chiếu logic.</w:t>
      </w:r>
    </w:p>
    <w:p>
      <w:pPr>
        <w:keepNext/>
        <w:spacing w:before="160" w:after="60"/>
      </w:pPr>
      <w:r>
        <w:rPr>
          <w:rFonts w:ascii="Times New Roman" w:hAnsi="Times New Roman"/>
          <w:b/>
          <w:color w:val="282828"/>
          <w:sz w:val="21"/>
        </w:rPr>
        <w:t>C. Hệ Thống SINE và Những Vấn Đề Thực Tiễn</w:t>
      </w:r>
    </w:p>
    <w:p>
      <w:pPr>
        <w:spacing w:after="100" w:line="276" w:lineRule="auto"/>
        <w:jc w:val="both"/>
      </w:pPr>
      <w:r>
        <w:rPr>
          <w:rFonts w:ascii="Times New Roman" w:hAnsi="Times New Roman"/>
          <w:sz w:val="20"/>
        </w:rPr>
        <w:t>Hệ thống SINE do Rogosch và Schrader công bố năm 2026 đã thiết lập một quy trình chuẩn mực gồm bốn giai đoạn: tiếp nhận dữ liệu hạt giống có cấu trúc, sinh kịch bản qua mô hình ngôn ngữ, xác thực tất định và tự sửa lỗi bằng tác tử. Mặc dù đạt kết quả khả quan trên tập dữ liệu tiếng Anh, hệ thống bộc lộ những điểm nghẽn khi triển khai tại môi trường giáo dục Việt Nam: chưa tối ưu hóa cho bảng mã tiếng Việt có dấu, dễ phát sinh lỗi ngõ cụt khi học sinh thực hiện thử lại câu hỏi, và đòi hỏi người dùng phải tự soạn thảo tệp hạt giống theo cấu trúc kỹ thuật thay vì tiếp nhận trực tiếp từ giáo án sẵn có.</w:t>
      </w:r>
    </w:p>
    <w:p>
      <w:pPr>
        <w:keepNext/>
        <w:spacing w:before="280" w:after="80"/>
      </w:pPr>
      <w:r>
        <w:rPr>
          <w:rFonts w:ascii="Times New Roman" w:hAnsi="Times New Roman"/>
          <w:b/>
          <w:color w:val="102C57"/>
          <w:sz w:val="23"/>
        </w:rPr>
        <w:t>III. KIẾN TRÚC HỆ THỐNG ĐỀ XUẤT</w:t>
      </w:r>
    </w:p>
    <w:p>
      <w:pPr>
        <w:spacing w:after="100" w:line="276" w:lineRule="auto"/>
        <w:jc w:val="both"/>
      </w:pPr>
      <w:r>
        <w:rPr>
          <w:rFonts w:ascii="Times New Roman" w:hAnsi="Times New Roman"/>
          <w:sz w:val="20"/>
        </w:rPr>
        <w:t>Hệ thống SINE-VN được thiết kế theo mô hình đường ống tự động hóa hoàn chỉnh gồm bốn thành phần liên kết chặt chẽ: Dữ liệu hạt giống cấu trúc, Tác tử sinh kịch bản, Bộ xác thực định lượng tất định và Tác tử sửa lỗi phản hồi.</w:t>
      </w:r>
    </w:p>
    <w:p>
      <w:pPr>
        <w:keepNext/>
        <w:spacing w:before="160" w:after="60"/>
      </w:pPr>
      <w:r>
        <w:rPr>
          <w:rFonts w:ascii="Times New Roman" w:hAnsi="Times New Roman"/>
          <w:b/>
          <w:color w:val="282828"/>
          <w:sz w:val="21"/>
        </w:rPr>
        <w:t>A. Dữ Liệu Hạt Giống Cấu Trúc</w:t>
      </w:r>
    </w:p>
    <w:p>
      <w:pPr>
        <w:spacing w:after="100" w:line="276" w:lineRule="auto"/>
        <w:jc w:val="both"/>
      </w:pPr>
      <w:r>
        <w:rPr>
          <w:rFonts w:ascii="Times New Roman" w:hAnsi="Times New Roman"/>
          <w:sz w:val="20"/>
        </w:rPr>
        <w:t>Dữ liệu hạt giống là tệp cấu trúc đóng vai trò đặc tả sư phạm bất biến của ván chơi. Tệp này chứa danh sách các địa điểm trong không gian cốt truyện và tập hợp các câu hỏi đánh giá tri thức. Mỗi câu hỏi bao gồm phần dẫn đề, danh sách các phương án lựa chọn và chỉ số xác định phương án chính xác. Cấu trúc này giữ vai trò mỏ neo thông tin, ngăn chặn hoàn toàn việc mô hình tự ý thay đổi dữ kiện học tập.</w:t>
      </w:r>
    </w:p>
    <w:p>
      <w:pPr>
        <w:keepNext/>
        <w:spacing w:before="160" w:after="60"/>
      </w:pPr>
      <w:r>
        <w:rPr>
          <w:rFonts w:ascii="Times New Roman" w:hAnsi="Times New Roman"/>
          <w:b/>
          <w:color w:val="282828"/>
          <w:sz w:val="21"/>
        </w:rPr>
        <w:t>B. Tác Tử Sinh Kịch Bản</w:t>
      </w:r>
    </w:p>
    <w:p>
      <w:pPr>
        <w:spacing w:after="100" w:line="276" w:lineRule="auto"/>
        <w:jc w:val="both"/>
      </w:pPr>
      <w:r>
        <w:rPr>
          <w:rFonts w:ascii="Times New Roman" w:hAnsi="Times New Roman"/>
          <w:sz w:val="20"/>
        </w:rPr>
        <w:t>Tác tử sinh kịch bản vận hành dựa trên chiến lược kích thích tư duy lập luận kết hợp ví dụ mẫu. Hệ thống cung cấp một mẫu phân cảnh hoàn chỉnh bằng tiếng Việt và yêu cầu mô hình phải tiến hành phân tích kế hoạch cốt truyện trong phần lập luận trước khi kết xuất mã nguồn. Các chỉ dẫn kỹ thuật ràng buộc mô hình phải bảo tồn nguyên vẹn từng câu chữ của đề thi, áp dụng toán tử lựa chọn vĩnh viễn và xử lý các ký hiệu toán học đặc biệt.</w:t>
      </w:r>
    </w:p>
    <w:p>
      <w:pPr>
        <w:keepNext/>
        <w:spacing w:before="160" w:after="60"/>
      </w:pPr>
      <w:r>
        <w:rPr>
          <w:rFonts w:ascii="Times New Roman" w:hAnsi="Times New Roman"/>
          <w:b/>
          <w:color w:val="282828"/>
          <w:sz w:val="21"/>
        </w:rPr>
        <w:t>C. Bộ Xác Thực Định Lượng Tất Định</w:t>
      </w:r>
    </w:p>
    <w:p>
      <w:pPr>
        <w:spacing w:after="100" w:line="276" w:lineRule="auto"/>
        <w:jc w:val="both"/>
      </w:pPr>
      <w:r>
        <w:rPr>
          <w:rFonts w:ascii="Times New Roman" w:hAnsi="Times New Roman"/>
          <w:sz w:val="20"/>
        </w:rPr>
        <w:t>Nhằm bảo đảm tính khách quan, hệ thống loại bỏ hoàn toàn việc đánh giá thủ công và lượng hóa chất lượng trò chơi thông qua hàm mục tiêu nhị phân S, được xác định bằng tích logic của ba tiêu chí thành phần: S = C · P · Q. Trò chơi chỉ được công nhận thành công khi giá trị S bằng 1, tương ứng với việc thỏa mãn đồng thời ba điều kiện sau:</w:t>
      </w:r>
    </w:p>
    <w:p>
      <w:pPr>
        <w:spacing w:after="100" w:line="276" w:lineRule="auto"/>
        <w:jc w:val="both"/>
      </w:pPr>
      <w:r>
        <w:rPr>
          <w:rFonts w:ascii="Times New Roman" w:hAnsi="Times New Roman"/>
          <w:sz w:val="20"/>
        </w:rPr>
        <w:t>Thứ nhất là tiêu chí biên dịch C: Kịch bản được kiểm tra cú pháp trực tiếp thông qua trình biên dịch inklecate. Giá trị C nhận giá trị 1 khi tiến trình hoàn tất thành công không có cảnh báo lỗi và nhận giá trị 0 trong mọi trường hợp phát sinh lỗi cú pháp.</w:t>
      </w:r>
    </w:p>
    <w:p>
      <w:pPr>
        <w:spacing w:after="100" w:line="276" w:lineRule="auto"/>
        <w:jc w:val="both"/>
      </w:pPr>
      <w:r>
        <w:rPr>
          <w:rFonts w:ascii="Times New Roman" w:hAnsi="Times New Roman"/>
          <w:sz w:val="20"/>
        </w:rPr>
        <w:t>Thứ hai là tiêu chí khả năng chơi P: Hệ thống mô hình hóa kịch bản thành một đồ thị có hướng với các đỉnh là các phân cảnh và các cạnh là lệnh chuyển hướng. Thuật toán tìm kiếm theo chiều rộng duyệt đồ thị từ điểm xuất phát. Tiêu chí P nhận giá trị 1 khi và chỉ khi tồn tại ít nhất một đường đi hợp lệ dẫn tới điểm kết thúc của trò chơi, bảo đảm người chơi không bị mắc kẹt tại bất kỳ nhánh rẽ nào.</w:t>
      </w:r>
    </w:p>
    <w:p>
      <w:pPr>
        <w:spacing w:after="100" w:line="276" w:lineRule="auto"/>
        <w:jc w:val="both"/>
      </w:pPr>
      <w:r>
        <w:rPr>
          <w:rFonts w:ascii="Times New Roman" w:hAnsi="Times New Roman"/>
          <w:sz w:val="20"/>
        </w:rPr>
        <w:t>Thứ ba là tiêu chí độ trung thực học thuật Q: Toàn bộ văn bản của kịch bản và dữ liệu gốc được chuẩn hóa về cùng định dạng chữ thường và bảng mã Unicode dựng sẵn. Tiêu chí Q nhận giá trị 1 khi và chỉ khi toàn bộ nội dung câu hỏi và từng phương án trả lời trong dữ liệu hạt giống đều xuất hiện nguyên vẹn trong kịch bản mà không bị lược bỏ hay biến tướng.</w:t>
      </w:r>
    </w:p>
    <w:p>
      <w:pPr>
        <w:keepNext/>
        <w:spacing w:before="160" w:after="60"/>
      </w:pPr>
      <w:r>
        <w:rPr>
          <w:rFonts w:ascii="Times New Roman" w:hAnsi="Times New Roman"/>
          <w:b/>
          <w:color w:val="282828"/>
          <w:sz w:val="21"/>
        </w:rPr>
        <w:t>D. Tác Tử Sửa Lỗi Phản Hồi</w:t>
      </w:r>
    </w:p>
    <w:p>
      <w:pPr>
        <w:spacing w:after="100" w:line="276" w:lineRule="auto"/>
        <w:jc w:val="both"/>
      </w:pPr>
      <w:r>
        <w:rPr>
          <w:rFonts w:ascii="Times New Roman" w:hAnsi="Times New Roman"/>
          <w:sz w:val="20"/>
        </w:rPr>
        <w:t>Trong trường hợp hàm mục tiêu chưa đạt giá trị tối ưu, bộ xác thực sẽ tự động tổng hợp nhật ký lỗi chi tiết ghi nhận vị trí dòng sai cú pháp hoặc các câu hỏi bị thiếu hụt. Tác tử sửa lỗi tiếp nhận dữ liệu hạt giống gốc, phiên bản kịch bản hiện tại và nhật ký lỗi để thực hiện điều chỉnh cục bộ. Tiến trình sửa lỗi được khống chế tối đa ba lượt nhằm bảo đảm tính hiệu quả về mặt thời gian và tài nguyên xử lý.</w:t>
      </w:r>
    </w:p>
    <w:p>
      <w:pPr>
        <w:keepNext/>
        <w:spacing w:before="280" w:after="80"/>
      </w:pPr>
      <w:r>
        <w:rPr>
          <w:rFonts w:ascii="Times New Roman" w:hAnsi="Times New Roman"/>
          <w:b/>
          <w:color w:val="102C57"/>
          <w:sz w:val="23"/>
        </w:rPr>
        <w:t>IV. CÁC CẢI TIẾN KỸ THUẬT VÀ BẢN ĐỊA HÓA</w:t>
      </w:r>
    </w:p>
    <w:p>
      <w:pPr>
        <w:keepNext/>
        <w:spacing w:before="160" w:after="60"/>
      </w:pPr>
      <w:r>
        <w:rPr>
          <w:rFonts w:ascii="Times New Roman" w:hAnsi="Times New Roman"/>
          <w:b/>
          <w:color w:val="282828"/>
          <w:sz w:val="21"/>
        </w:rPr>
        <w:t>A. Khắc Phục Hiện Tượng Cạn Kiệt Nhánh Trạng Thái</w:t>
      </w:r>
    </w:p>
    <w:p>
      <w:pPr>
        <w:spacing w:after="100" w:line="276" w:lineRule="auto"/>
        <w:jc w:val="both"/>
      </w:pPr>
      <w:r>
        <w:rPr>
          <w:rFonts w:ascii="Times New Roman" w:hAnsi="Times New Roman"/>
          <w:sz w:val="20"/>
        </w:rPr>
        <w:t>Trong các nghiên cứu trước đây về kịch bản Ink, việc sử dụng cú pháp dấu sao cho các phương án lựa chọn dẫn tới một lỗ hổng logic nghiêm trọng. Ngôn ngữ Ink mặc định rằng lựa chọn gắn dấu sao sẽ bị tiêu hủy sau một lần tương tác. Khi học sinh trả lời sai và được chuyển tới phân cảnh thông báo lỗi rồi quay lại làm lại câu hỏi, phương án đã chọn trước đó sẽ biến mất. Nếu học sinh tiếp tục chọn sai, toàn bộ các phương án sẽ bị xóa sạch, đẩy phân cảnh vào trạng thái cụt nhánh và khiến thuật toán duyệt đồ thị ghi nhận thất bại.</w:t>
      </w:r>
    </w:p>
    <w:p>
      <w:pPr>
        <w:spacing w:after="100" w:line="276" w:lineRule="auto"/>
        <w:jc w:val="both"/>
      </w:pPr>
      <w:r>
        <w:rPr>
          <w:rFonts w:ascii="Times New Roman" w:hAnsi="Times New Roman"/>
          <w:sz w:val="20"/>
        </w:rPr>
        <w:t>Để xử lý triệt để vấn đề này, chúng tôi đề xuất quy chuẩn hóa toàn bộ các nhánh tương tác sư phạm sang cú pháp dấu cộng. Dưới đây là đối sánh cấu trúc kịch bản giữa hai phương thức tiếp cận:</w:t>
      </w:r>
    </w:p>
    <w:p>
      <w:pPr>
        <w:spacing w:before="60" w:after="100"/>
        <w:ind w:left="432" w:right="432"/>
        <w:jc w:val="left"/>
      </w:pPr>
      <w:r>
        <w:rPr>
          <w:rFonts w:ascii="Consolas" w:hAnsi="Consolas"/>
          <w:color w:val="282828"/>
          <w:sz w:val="18"/>
        </w:rPr>
        <w:t>Phương thức cũ (Lựa chọn tiêu hao gây đứt mạch):</w:t>
        <w:br/>
        <w:t>=== phan_canh_cau_hoi ===</w:t>
        <w:br/>
        <w:t>Noi dung cau hoi kiem tra?</w:t>
        <w:br/>
        <w:t>* [Phuong an sai A] -&gt; phan_canh_that_bai</w:t>
        <w:br/>
        <w:t>* [Phuong an dung B] -&gt; phan_canh_thanh_cong</w:t>
        <w:br/>
        <w:br/>
        <w:t>=== phan_canh_that_bai ===</w:t>
        <w:br/>
        <w:t>Ket qua chua chinh xac!</w:t>
        <w:br/>
        <w:t>* [Thu lai cau hoi nay] -&gt; phan_canh_cau_hoi</w:t>
        <w:br/>
        <w:br/>
        <w:t>Phuong thức cải tiến SINE-VN (Lựa chọn vĩnh viễn):</w:t>
        <w:br/>
        <w:t>=== phan_canh_cau_hoi ===</w:t>
        <w:br/>
        <w:t>Noi dung cau hoi kiem tra?</w:t>
        <w:br/>
        <w:t>+ [Phuong an sai A] -&gt; phan_canh_that_bai</w:t>
        <w:br/>
        <w:t>+ [Phuong an dung B] -&gt; phan_canh_thanh_cong</w:t>
        <w:br/>
        <w:br/>
        <w:t>=== phan_canh_that_bai ===</w:t>
        <w:br/>
        <w:t>Ket qua chua chinh xac!</w:t>
        <w:br/>
        <w:t>+ [Thu lai cau hoi nay] -&gt; phan_canh_cau_hoi</w:t>
      </w:r>
    </w:p>
    <w:p>
      <w:pPr>
        <w:spacing w:after="100" w:line="276" w:lineRule="auto"/>
        <w:jc w:val="both"/>
      </w:pPr>
      <w:r>
        <w:rPr>
          <w:rFonts w:ascii="Times New Roman" w:hAnsi="Times New Roman"/>
          <w:sz w:val="20"/>
        </w:rPr>
        <w:t>Cú pháp dấu cộng bảo đảm các phương án lựa chọn luôn luôn được hiển thị lại sau mỗi lần truy cập, tạo nên một chu trình học tập thử và sai hoàn toàn bền vững, giúp thuật toán kiểm tra đường đi luôn xác nhận được khả năng hoàn thành trò chơi.</w:t>
      </w:r>
    </w:p>
    <w:p>
      <w:pPr>
        <w:keepNext/>
        <w:spacing w:before="160" w:after="60"/>
      </w:pPr>
      <w:r>
        <w:rPr>
          <w:rFonts w:ascii="Times New Roman" w:hAnsi="Times New Roman"/>
          <w:b/>
          <w:color w:val="282828"/>
          <w:sz w:val="21"/>
        </w:rPr>
        <w:t>B. Tương Thích Ký Tự Công Thức Toán Học</w:t>
      </w:r>
    </w:p>
    <w:p>
      <w:pPr>
        <w:spacing w:after="100" w:line="276" w:lineRule="auto"/>
        <w:jc w:val="both"/>
      </w:pPr>
      <w:r>
        <w:rPr>
          <w:rFonts w:ascii="Times New Roman" w:hAnsi="Times New Roman"/>
          <w:sz w:val="20"/>
        </w:rPr>
        <w:t>Trong các bộ đề thi môn khoa học tự nhiên, công thức toán học thường chứa các cặp dấu ngoặc nhọn. Trong ngôn ngữ Ink, dấu ngoặc nhọn được định nghĩa là cú pháp thực thi biến số và mã lệnh logic. Nếu đưa nguyên văn công thức vào văn bản, trình biên dịch sẽ báo lỗi không tương thích. Hệ thống SINE-VN đã xây dựng mô-đun tiền xử lý và cơ chế chỉ dẫn mô hình tự động thêm ký tự gạch chéo ngược để bảo toàn nguyên vẹn công thức mà không gây xung đột cú pháp kịch bản.</w:t>
      </w:r>
    </w:p>
    <w:p>
      <w:pPr>
        <w:keepNext/>
        <w:spacing w:before="160" w:after="60"/>
      </w:pPr>
      <w:r>
        <w:rPr>
          <w:rFonts w:ascii="Times New Roman" w:hAnsi="Times New Roman"/>
          <w:b/>
          <w:color w:val="282828"/>
          <w:sz w:val="21"/>
        </w:rPr>
        <w:t>C. Đóng Gói Xuất Bản Ứng Dụng Nền Web</w:t>
      </w:r>
    </w:p>
    <w:p>
      <w:pPr>
        <w:spacing w:after="100" w:line="276" w:lineRule="auto"/>
        <w:jc w:val="both"/>
      </w:pPr>
      <w:r>
        <w:rPr>
          <w:rFonts w:ascii="Times New Roman" w:hAnsi="Times New Roman"/>
          <w:sz w:val="20"/>
        </w:rPr>
        <w:t>Nhằm xóa bỏ rào cản kỹ thuật cho người dùng cuối, hệ thống tích hợp mô-đun đóng gói tự động. Sau khi kịch bản vượt qua toàn bộ các bước kiểm tra, hệ thống tự động biên dịch kịch bản sang tệp cấu trúc trung gian, kết hợp cùng giao diện HTML5 và thư viện inkjs để tạo thành một gói sản phẩm hoàn chỉnh có thể vận hành trực tiếp trên trình duyệt máy tính và thiết bị di động.</w:t>
      </w:r>
    </w:p>
    <w:p>
      <w:pPr>
        <w:keepNext/>
        <w:spacing w:before="280" w:after="80"/>
      </w:pPr>
      <w:r>
        <w:rPr>
          <w:rFonts w:ascii="Times New Roman" w:hAnsi="Times New Roman"/>
          <w:b/>
          <w:color w:val="102C57"/>
          <w:sz w:val="23"/>
        </w:rPr>
        <w:t>V. THỰC NGHIỆM VÀ KẾT QUẢ ĐÁNH GIÁ</w:t>
      </w:r>
    </w:p>
    <w:p>
      <w:pPr>
        <w:keepNext/>
        <w:spacing w:before="160" w:after="60"/>
      </w:pPr>
      <w:r>
        <w:rPr>
          <w:rFonts w:ascii="Times New Roman" w:hAnsi="Times New Roman"/>
          <w:b/>
          <w:color w:val="282828"/>
          <w:sz w:val="21"/>
        </w:rPr>
        <w:t>A. Thiết Lập Môi Trường Thực Nghiệm</w:t>
      </w:r>
    </w:p>
    <w:p>
      <w:pPr>
        <w:spacing w:after="100" w:line="276" w:lineRule="auto"/>
        <w:jc w:val="both"/>
      </w:pPr>
      <w:r>
        <w:rPr>
          <w:rFonts w:ascii="Times New Roman" w:hAnsi="Times New Roman"/>
          <w:sz w:val="20"/>
        </w:rPr>
        <w:t>Thực nghiệm được triển khai trên môi trường máy tính cá nhân trang bị vi xử lý Intel Core i7, bộ nhớ trong 16 GB, card đồ họa NVIDIA RTX 4060 trên hệ điều hành Windows 11. Mô hình ngôn ngữ sử dụng là Qwen 2.5 phiên bản 7 tỷ tham số lượng tử hóa định dạng GGUF chạy cục bộ cùng phiên bản 14 tỷ tham số qua giao diện lập trình. Ba bộ đề thi thực nghiệm bao gồm lĩnh vực Truyền thông Đa phương tiện, Lịch sử Địa lý 6 và Toán học có công thức phức tạp.</w:t>
      </w:r>
    </w:p>
    <w:p>
      <w:pPr>
        <w:keepNext/>
        <w:spacing w:before="160" w:after="60"/>
      </w:pPr>
      <w:r>
        <w:rPr>
          <w:rFonts w:ascii="Times New Roman" w:hAnsi="Times New Roman"/>
          <w:b/>
          <w:color w:val="282828"/>
          <w:sz w:val="21"/>
        </w:rPr>
        <w:t>B. Kết Quả Định Lượng</w:t>
      </w:r>
    </w:p>
    <w:p>
      <w:pPr>
        <w:spacing w:after="100" w:line="276" w:lineRule="auto"/>
        <w:jc w:val="both"/>
      </w:pPr>
      <w:r>
        <w:rPr>
          <w:rFonts w:ascii="Times New Roman" w:hAnsi="Times New Roman"/>
          <w:sz w:val="20"/>
        </w:rPr>
        <w:t>Bảng 1 thống kê kết quả đánh giá thực nghiệm của hệ thống SINE-VN dựa trên các tiêu chí biên dịch, khả năng chơi, độ trung thực học thuật và thời gian xử lý trung bình.</w:t>
      </w:r>
    </w:p>
    <w:p>
      <w:pPr>
        <w:spacing w:after="60"/>
        <w:jc w:val="center"/>
      </w:pPr>
      <w:r>
        <w:rPr>
          <w:rFonts w:ascii="Times New Roman" w:hAnsi="Times New Roman"/>
          <w:b/>
          <w:sz w:val="19"/>
        </w:rPr>
        <w:t>BẢNG 1. KẾT QUẢ ĐÁNH GIÁ ĐỊNH LƯỢNG TRÊN CÁC TẬP DỮ LIỆU THỰC NGHIỆM</w:t>
      </w:r>
    </w:p>
    <w:tbl>
      <w:tblPr>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tcMar>
              <w:top w:w="50" w:type="dxa"/>
              <w:bottom w:w="50" w:type="dxa"/>
              <w:left w:w="70" w:type="dxa"/>
              <w:right w:w="70" w:type="dxa"/>
            </w:tcMar>
            <w:shd w:fill="EAECEE"/>
          </w:tcPr>
          <w:p>
            <w:pPr>
              <w:spacing w:before="50" w:after="50"/>
              <w:jc w:val="center"/>
            </w:pPr>
            <w:r>
              <w:rPr>
                <w:rFonts w:ascii="Times New Roman" w:hAnsi="Times New Roman"/>
                <w:b/>
                <w:sz w:val="17"/>
              </w:rPr>
              <w:t>Tập Dữ Liệu Thử Nghiệm</w:t>
            </w:r>
          </w:p>
        </w:tc>
        <w:tc>
          <w:tcPr>
            <w:tcW w:type="dxa" w:w="1224"/>
            <w:tcMar>
              <w:top w:w="50" w:type="dxa"/>
              <w:bottom w:w="50" w:type="dxa"/>
              <w:left w:w="70" w:type="dxa"/>
              <w:right w:w="70" w:type="dxa"/>
            </w:tcMar>
            <w:shd w:fill="EAECEE"/>
          </w:tcPr>
          <w:p>
            <w:pPr>
              <w:spacing w:before="50" w:after="50"/>
              <w:jc w:val="center"/>
            </w:pPr>
            <w:r>
              <w:rPr>
                <w:rFonts w:ascii="Times New Roman" w:hAnsi="Times New Roman"/>
                <w:b/>
                <w:sz w:val="17"/>
              </w:rPr>
              <w:t>Quy Mô Đề</w:t>
            </w:r>
          </w:p>
        </w:tc>
        <w:tc>
          <w:tcPr>
            <w:tcW w:type="dxa" w:w="1224"/>
            <w:tcMar>
              <w:top w:w="50" w:type="dxa"/>
              <w:bottom w:w="50" w:type="dxa"/>
              <w:left w:w="70" w:type="dxa"/>
              <w:right w:w="70" w:type="dxa"/>
            </w:tcMar>
            <w:shd w:fill="EAECEE"/>
          </w:tcPr>
          <w:p>
            <w:pPr>
              <w:spacing w:before="50" w:after="50"/>
              <w:jc w:val="center"/>
            </w:pPr>
            <w:r>
              <w:rPr>
                <w:rFonts w:ascii="Times New Roman" w:hAnsi="Times New Roman"/>
                <w:b/>
                <w:sz w:val="17"/>
              </w:rPr>
              <w:t>Biên Dịch (C)</w:t>
            </w:r>
          </w:p>
        </w:tc>
        <w:tc>
          <w:tcPr>
            <w:tcW w:type="dxa" w:w="1224"/>
            <w:tcMar>
              <w:top w:w="50" w:type="dxa"/>
              <w:bottom w:w="50" w:type="dxa"/>
              <w:left w:w="70" w:type="dxa"/>
              <w:right w:w="70" w:type="dxa"/>
            </w:tcMar>
            <w:shd w:fill="EAECEE"/>
          </w:tcPr>
          <w:p>
            <w:pPr>
              <w:spacing w:before="50" w:after="50"/>
              <w:jc w:val="center"/>
            </w:pPr>
            <w:r>
              <w:rPr>
                <w:rFonts w:ascii="Times New Roman" w:hAnsi="Times New Roman"/>
                <w:b/>
                <w:sz w:val="17"/>
              </w:rPr>
              <w:t>Khả Năng Chơi (P)</w:t>
            </w:r>
          </w:p>
        </w:tc>
        <w:tc>
          <w:tcPr>
            <w:tcW w:type="dxa" w:w="1224"/>
            <w:tcMar>
              <w:top w:w="50" w:type="dxa"/>
              <w:bottom w:w="50" w:type="dxa"/>
              <w:left w:w="70" w:type="dxa"/>
              <w:right w:w="70" w:type="dxa"/>
            </w:tcMar>
            <w:shd w:fill="EAECEE"/>
          </w:tcPr>
          <w:p>
            <w:pPr>
              <w:spacing w:before="50" w:after="50"/>
              <w:jc w:val="center"/>
            </w:pPr>
            <w:r>
              <w:rPr>
                <w:rFonts w:ascii="Times New Roman" w:hAnsi="Times New Roman"/>
                <w:b/>
                <w:sz w:val="17"/>
              </w:rPr>
              <w:t>Trung Thực (Q)</w:t>
            </w:r>
          </w:p>
        </w:tc>
        <w:tc>
          <w:tcPr>
            <w:tcW w:type="dxa" w:w="1224"/>
            <w:tcMar>
              <w:top w:w="50" w:type="dxa"/>
              <w:bottom w:w="50" w:type="dxa"/>
              <w:left w:w="70" w:type="dxa"/>
              <w:right w:w="70" w:type="dxa"/>
            </w:tcMar>
            <w:shd w:fill="EAECEE"/>
          </w:tcPr>
          <w:p>
            <w:pPr>
              <w:spacing w:before="50" w:after="50"/>
              <w:jc w:val="center"/>
            </w:pPr>
            <w:r>
              <w:rPr>
                <w:rFonts w:ascii="Times New Roman" w:hAnsi="Times New Roman"/>
                <w:b/>
                <w:sz w:val="17"/>
              </w:rPr>
              <w:t>Thành Công (S)</w:t>
            </w:r>
          </w:p>
        </w:tc>
        <w:tc>
          <w:tcPr>
            <w:tcW w:type="dxa" w:w="1224"/>
            <w:tcMar>
              <w:top w:w="50" w:type="dxa"/>
              <w:bottom w:w="50" w:type="dxa"/>
              <w:left w:w="70" w:type="dxa"/>
              <w:right w:w="70" w:type="dxa"/>
            </w:tcMar>
            <w:shd w:fill="EAECEE"/>
          </w:tcPr>
          <w:p>
            <w:pPr>
              <w:spacing w:before="50" w:after="50"/>
              <w:jc w:val="center"/>
            </w:pPr>
            <w:r>
              <w:rPr>
                <w:rFonts w:ascii="Times New Roman" w:hAnsi="Times New Roman"/>
                <w:b/>
                <w:sz w:val="17"/>
              </w:rPr>
              <w:t>Lượt Sửa TB</w:t>
            </w:r>
          </w:p>
        </w:tc>
        <w:tc>
          <w:tcPr>
            <w:tcW w:type="dxa" w:w="1224"/>
            <w:tcMar>
              <w:top w:w="50" w:type="dxa"/>
              <w:bottom w:w="50" w:type="dxa"/>
              <w:left w:w="70" w:type="dxa"/>
              <w:right w:w="70" w:type="dxa"/>
            </w:tcMar>
            <w:shd w:fill="EAECEE"/>
          </w:tcPr>
          <w:p>
            <w:pPr>
              <w:spacing w:before="50" w:after="50"/>
              <w:jc w:val="center"/>
            </w:pPr>
            <w:r>
              <w:rPr>
                <w:rFonts w:ascii="Times New Roman" w:hAnsi="Times New Roman"/>
                <w:b/>
                <w:sz w:val="17"/>
              </w:rPr>
              <w:t>Thời Gian TB</w:t>
            </w:r>
          </w:p>
        </w:tc>
      </w:tr>
      <w:tr>
        <w:tc>
          <w:tcPr>
            <w:tcW w:type="dxa" w:w="1224"/>
            <w:tcMar>
              <w:top w:w="50" w:type="dxa"/>
              <w:bottom w:w="50" w:type="dxa"/>
              <w:left w:w="70" w:type="dxa"/>
              <w:right w:w="70" w:type="dxa"/>
            </w:tcMar>
          </w:tcPr>
          <w:p>
            <w:pPr>
              <w:spacing w:before="50" w:after="50"/>
              <w:jc w:val="center"/>
            </w:pPr>
            <w:r>
              <w:rPr>
                <w:rFonts w:ascii="Times New Roman" w:hAnsi="Times New Roman"/>
                <w:sz w:val="17"/>
              </w:rPr>
              <w:t>Truyền thông Đa phương tiện</w:t>
            </w:r>
          </w:p>
        </w:tc>
        <w:tc>
          <w:tcPr>
            <w:tcW w:type="dxa" w:w="1224"/>
            <w:tcMar>
              <w:top w:w="50" w:type="dxa"/>
              <w:bottom w:w="50" w:type="dxa"/>
              <w:left w:w="70" w:type="dxa"/>
              <w:right w:w="70" w:type="dxa"/>
            </w:tcMar>
          </w:tcPr>
          <w:p>
            <w:pPr>
              <w:spacing w:before="50" w:after="50"/>
              <w:jc w:val="center"/>
            </w:pPr>
            <w:r>
              <w:rPr>
                <w:rFonts w:ascii="Times New Roman" w:hAnsi="Times New Roman"/>
                <w:sz w:val="17"/>
              </w:rPr>
              <w:t>3 trạm, 2 câu</w:t>
            </w:r>
          </w:p>
        </w:tc>
        <w:tc>
          <w:tcPr>
            <w:tcW w:type="dxa" w:w="1224"/>
            <w:tcMar>
              <w:top w:w="50" w:type="dxa"/>
              <w:bottom w:w="50" w:type="dxa"/>
              <w:left w:w="70" w:type="dxa"/>
              <w:right w:w="70" w:type="dxa"/>
            </w:tcMar>
          </w:tcPr>
          <w:p>
            <w:pPr>
              <w:spacing w:before="50" w:after="50"/>
              <w:jc w:val="center"/>
            </w:pPr>
            <w:r>
              <w:rPr>
                <w:rFonts w:ascii="Times New Roman" w:hAnsi="Times New Roman"/>
                <w:sz w:val="17"/>
              </w:rPr>
              <w:t>100%</w:t>
            </w:r>
          </w:p>
        </w:tc>
        <w:tc>
          <w:tcPr>
            <w:tcW w:type="dxa" w:w="1224"/>
            <w:tcMar>
              <w:top w:w="50" w:type="dxa"/>
              <w:bottom w:w="50" w:type="dxa"/>
              <w:left w:w="70" w:type="dxa"/>
              <w:right w:w="70" w:type="dxa"/>
            </w:tcMar>
          </w:tcPr>
          <w:p>
            <w:pPr>
              <w:spacing w:before="50" w:after="50"/>
              <w:jc w:val="center"/>
            </w:pPr>
            <w:r>
              <w:rPr>
                <w:rFonts w:ascii="Times New Roman" w:hAnsi="Times New Roman"/>
                <w:sz w:val="17"/>
              </w:rPr>
              <w:t>100%</w:t>
            </w:r>
          </w:p>
        </w:tc>
        <w:tc>
          <w:tcPr>
            <w:tcW w:type="dxa" w:w="1224"/>
            <w:tcMar>
              <w:top w:w="50" w:type="dxa"/>
              <w:bottom w:w="50" w:type="dxa"/>
              <w:left w:w="70" w:type="dxa"/>
              <w:right w:w="70" w:type="dxa"/>
            </w:tcMar>
          </w:tcPr>
          <w:p>
            <w:pPr>
              <w:spacing w:before="50" w:after="50"/>
              <w:jc w:val="center"/>
            </w:pPr>
            <w:r>
              <w:rPr>
                <w:rFonts w:ascii="Times New Roman" w:hAnsi="Times New Roman"/>
                <w:sz w:val="17"/>
              </w:rPr>
              <w:t>100%</w:t>
            </w:r>
          </w:p>
        </w:tc>
        <w:tc>
          <w:tcPr>
            <w:tcW w:type="dxa" w:w="1224"/>
            <w:tcMar>
              <w:top w:w="50" w:type="dxa"/>
              <w:bottom w:w="50" w:type="dxa"/>
              <w:left w:w="70" w:type="dxa"/>
              <w:right w:w="70" w:type="dxa"/>
            </w:tcMar>
          </w:tcPr>
          <w:p>
            <w:pPr>
              <w:spacing w:before="50" w:after="50"/>
              <w:jc w:val="center"/>
            </w:pPr>
            <w:r>
              <w:rPr>
                <w:rFonts w:ascii="Times New Roman" w:hAnsi="Times New Roman"/>
                <w:b/>
                <w:sz w:val="17"/>
              </w:rPr>
              <w:t>100%</w:t>
            </w:r>
          </w:p>
        </w:tc>
        <w:tc>
          <w:tcPr>
            <w:tcW w:type="dxa" w:w="1224"/>
            <w:tcMar>
              <w:top w:w="50" w:type="dxa"/>
              <w:bottom w:w="50" w:type="dxa"/>
              <w:left w:w="70" w:type="dxa"/>
              <w:right w:w="70" w:type="dxa"/>
            </w:tcMar>
          </w:tcPr>
          <w:p>
            <w:pPr>
              <w:spacing w:before="50" w:after="50"/>
              <w:jc w:val="center"/>
            </w:pPr>
            <w:r>
              <w:rPr>
                <w:rFonts w:ascii="Times New Roman" w:hAnsi="Times New Roman"/>
                <w:sz w:val="17"/>
              </w:rPr>
              <w:t>1.0 lượt</w:t>
            </w:r>
          </w:p>
        </w:tc>
        <w:tc>
          <w:tcPr>
            <w:tcW w:type="dxa" w:w="1224"/>
            <w:tcMar>
              <w:top w:w="50" w:type="dxa"/>
              <w:bottom w:w="50" w:type="dxa"/>
              <w:left w:w="70" w:type="dxa"/>
              <w:right w:w="70" w:type="dxa"/>
            </w:tcMar>
          </w:tcPr>
          <w:p>
            <w:pPr>
              <w:spacing w:before="50" w:after="50"/>
              <w:jc w:val="center"/>
            </w:pPr>
            <w:r>
              <w:rPr>
                <w:rFonts w:ascii="Times New Roman" w:hAnsi="Times New Roman"/>
                <w:sz w:val="17"/>
              </w:rPr>
              <w:t>75.2 giây</w:t>
            </w:r>
          </w:p>
        </w:tc>
      </w:tr>
      <w:tr>
        <w:tc>
          <w:tcPr>
            <w:tcW w:type="dxa" w:w="1224"/>
            <w:tcMar>
              <w:top w:w="50" w:type="dxa"/>
              <w:bottom w:w="50" w:type="dxa"/>
              <w:left w:w="70" w:type="dxa"/>
              <w:right w:w="70" w:type="dxa"/>
            </w:tcMar>
          </w:tcPr>
          <w:p>
            <w:pPr>
              <w:spacing w:before="50" w:after="50"/>
              <w:jc w:val="center"/>
            </w:pPr>
            <w:r>
              <w:rPr>
                <w:rFonts w:ascii="Times New Roman" w:hAnsi="Times New Roman"/>
                <w:sz w:val="17"/>
              </w:rPr>
              <w:t>Lịch sử và Địa lý 6</w:t>
            </w:r>
          </w:p>
        </w:tc>
        <w:tc>
          <w:tcPr>
            <w:tcW w:type="dxa" w:w="1224"/>
            <w:tcMar>
              <w:top w:w="50" w:type="dxa"/>
              <w:bottom w:w="50" w:type="dxa"/>
              <w:left w:w="70" w:type="dxa"/>
              <w:right w:w="70" w:type="dxa"/>
            </w:tcMar>
          </w:tcPr>
          <w:p>
            <w:pPr>
              <w:spacing w:before="50" w:after="50"/>
              <w:jc w:val="center"/>
            </w:pPr>
            <w:r>
              <w:rPr>
                <w:rFonts w:ascii="Times New Roman" w:hAnsi="Times New Roman"/>
                <w:sz w:val="17"/>
              </w:rPr>
              <w:t>5 trạm, 4 câu</w:t>
            </w:r>
          </w:p>
        </w:tc>
        <w:tc>
          <w:tcPr>
            <w:tcW w:type="dxa" w:w="1224"/>
            <w:tcMar>
              <w:top w:w="50" w:type="dxa"/>
              <w:bottom w:w="50" w:type="dxa"/>
              <w:left w:w="70" w:type="dxa"/>
              <w:right w:w="70" w:type="dxa"/>
            </w:tcMar>
          </w:tcPr>
          <w:p>
            <w:pPr>
              <w:spacing w:before="50" w:after="50"/>
              <w:jc w:val="center"/>
            </w:pPr>
            <w:r>
              <w:rPr>
                <w:rFonts w:ascii="Times New Roman" w:hAnsi="Times New Roman"/>
                <w:sz w:val="17"/>
              </w:rPr>
              <w:t>100%</w:t>
            </w:r>
          </w:p>
        </w:tc>
        <w:tc>
          <w:tcPr>
            <w:tcW w:type="dxa" w:w="1224"/>
            <w:tcMar>
              <w:top w:w="50" w:type="dxa"/>
              <w:bottom w:w="50" w:type="dxa"/>
              <w:left w:w="70" w:type="dxa"/>
              <w:right w:w="70" w:type="dxa"/>
            </w:tcMar>
          </w:tcPr>
          <w:p>
            <w:pPr>
              <w:spacing w:before="50" w:after="50"/>
              <w:jc w:val="center"/>
            </w:pPr>
            <w:r>
              <w:rPr>
                <w:rFonts w:ascii="Times New Roman" w:hAnsi="Times New Roman"/>
                <w:sz w:val="17"/>
              </w:rPr>
              <w:t>100%</w:t>
            </w:r>
          </w:p>
        </w:tc>
        <w:tc>
          <w:tcPr>
            <w:tcW w:type="dxa" w:w="1224"/>
            <w:tcMar>
              <w:top w:w="50" w:type="dxa"/>
              <w:bottom w:w="50" w:type="dxa"/>
              <w:left w:w="70" w:type="dxa"/>
              <w:right w:w="70" w:type="dxa"/>
            </w:tcMar>
          </w:tcPr>
          <w:p>
            <w:pPr>
              <w:spacing w:before="50" w:after="50"/>
              <w:jc w:val="center"/>
            </w:pPr>
            <w:r>
              <w:rPr>
                <w:rFonts w:ascii="Times New Roman" w:hAnsi="Times New Roman"/>
                <w:sz w:val="17"/>
              </w:rPr>
              <w:t>100%</w:t>
            </w:r>
          </w:p>
        </w:tc>
        <w:tc>
          <w:tcPr>
            <w:tcW w:type="dxa" w:w="1224"/>
            <w:tcMar>
              <w:top w:w="50" w:type="dxa"/>
              <w:bottom w:w="50" w:type="dxa"/>
              <w:left w:w="70" w:type="dxa"/>
              <w:right w:w="70" w:type="dxa"/>
            </w:tcMar>
          </w:tcPr>
          <w:p>
            <w:pPr>
              <w:spacing w:before="50" w:after="50"/>
              <w:jc w:val="center"/>
            </w:pPr>
            <w:r>
              <w:rPr>
                <w:rFonts w:ascii="Times New Roman" w:hAnsi="Times New Roman"/>
                <w:b/>
                <w:sz w:val="17"/>
              </w:rPr>
              <w:t>100%</w:t>
            </w:r>
          </w:p>
        </w:tc>
        <w:tc>
          <w:tcPr>
            <w:tcW w:type="dxa" w:w="1224"/>
            <w:tcMar>
              <w:top w:w="50" w:type="dxa"/>
              <w:bottom w:w="50" w:type="dxa"/>
              <w:left w:w="70" w:type="dxa"/>
              <w:right w:w="70" w:type="dxa"/>
            </w:tcMar>
          </w:tcPr>
          <w:p>
            <w:pPr>
              <w:spacing w:before="50" w:after="50"/>
              <w:jc w:val="center"/>
            </w:pPr>
            <w:r>
              <w:rPr>
                <w:rFonts w:ascii="Times New Roman" w:hAnsi="Times New Roman"/>
                <w:sz w:val="17"/>
              </w:rPr>
              <w:t>1.2 lượt</w:t>
            </w:r>
          </w:p>
        </w:tc>
        <w:tc>
          <w:tcPr>
            <w:tcW w:type="dxa" w:w="1224"/>
            <w:tcMar>
              <w:top w:w="50" w:type="dxa"/>
              <w:bottom w:w="50" w:type="dxa"/>
              <w:left w:w="70" w:type="dxa"/>
              <w:right w:w="70" w:type="dxa"/>
            </w:tcMar>
          </w:tcPr>
          <w:p>
            <w:pPr>
              <w:spacing w:before="50" w:after="50"/>
              <w:jc w:val="center"/>
            </w:pPr>
            <w:r>
              <w:rPr>
                <w:rFonts w:ascii="Times New Roman" w:hAnsi="Times New Roman"/>
                <w:sz w:val="17"/>
              </w:rPr>
              <w:t>94.6 giây</w:t>
            </w:r>
          </w:p>
        </w:tc>
      </w:tr>
      <w:tr>
        <w:tc>
          <w:tcPr>
            <w:tcW w:type="dxa" w:w="1224"/>
            <w:tcMar>
              <w:top w:w="50" w:type="dxa"/>
              <w:bottom w:w="50" w:type="dxa"/>
              <w:left w:w="70" w:type="dxa"/>
              <w:right w:w="70" w:type="dxa"/>
            </w:tcMar>
          </w:tcPr>
          <w:p>
            <w:pPr>
              <w:spacing w:before="50" w:after="50"/>
              <w:jc w:val="center"/>
            </w:pPr>
            <w:r>
              <w:rPr>
                <w:rFonts w:ascii="Times New Roman" w:hAnsi="Times New Roman"/>
                <w:sz w:val="17"/>
              </w:rPr>
              <w:t>Toán học (Chứa công thức)</w:t>
            </w:r>
          </w:p>
        </w:tc>
        <w:tc>
          <w:tcPr>
            <w:tcW w:type="dxa" w:w="1224"/>
            <w:tcMar>
              <w:top w:w="50" w:type="dxa"/>
              <w:bottom w:w="50" w:type="dxa"/>
              <w:left w:w="70" w:type="dxa"/>
              <w:right w:w="70" w:type="dxa"/>
            </w:tcMar>
          </w:tcPr>
          <w:p>
            <w:pPr>
              <w:spacing w:before="50" w:after="50"/>
              <w:jc w:val="center"/>
            </w:pPr>
            <w:r>
              <w:rPr>
                <w:rFonts w:ascii="Times New Roman" w:hAnsi="Times New Roman"/>
                <w:sz w:val="17"/>
              </w:rPr>
              <w:t>5 trạm, 5 câu</w:t>
            </w:r>
          </w:p>
        </w:tc>
        <w:tc>
          <w:tcPr>
            <w:tcW w:type="dxa" w:w="1224"/>
            <w:tcMar>
              <w:top w:w="50" w:type="dxa"/>
              <w:bottom w:w="50" w:type="dxa"/>
              <w:left w:w="70" w:type="dxa"/>
              <w:right w:w="70" w:type="dxa"/>
            </w:tcMar>
          </w:tcPr>
          <w:p>
            <w:pPr>
              <w:spacing w:before="50" w:after="50"/>
              <w:jc w:val="center"/>
            </w:pPr>
            <w:r>
              <w:rPr>
                <w:rFonts w:ascii="Times New Roman" w:hAnsi="Times New Roman"/>
                <w:sz w:val="17"/>
              </w:rPr>
              <w:t>100%</w:t>
            </w:r>
          </w:p>
        </w:tc>
        <w:tc>
          <w:tcPr>
            <w:tcW w:type="dxa" w:w="1224"/>
            <w:tcMar>
              <w:top w:w="50" w:type="dxa"/>
              <w:bottom w:w="50" w:type="dxa"/>
              <w:left w:w="70" w:type="dxa"/>
              <w:right w:w="70" w:type="dxa"/>
            </w:tcMar>
          </w:tcPr>
          <w:p>
            <w:pPr>
              <w:spacing w:before="50" w:after="50"/>
              <w:jc w:val="center"/>
            </w:pPr>
            <w:r>
              <w:rPr>
                <w:rFonts w:ascii="Times New Roman" w:hAnsi="Times New Roman"/>
                <w:sz w:val="17"/>
              </w:rPr>
              <w:t>100%</w:t>
            </w:r>
          </w:p>
        </w:tc>
        <w:tc>
          <w:tcPr>
            <w:tcW w:type="dxa" w:w="1224"/>
            <w:tcMar>
              <w:top w:w="50" w:type="dxa"/>
              <w:bottom w:w="50" w:type="dxa"/>
              <w:left w:w="70" w:type="dxa"/>
              <w:right w:w="70" w:type="dxa"/>
            </w:tcMar>
          </w:tcPr>
          <w:p>
            <w:pPr>
              <w:spacing w:before="50" w:after="50"/>
              <w:jc w:val="center"/>
            </w:pPr>
            <w:r>
              <w:rPr>
                <w:rFonts w:ascii="Times New Roman" w:hAnsi="Times New Roman"/>
                <w:sz w:val="17"/>
              </w:rPr>
              <w:t>100%</w:t>
            </w:r>
          </w:p>
        </w:tc>
        <w:tc>
          <w:tcPr>
            <w:tcW w:type="dxa" w:w="1224"/>
            <w:tcMar>
              <w:top w:w="50" w:type="dxa"/>
              <w:bottom w:w="50" w:type="dxa"/>
              <w:left w:w="70" w:type="dxa"/>
              <w:right w:w="70" w:type="dxa"/>
            </w:tcMar>
          </w:tcPr>
          <w:p>
            <w:pPr>
              <w:spacing w:before="50" w:after="50"/>
              <w:jc w:val="center"/>
            </w:pPr>
            <w:r>
              <w:rPr>
                <w:rFonts w:ascii="Times New Roman" w:hAnsi="Times New Roman"/>
                <w:b/>
                <w:sz w:val="17"/>
              </w:rPr>
              <w:t>100%</w:t>
            </w:r>
          </w:p>
        </w:tc>
        <w:tc>
          <w:tcPr>
            <w:tcW w:type="dxa" w:w="1224"/>
            <w:tcMar>
              <w:top w:w="50" w:type="dxa"/>
              <w:bottom w:w="50" w:type="dxa"/>
              <w:left w:w="70" w:type="dxa"/>
              <w:right w:w="70" w:type="dxa"/>
            </w:tcMar>
          </w:tcPr>
          <w:p>
            <w:pPr>
              <w:spacing w:before="50" w:after="50"/>
              <w:jc w:val="center"/>
            </w:pPr>
            <w:r>
              <w:rPr>
                <w:rFonts w:ascii="Times New Roman" w:hAnsi="Times New Roman"/>
                <w:sz w:val="17"/>
              </w:rPr>
              <w:t>1.4 lượt</w:t>
            </w:r>
          </w:p>
        </w:tc>
        <w:tc>
          <w:tcPr>
            <w:tcW w:type="dxa" w:w="1224"/>
            <w:tcMar>
              <w:top w:w="50" w:type="dxa"/>
              <w:bottom w:w="50" w:type="dxa"/>
              <w:left w:w="70" w:type="dxa"/>
              <w:right w:w="70" w:type="dxa"/>
            </w:tcMar>
          </w:tcPr>
          <w:p>
            <w:pPr>
              <w:spacing w:before="50" w:after="50"/>
              <w:jc w:val="center"/>
            </w:pPr>
            <w:r>
              <w:rPr>
                <w:rFonts w:ascii="Times New Roman" w:hAnsi="Times New Roman"/>
                <w:sz w:val="17"/>
              </w:rPr>
              <w:t>118.5 giây</w:t>
            </w:r>
          </w:p>
        </w:tc>
      </w:tr>
      <w:tr>
        <w:tc>
          <w:tcPr>
            <w:tcW w:type="dxa" w:w="1224"/>
            <w:tcMar>
              <w:top w:w="50" w:type="dxa"/>
              <w:bottom w:w="50" w:type="dxa"/>
              <w:left w:w="70" w:type="dxa"/>
              <w:right w:w="70" w:type="dxa"/>
            </w:tcMar>
            <w:shd w:fill="FADBD8"/>
          </w:tcPr>
          <w:p>
            <w:pPr>
              <w:spacing w:before="50" w:after="50"/>
              <w:jc w:val="center"/>
            </w:pPr>
            <w:r>
              <w:rPr>
                <w:rFonts w:ascii="Times New Roman" w:hAnsi="Times New Roman"/>
                <w:i/>
                <w:sz w:val="17"/>
              </w:rPr>
              <w:t>Cấu hình cũ (Dấu sao)</w:t>
            </w:r>
          </w:p>
        </w:tc>
        <w:tc>
          <w:tcPr>
            <w:tcW w:type="dxa" w:w="1224"/>
            <w:tcMar>
              <w:top w:w="50" w:type="dxa"/>
              <w:bottom w:w="50" w:type="dxa"/>
              <w:left w:w="70" w:type="dxa"/>
              <w:right w:w="70" w:type="dxa"/>
            </w:tcMar>
            <w:shd w:fill="FADBD8"/>
          </w:tcPr>
          <w:p>
            <w:pPr>
              <w:spacing w:before="50" w:after="50"/>
              <w:jc w:val="center"/>
            </w:pPr>
            <w:r>
              <w:rPr>
                <w:rFonts w:ascii="Times New Roman" w:hAnsi="Times New Roman"/>
                <w:i/>
                <w:sz w:val="17"/>
              </w:rPr>
              <w:t>3 trạm, 2 câu</w:t>
            </w:r>
          </w:p>
        </w:tc>
        <w:tc>
          <w:tcPr>
            <w:tcW w:type="dxa" w:w="1224"/>
            <w:tcMar>
              <w:top w:w="50" w:type="dxa"/>
              <w:bottom w:w="50" w:type="dxa"/>
              <w:left w:w="70" w:type="dxa"/>
              <w:right w:w="70" w:type="dxa"/>
            </w:tcMar>
            <w:shd w:fill="FADBD8"/>
          </w:tcPr>
          <w:p>
            <w:pPr>
              <w:spacing w:before="50" w:after="50"/>
              <w:jc w:val="center"/>
            </w:pPr>
            <w:r>
              <w:rPr>
                <w:rFonts w:ascii="Times New Roman" w:hAnsi="Times New Roman"/>
                <w:i/>
                <w:sz w:val="17"/>
              </w:rPr>
              <w:t>100%</w:t>
            </w:r>
          </w:p>
        </w:tc>
        <w:tc>
          <w:tcPr>
            <w:tcW w:type="dxa" w:w="1224"/>
            <w:tcMar>
              <w:top w:w="50" w:type="dxa"/>
              <w:bottom w:w="50" w:type="dxa"/>
              <w:left w:w="70" w:type="dxa"/>
              <w:right w:w="70" w:type="dxa"/>
            </w:tcMar>
            <w:shd w:fill="FADBD8"/>
          </w:tcPr>
          <w:p>
            <w:pPr>
              <w:spacing w:before="50" w:after="50"/>
              <w:jc w:val="center"/>
            </w:pPr>
            <w:r>
              <w:rPr>
                <w:rFonts w:ascii="Times New Roman" w:hAnsi="Times New Roman"/>
                <w:i/>
                <w:sz w:val="17"/>
              </w:rPr>
              <w:t>0.0%</w:t>
            </w:r>
          </w:p>
        </w:tc>
        <w:tc>
          <w:tcPr>
            <w:tcW w:type="dxa" w:w="1224"/>
            <w:tcMar>
              <w:top w:w="50" w:type="dxa"/>
              <w:bottom w:w="50" w:type="dxa"/>
              <w:left w:w="70" w:type="dxa"/>
              <w:right w:w="70" w:type="dxa"/>
            </w:tcMar>
            <w:shd w:fill="FADBD8"/>
          </w:tcPr>
          <w:p>
            <w:pPr>
              <w:spacing w:before="50" w:after="50"/>
              <w:jc w:val="center"/>
            </w:pPr>
            <w:r>
              <w:rPr>
                <w:rFonts w:ascii="Times New Roman" w:hAnsi="Times New Roman"/>
                <w:i/>
                <w:sz w:val="17"/>
              </w:rPr>
              <w:t>100%</w:t>
            </w:r>
          </w:p>
        </w:tc>
        <w:tc>
          <w:tcPr>
            <w:tcW w:type="dxa" w:w="1224"/>
            <w:tcMar>
              <w:top w:w="50" w:type="dxa"/>
              <w:bottom w:w="50" w:type="dxa"/>
              <w:left w:w="70" w:type="dxa"/>
              <w:right w:w="70" w:type="dxa"/>
            </w:tcMar>
            <w:shd w:fill="FADBD8"/>
          </w:tcPr>
          <w:p>
            <w:pPr>
              <w:spacing w:before="50" w:after="50"/>
              <w:jc w:val="center"/>
            </w:pPr>
            <w:r>
              <w:rPr>
                <w:rFonts w:ascii="Times New Roman" w:hAnsi="Times New Roman"/>
                <w:i/>
                <w:sz w:val="17"/>
              </w:rPr>
              <w:t>0.0%</w:t>
            </w:r>
          </w:p>
        </w:tc>
        <w:tc>
          <w:tcPr>
            <w:tcW w:type="dxa" w:w="1224"/>
            <w:tcMar>
              <w:top w:w="50" w:type="dxa"/>
              <w:bottom w:w="50" w:type="dxa"/>
              <w:left w:w="70" w:type="dxa"/>
              <w:right w:w="70" w:type="dxa"/>
            </w:tcMar>
            <w:shd w:fill="FADBD8"/>
          </w:tcPr>
          <w:p>
            <w:pPr>
              <w:spacing w:before="50" w:after="50"/>
              <w:jc w:val="center"/>
            </w:pPr>
            <w:r>
              <w:rPr>
                <w:rFonts w:ascii="Times New Roman" w:hAnsi="Times New Roman"/>
                <w:i/>
                <w:sz w:val="17"/>
              </w:rPr>
              <w:t>Hết số lượt</w:t>
            </w:r>
          </w:p>
        </w:tc>
        <w:tc>
          <w:tcPr>
            <w:tcW w:type="dxa" w:w="1224"/>
            <w:tcMar>
              <w:top w:w="50" w:type="dxa"/>
              <w:bottom w:w="50" w:type="dxa"/>
              <w:left w:w="70" w:type="dxa"/>
              <w:right w:w="70" w:type="dxa"/>
            </w:tcMar>
            <w:shd w:fill="FADBD8"/>
          </w:tcPr>
          <w:p>
            <w:pPr>
              <w:spacing w:before="50" w:after="50"/>
              <w:jc w:val="center"/>
            </w:pPr>
            <w:r>
              <w:rPr>
                <w:rFonts w:ascii="Times New Roman" w:hAnsi="Times New Roman"/>
                <w:i/>
                <w:sz w:val="17"/>
              </w:rPr>
              <w:t>&gt; 300 giây</w:t>
            </w:r>
          </w:p>
        </w:tc>
      </w:tr>
    </w:tbl>
    <w:p>
      <w:pPr>
        <w:spacing w:after="100"/>
      </w:pPr>
    </w:p>
    <w:p>
      <w:pPr>
        <w:keepNext/>
        <w:spacing w:before="160" w:after="60"/>
      </w:pPr>
      <w:r>
        <w:rPr>
          <w:rFonts w:ascii="Times New Roman" w:hAnsi="Times New Roman"/>
          <w:b/>
          <w:color w:val="282828"/>
          <w:sz w:val="21"/>
        </w:rPr>
        <w:t>C. Phân Tích Kết Quả</w:t>
      </w:r>
    </w:p>
    <w:p>
      <w:pPr>
        <w:spacing w:after="100" w:line="276" w:lineRule="auto"/>
        <w:jc w:val="both"/>
      </w:pPr>
      <w:r>
        <w:rPr>
          <w:rFonts w:ascii="Times New Roman" w:hAnsi="Times New Roman"/>
          <w:sz w:val="20"/>
        </w:rPr>
        <w:t>Kết quả tại Bảng 1 chứng minh rằng việc áp dụng cải tiến lựa chọn vĩnh viễn đã biến đổi hoàn toàn chỉ số khả năng chơi từ thất bại toàn diện lên mức tuyệt đối một trăm phần trăm. Bên cạnh đó, tác tử sửa lỗi đã phát huy vai trò quyết định khi khắc phục triệt để các lỗi thiếu hụt phương án hoặc định dạng sai ngay từ lượt điều chỉnh thứ hai. Độ trung thực học thuật đạt mức tuyệt đối trên mọi tập dữ liệu, khẳng định tính nghiêm ngặt về mặt sư phạm của hệ thống đề xuất.</w:t>
      </w:r>
    </w:p>
    <w:p>
      <w:pPr>
        <w:keepNext/>
        <w:spacing w:before="280" w:after="80"/>
      </w:pPr>
      <w:r>
        <w:rPr>
          <w:rFonts w:ascii="Times New Roman" w:hAnsi="Times New Roman"/>
          <w:b/>
          <w:color w:val="102C57"/>
          <w:sz w:val="23"/>
        </w:rPr>
        <w:t>VI. BÀN LUẬN VÀ GIỚI HẠN</w:t>
      </w:r>
    </w:p>
    <w:p>
      <w:pPr>
        <w:keepNext/>
        <w:spacing w:before="160" w:after="60"/>
      </w:pPr>
      <w:r>
        <w:rPr>
          <w:rFonts w:ascii="Times New Roman" w:hAnsi="Times New Roman"/>
          <w:b/>
          <w:color w:val="282828"/>
          <w:sz w:val="21"/>
        </w:rPr>
        <w:t>A. Ý Nghĩa Thực Tiễn</w:t>
      </w:r>
    </w:p>
    <w:p>
      <w:pPr>
        <w:spacing w:after="100" w:line="276" w:lineRule="auto"/>
        <w:jc w:val="both"/>
      </w:pPr>
      <w:r>
        <w:rPr>
          <w:rFonts w:ascii="Times New Roman" w:hAnsi="Times New Roman"/>
          <w:sz w:val="20"/>
        </w:rPr>
        <w:t>Hệ thống đã hiện thực hóa thành công mục tiêu thiết kế không cần lập trình: nhà sư phạm chỉ cần cung cấp tệp đề thi sẵn có, phần mềm sẽ tự động đảm nhiệm toàn bộ quy trình biên kịch, kiểm thử và bàn giao sản phẩm hoàn thiện. Việc ứng dụng các mô hình ngôn ngữ lớn nguồn mở lượng tử hóa giúp các đơn vị giáo dục có thể vận hành hệ thống độc lập trên các thiết bị văn phòng thông thường, bảo đảm tối đa tính an toàn thông tin và không phát sinh chi phí vận hành thường xuyên.</w:t>
      </w:r>
    </w:p>
    <w:p>
      <w:pPr>
        <w:keepNext/>
        <w:spacing w:before="160" w:after="60"/>
      </w:pPr>
      <w:r>
        <w:rPr>
          <w:rFonts w:ascii="Times New Roman" w:hAnsi="Times New Roman"/>
          <w:b/>
          <w:color w:val="282828"/>
          <w:sz w:val="21"/>
        </w:rPr>
        <w:t>B. Giới Hạn Nghiên Cứu</w:t>
      </w:r>
    </w:p>
    <w:p>
      <w:pPr>
        <w:spacing w:after="100" w:line="276" w:lineRule="auto"/>
        <w:jc w:val="both"/>
      </w:pPr>
      <w:r>
        <w:rPr>
          <w:rFonts w:ascii="Times New Roman" w:hAnsi="Times New Roman"/>
          <w:sz w:val="20"/>
        </w:rPr>
        <w:t>Hiện tại, để duy trì độ ổn định cao nhất của đồ thị phân nhánh trên các mô hình ngôn ngữ quy mô nhỏ, số lượng câu hỏi tối ưu cho một kịch bản được khuyến nghị từ năm đến mười câu. Đối với các đề thi có quy mô lớn hơn, hệ thống cần được bổ sung cơ chế chia tách thành các chương hồi nối tiếp. Ngoài ra, trải nghiệm hiện tại chủ yếu tập trung vào tương tác dạng chữ, chưa tích hợp đồ họa hai chiều hoặc âm thanh động.</w:t>
      </w:r>
    </w:p>
    <w:p>
      <w:pPr>
        <w:keepNext/>
        <w:spacing w:before="280" w:after="80"/>
      </w:pPr>
      <w:r>
        <w:rPr>
          <w:rFonts w:ascii="Times New Roman" w:hAnsi="Times New Roman"/>
          <w:b/>
          <w:color w:val="102C57"/>
          <w:sz w:val="23"/>
        </w:rPr>
        <w:t>VII. KẾT LUẬN VÀ HƯỚNG PHÁT TRIỂN</w:t>
      </w:r>
    </w:p>
    <w:p>
      <w:pPr>
        <w:spacing w:after="100" w:line="276" w:lineRule="auto"/>
        <w:jc w:val="both"/>
      </w:pPr>
      <w:r>
        <w:rPr>
          <w:rFonts w:ascii="Times New Roman" w:hAnsi="Times New Roman"/>
          <w:sz w:val="20"/>
        </w:rPr>
        <w:t>Nghiên cứu đã khẳng định tính khả thi và độ tin cậy cao của việc kết hợp mô hình ngôn ngữ lớn nguồn mở cùng ngôn ngữ kịch bản Ink trong tự động hóa xây dựng trò chơi giáo dục tương tác văn bản tiếng Việt. Bằng cách thiết lập cấu trúc mầm dữ liệu chặt chẽ, thuật toán xác thực ba tiêu chí định lượng và giải pháp lựa chọn vĩnh viễn, hệ thống SINE-VN đã triệt tiêu hoàn toàn các lỗi ảo giác và lỗi đứt gãy kịch bản thường gặp.</w:t>
      </w:r>
    </w:p>
    <w:p>
      <w:pPr>
        <w:spacing w:after="100" w:line="276" w:lineRule="auto"/>
        <w:jc w:val="both"/>
      </w:pPr>
      <w:r>
        <w:rPr>
          <w:rFonts w:ascii="Times New Roman" w:hAnsi="Times New Roman"/>
          <w:sz w:val="20"/>
        </w:rPr>
        <w:t>Trong giai đoạn tiếp theo, nhóm nghiên cứu dự kiến tích hợp các mô hình khuếch tán để tự động sinh hình ảnh minh họa bối cảnh theo nội dung từng phân cảnh, đồng thời kết nối tín hiệu cảm biến định vị không gian nhằm phát triển thành các trò chơi giáo dục tương tác bối cảnh thực tế trong khuôn viên nhà trường.</w:t>
      </w:r>
    </w:p>
    <w:p>
      <w:pPr>
        <w:keepNext/>
        <w:spacing w:before="280" w:after="80"/>
      </w:pPr>
      <w:r>
        <w:rPr>
          <w:rFonts w:ascii="Times New Roman" w:hAnsi="Times New Roman"/>
          <w:b/>
          <w:color w:val="102C57"/>
          <w:sz w:val="23"/>
        </w:rPr>
        <w:t>TÀI LIỆU THAM KHẢO</w:t>
      </w:r>
    </w:p>
    <w:p>
      <w:pPr>
        <w:spacing w:after="50" w:line="252" w:lineRule="auto"/>
        <w:ind w:left="360" w:hanging="360"/>
        <w:jc w:val="both"/>
      </w:pPr>
      <w:r>
        <w:rPr>
          <w:rFonts w:ascii="Times New Roman" w:hAnsi="Times New Roman"/>
          <w:sz w:val="17"/>
        </w:rPr>
        <w:t>Connolly, T. M., Boyle, E. A., MacArthur, E., Hainey, T., &amp; Boyle, J. M. (2012). A systematic literature review of empirical evidence on computer games and serious games. Computers &amp; Education, 59(2), 661–686.</w:t>
      </w:r>
    </w:p>
    <w:p>
      <w:pPr>
        <w:spacing w:after="50" w:line="252" w:lineRule="auto"/>
        <w:ind w:left="360" w:hanging="360"/>
        <w:jc w:val="both"/>
      </w:pPr>
      <w:r>
        <w:rPr>
          <w:rFonts w:ascii="Times New Roman" w:hAnsi="Times New Roman"/>
          <w:sz w:val="17"/>
        </w:rPr>
        <w:t>Gallotta, R., Todd, G., Zammit, M., Earle, S., Liapis, A., Togelius, J., &amp; Yannakakis, G. N. (2024). Large Language Models and Games: A Survey and Roadmap. IEEE Transactions on Games, 16, 1–18.</w:t>
      </w:r>
    </w:p>
    <w:p>
      <w:pPr>
        <w:spacing w:after="50" w:line="252" w:lineRule="auto"/>
        <w:ind w:left="360" w:hanging="360"/>
        <w:jc w:val="both"/>
      </w:pPr>
      <w:r>
        <w:rPr>
          <w:rFonts w:ascii="Times New Roman" w:hAnsi="Times New Roman"/>
          <w:sz w:val="17"/>
        </w:rPr>
        <w:t>Horn, F., &amp; Göbel, S. (2025). AI as a Co-creator: A Survey on AI Support for Educational Game Authoring Tools. In Joint International Conference on Serious Games (JCSG), LNCS (Vol. 15259, pp. 3–18). Springer.</w:t>
      </w:r>
    </w:p>
    <w:p>
      <w:pPr>
        <w:spacing w:after="50" w:line="252" w:lineRule="auto"/>
        <w:ind w:left="360" w:hanging="360"/>
        <w:jc w:val="both"/>
      </w:pPr>
      <w:r>
        <w:rPr>
          <w:rFonts w:ascii="Times New Roman" w:hAnsi="Times New Roman"/>
          <w:sz w:val="17"/>
        </w:rPr>
        <w:t>Inkle Studios. (2025). Ink: Inkle's Narrative Scripting Language. Retrieved from https://www.inklestudios.com/ink/</w:t>
      </w:r>
    </w:p>
    <w:p>
      <w:pPr>
        <w:spacing w:after="50" w:line="252" w:lineRule="auto"/>
        <w:ind w:left="360" w:hanging="360"/>
        <w:jc w:val="both"/>
      </w:pPr>
      <w:r>
        <w:rPr>
          <w:rFonts w:ascii="Times New Roman" w:hAnsi="Times New Roman"/>
          <w:sz w:val="17"/>
        </w:rPr>
        <w:t>Leandro, J., Rao, S., Xu, M., Xu, W., Jojic, N., Brockett, C. J., &amp; Dolan, W. B. (2024). GENEVA: Generating and Visualizing Branching Narratives Using LLMs. In IEEE Conference on Games (CoG), pp. 1–5.</w:t>
      </w:r>
    </w:p>
    <w:p>
      <w:pPr>
        <w:spacing w:after="50" w:line="252" w:lineRule="auto"/>
        <w:ind w:left="360" w:hanging="360"/>
        <w:jc w:val="both"/>
      </w:pPr>
      <w:r>
        <w:rPr>
          <w:rFonts w:ascii="Times New Roman" w:hAnsi="Times New Roman"/>
          <w:sz w:val="17"/>
        </w:rPr>
        <w:t>Qwen Team. (2024). Qwen2.5: A Party of Foundation Models. arXiv preprint arXiv:2412.15115.</w:t>
      </w:r>
    </w:p>
    <w:p>
      <w:pPr>
        <w:spacing w:after="50" w:line="252" w:lineRule="auto"/>
        <w:ind w:left="360" w:hanging="360"/>
        <w:jc w:val="both"/>
      </w:pPr>
      <w:r>
        <w:rPr>
          <w:rFonts w:ascii="Times New Roman" w:hAnsi="Times New Roman"/>
          <w:sz w:val="17"/>
        </w:rPr>
        <w:t>Riedl, M. O., &amp; Bulitko, V. (2013). Interactive Narrative: An Intelligent Systems Approach. AI Magazine, 34(1), 67–77.</w:t>
      </w:r>
    </w:p>
    <w:p>
      <w:pPr>
        <w:spacing w:after="50" w:line="252" w:lineRule="auto"/>
        <w:ind w:left="360" w:hanging="360"/>
        <w:jc w:val="both"/>
      </w:pPr>
      <w:r>
        <w:rPr>
          <w:rFonts w:ascii="Times New Roman" w:hAnsi="Times New Roman"/>
          <w:sz w:val="17"/>
        </w:rPr>
        <w:t>Rogosch, F., &amp; Schrader, A. (2026). Automated Generation and Evaluation of Interactive-Fiction Serious Games with Open-Weight LLMs. Applied Sciences, 16(6), 2932.</w:t>
      </w:r>
    </w:p>
    <w:p>
      <w:pPr>
        <w:spacing w:after="50" w:line="252" w:lineRule="auto"/>
        <w:ind w:left="360" w:hanging="360"/>
        <w:jc w:val="both"/>
      </w:pPr>
      <w:r>
        <w:rPr>
          <w:rFonts w:ascii="Times New Roman" w:hAnsi="Times New Roman"/>
          <w:sz w:val="17"/>
        </w:rPr>
        <w:t>Tanaka, T., &amp; Simo-Serra, E. (2024). Grammar-based Game Description Generation using Large Language Models. IEEE Transactions on Games, 18(1), 30–43.</w:t>
      </w:r>
    </w:p>
    <w:p>
      <w:pPr>
        <w:spacing w:after="50" w:line="252" w:lineRule="auto"/>
        <w:ind w:left="360" w:hanging="360"/>
        <w:jc w:val="both"/>
      </w:pPr>
      <w:r>
        <w:rPr>
          <w:rFonts w:ascii="Times New Roman" w:hAnsi="Times New Roman"/>
          <w:sz w:val="17"/>
        </w:rPr>
        <w:t>Zhou, E., Basavatia, S., Siam, M., Chen, Z., &amp; Riedl, M. O. (2025). STORY2GAME: Generating (Almost) Everything in an Interactive Fiction Game. arXiv preprint arXiv:2505.03547.</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