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</w:rPr>
        <w:t>稽核者</w:t>
      </w: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lang w:eastAsia="zh-CN"/>
        </w:rPr>
        <w:t>、</w:t>
      </w: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</w:rPr>
        <w:t>为国增收</w:t>
      </w:r>
    </w:p>
    <w:p>
      <w:pPr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新时代，党的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二十大报告为我省交通建设发展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明确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了更加坚定的方向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G30高速山临所通过激发职工参与“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人人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治逃”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、“整肃纪律，提质增效”专项稽查月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等专项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工作，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充分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调动站所两级稽核人员能动性，加大对各类逃费规律的研判和分析，挖掘隐蔽性较强的逃费形式，结合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路网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治逃典型案例，不断提高各类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逃费行为的辨识能力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维护好人民群众幸福出行的美好愿景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。</w:t>
      </w:r>
    </w:p>
    <w:p>
      <w:pPr>
        <w:ind w:firstLine="64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建章立制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促效能</w:t>
      </w:r>
    </w:p>
    <w:p>
      <w:pPr>
        <w:ind w:firstLine="640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《甘肃省联网收费公路通行费稽核管理办法（试行）》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、《甘肃省武威高速公路处通行费稽核追缴和补缴奖惩办法》、《山临高速公路收费所稽核管理实施细则（试行）》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的相继颁布，为开展稽核业务工作奠定了坚实的基础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全所稽核团队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充分利用部、省两级稽核业务平台和路网录像回放系统，精准研判、分析和挖掘每一辆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异常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车辆信息，集思广益稽核方式、方法。通过“在培训中去总结，在案例中去分析，在特情中找线索，在线索中固定证据，形成数据治逃的显著成效。</w:t>
      </w:r>
    </w:p>
    <w:p>
      <w:pPr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专项培训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、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提效率</w:t>
      </w:r>
    </w:p>
    <w:p>
      <w:pPr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  加强基层稽核员培训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认真执行《收费公路联网收费运营和服务规程》、《收费公路联网收费运营和服务规则》开展稽核补费工作，通过培训学习进一步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提高稽核人员业务水平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优化工作流程，加大对各项数据、稽核业务、追缴工单复核的稽查力度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同时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加强内部流程规范管理，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不定期开展的专项稽查工作，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强化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稽核人员部（省）级平台操作过程监管和量化考核力度，每日对路段特情复核和工单创建工作进行稽核数据动态监测分析，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规范通行费追缴行为，建立一支高素质、高水平的稽核队伍，保障人民群众便利出行和货主合法通行权益，服务地方社会促进经济的发展。</w:t>
      </w:r>
    </w:p>
    <w:p>
      <w:pPr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精准稽核、显成效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通过部、省级大数据平台，依法查处各类偷逃费不良行为，通过事后追缴，更加人性化执法，不断提高稽核工作的能力灵活性和水平。积极思考、主动作为，根据季节性、地域性、周期性车辆通行规律，开展阶段性稽核专项整治活动，重点稽查假冒绿通、有入无出、买短跑长、ETC车型不符等偷逃费行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的综合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治理。</w:t>
      </w:r>
    </w:p>
    <w:p>
      <w:pPr>
        <w:ind w:firstLine="643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基础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数据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回头看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持续加大ETC发行专项稽核力度，ETC网点对所辖合作银行发行的ETC基础数据进行“回头看”，查漏补缺，健全完善发行稽核销号台帐，依据稽核业务流程追缴通行费，加大追缴力度。做好ETC车道值守工作，及时关注ETC车辆通行时有无异常情况，并及时进行处置。做好日常数据反查工作，对车道通行流水进行全量反查，对反查出ETC车型、车种不符车辆及时上报所稽查队进行核查，对逃费车辆进行追缴，做到通行费应收尽收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一年来，山临所面临种种挑战，战胜重重困难，审时度势，调整思路，真抓实干，带领全所职工圆满地完成了各项通行费征收任务。截止11月1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日，我所共追缴通行费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万元，减免通行费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 xml:space="preserve">万元，省级稽核平台有入无出特情数据 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条，其中取消嫌疑车辆 条，加入重点关注名单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条，形成稽核结论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**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条复核率100%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5A">
      <wne:acd wne:acdName="acd0"/>
    </wne:keymap>
    <wne:keymap wne:kcmPrimary="0553">
      <wne:acd wne:acdName="acd1"/>
    </wne:keymap>
  </wne:keymaps>
  <wne:acds>
    <wne:acd wne:argValue="AgBsUYdlOgBja4dl" wne:acdName="acd0" wne:fciIndexBasedOn="0065"/>
    <wne:acd wne:argValue="AgBsUYdlOgBja4dlKAApf9uPKQA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A542F"/>
    <w:rsid w:val="21201EB4"/>
    <w:rsid w:val="3D147304"/>
    <w:rsid w:val="520A1D9B"/>
    <w:rsid w:val="6C1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2021-12-23T23:49:00Z</dcterms:created>
  <dc:creator>haijiaodao</dc:creator>
  <cp:lastModifiedBy>haijiaodao</cp:lastModifiedBy>
  <dcterms:modified xsi:type="dcterms:W3CDTF">2022-11-12T02:25:40Z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