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홍대문화관광특구 지주식 안내판 철거공사 시방서(안)</w:t>
      </w:r>
    </w:p>
    <w:p>
      <w:r>
        <w:t>2026. 10. / 관광정책과 관광시설팀</w:t>
      </w:r>
    </w:p>
    <w:p>
      <w:pPr>
        <w:pStyle w:val="Heading1"/>
      </w:pPr>
      <w:r>
        <w:t>1. 총칙</w:t>
      </w:r>
    </w:p>
    <w:p>
      <w:pPr>
        <w:pStyle w:val="Heading2"/>
      </w:pPr>
      <w:r>
        <w:t>1.1 적용범위</w:t>
      </w:r>
    </w:p>
    <w:p>
      <w:r>
        <w:t>본 시방서는 홍대문화관광특구 내 지주식 안내판 7개소의 철거 및 전기 관련 마감공사에 적용한다. 철거 대상과 위치는 「지주식 안내판 철거 의뢰」 자료를 기준으로 하며, 세부 작업범위는 계약서·확정 내역서 및 현장 협의 결과에 따른다.</w:t>
      </w:r>
    </w:p>
    <w:p>
      <w:pPr>
        <w:pStyle w:val="Heading2"/>
      </w:pPr>
      <w:r>
        <w:t>1.2 공사기간 및 협의</w:t>
      </w:r>
    </w:p>
    <w:p>
      <w:r>
        <w:t>공사기간은 계약서에서 정한 기간으로 한다. 착수 전 발주기관 및 관계 시설 관리자와 작업일시·전원 차단 범위·통행 대책·반출 동선을 협의한다. 미확정 공기 및 일정은 계약 전에 확정한다.</w:t>
      </w:r>
    </w:p>
    <w:p>
      <w:pPr>
        <w:pStyle w:val="Heading2"/>
      </w:pPr>
      <w:r>
        <w:t>1.3 시공 및 범위 변경</w:t>
      </w:r>
    </w:p>
    <w:p>
      <w:r>
        <w:t>계약상대자는 관계 법령에 따른 자격과 안전조치를 갖추어 작업한다. 도서 간 불일치 또는 현장과의 차이가 있는 경우 임의 시공하지 않고 감독자에게 보고하여 확인받는다. 기초·포장 철거 및 복구, 추가 배선·기구 설치 등 계약범위 외 작업이 필요한 경우 작업범위·비용 및 계약변경 필요성을 검토한 후 시행한다.</w:t>
      </w:r>
    </w:p>
    <w:p>
      <w:pPr>
        <w:pStyle w:val="Heading1"/>
      </w:pPr>
      <w:r>
        <w:t>2. 공사대상 및 내역</w:t>
      </w:r>
    </w:p>
    <w:p>
      <w:pPr>
        <w:pStyle w:val="Heading2"/>
      </w:pPr>
      <w:r>
        <w:t>2.1 위치별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위치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의뢰서 표기 사항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어울마당로 155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인근 가로등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어울마당로 155-1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인근 가로등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어울마당로 136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마포순환열차버스 정류소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홍익로3길 1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전광판용 전기 이용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와우산로21길 36-3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전광판용 전기 이용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잔다리로 17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전광판용 전기 이용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어울마당로 47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R6 분전함 이용</w:t>
            </w:r>
          </w:p>
        </w:tc>
      </w:tr>
    </w:tbl>
    <w:p/>
    <w:p>
      <w:r>
        <w:t>위 표는 원본 의뢰서의 표기이며 실제 전원 공급원·회로 구성의 확정을 의미하지 않는다. 착수 전 대상 안내판을 현장에서 식별하고 관계 시설 관리자와 전기적 연계 상태를 확인한다.</w:t>
      </w:r>
    </w:p>
    <w:p>
      <w:pPr>
        <w:pStyle w:val="Heading2"/>
      </w:pPr>
      <w:r>
        <w:t>2.2 견적 및 의뢰서에 기초한 작업항목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자료상 규격·수량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시공 전 확인사항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지주식 안내판 철거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7개소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안내판·지주·부속물 및 기초 처리범위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케이블 철거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VCTF 2.5×3C, 50m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실제 구간, 존치 회로, 공급원 및 차단 범위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싸인물 철거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개별 수량 미기재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대상 안내판과의 중복 여부 및 포함범위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GW 후렉시블 관련 작업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16Φ, 20m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철거·존치·교체 여부 및 접속부 마감범위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전기 관련 마감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의뢰서에 포함 명시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종단·절연·방수 및 존치 회로 보호 방법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폐기물 처리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견적서에 비용 포함 명시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재사용품·불용품 구분, 반출·처리 경로</w:t>
            </w:r>
          </w:p>
        </w:tc>
      </w:tr>
    </w:tbl>
    <w:p/>
    <w:p>
      <w:r>
        <w:t>배선·싸인물·후렉시블 작업은 견적서상 개별 금액이 미기재되어 있으므로 계약 전에 총액 포함범위를 확인한다. 재료의 규격·수량·시공방법은 현장 확인 및 확정 계약도서에 따르며, 본 시방서만으로 추가 공사범위를 확정하지 않는다.</w:t>
      </w:r>
    </w:p>
    <w:p>
      <w:pPr>
        <w:pStyle w:val="Heading1"/>
      </w:pPr>
      <w:r>
        <w:t>3. 착수 전 조사 및 제출사항</w:t>
      </w:r>
    </w:p>
    <w:p>
      <w:pPr>
        <w:pStyle w:val="ListBullet"/>
      </w:pPr>
      <w:r>
        <w:t>각 위치의 안내판·지주·고정 상태와 주변 시설·포장 상태를 촬영하고 철거 대상·존치 대상을 구분한다.</w:t>
      </w:r>
    </w:p>
    <w:p>
      <w:pPr>
        <w:pStyle w:val="ListBullet"/>
      </w:pPr>
      <w:r>
        <w:t>전원 공급 경로, 분기회로, 접속함·분전함 및 공동 사용 여부를 시설 관리자 입회 또는 협의를 통해 확인한다.</w:t>
      </w:r>
    </w:p>
    <w:p>
      <w:pPr>
        <w:pStyle w:val="ListBullet"/>
      </w:pPr>
      <w:r>
        <w:t>다른 시설의 전원이나 통신 등에 영향을 줄 우려가 있으면 별도 보호·작업계획을 협의한다.</w:t>
      </w:r>
    </w:p>
    <w:p>
      <w:pPr>
        <w:pStyle w:val="ListBullet"/>
      </w:pPr>
      <w:r>
        <w:t>작업 순서, 사용 장비, 지지·양중 방법, 전원 차단·복구 방법, 보행 통제, 폐기물 처리 및 비상연락체계를 포함한 작업계획을 제출한다.</w:t>
      </w:r>
    </w:p>
    <w:p>
      <w:pPr>
        <w:pStyle w:val="ListBullet"/>
      </w:pPr>
      <w:r>
        <w:t>기초·매설물 또는 배관에 손댈 필요가 있는 경우 위치와 범위를 사전 확인하고 관련 관리자와 협의한다.</w:t>
      </w:r>
    </w:p>
    <w:p>
      <w:pPr>
        <w:pStyle w:val="Heading1"/>
      </w:pPr>
      <w:r>
        <w:t>4. 전기작업 시방</w:t>
      </w:r>
    </w:p>
    <w:p>
      <w:pPr>
        <w:pStyle w:val="Heading2"/>
      </w:pPr>
      <w:r>
        <w:t>4.1 전원 차단 및 존치 회로 보호</w:t>
      </w:r>
    </w:p>
    <w:p>
      <w:r>
        <w:t>전기작업은 해당 작업을 수행할 자격과 역량을 갖춘 작업자가 시행한다. 관계 시설 관리자와 차단 권한·대상 회로·정전 일시를 확인한 뒤 전원을 차단하고, 적합한 계측기로 무전압 상태를 확인한다. 작업 중 임의 재투입을 방지하도록 잠금·표지 등 필요한 조치를 한다.</w:t>
      </w:r>
    </w:p>
    <w:p>
      <w:r>
        <w:t>가로등·정류소·전광판·R6 분전함 등 다른 설비와 회로를 공유하는 경우 존치 설비에 영향을 주는 배선을 임의로 절단하거나 철거하지 않는다. 회로가 불명확하거나 예상과 다르면 작업을 중지하고 감독자 및 관리자에게 확인받는다.</w:t>
      </w:r>
    </w:p>
    <w:p>
      <w:pPr>
        <w:pStyle w:val="Heading2"/>
      </w:pPr>
      <w:r>
        <w:t>4.2 배선·배관 철거 및 마감</w:t>
      </w:r>
    </w:p>
    <w:p>
      <w:r>
        <w:t>철거 대상으로 확인된 배선·관로·접속부만 해체한다. 인입부와 매설부, 존치 회로의 분기점은 상태를 확인하고 구간별 철거 범위를 기록한다. 노출된 도체나 미처리 접속부가 남지 않도록 승인된 방법으로 안전하게 종단·절연·방수 처리한다.</w:t>
      </w:r>
    </w:p>
    <w:p>
      <w:r>
        <w:t>GW 후렉시블 16Φ 20m는 견적서 기재 항목으로, 실제 철거·존치·교체 여부와 필요한 부속재를 착수 전에 확인한다. 견적 기재만을 이유로 신설이나 전면 교체를 임의 시행하지 않는다.</w:t>
      </w:r>
    </w:p>
    <w:p>
      <w:pPr>
        <w:pStyle w:val="Heading2"/>
      </w:pPr>
      <w:r>
        <w:t>4.3 기능 및 마감 확인</w:t>
      </w:r>
    </w:p>
    <w:p>
      <w:r>
        <w:t>작업 후 절연·접속·종단·방수 및 외함 마감 상태를 확인한다. 적용 설비에 필요한 시험·측정 항목과 판정기준은 관계 기준·현장 설비 조건 및 관리자 협의를 통해 정하고 결과를 제출한다. 전원 복구는 관리자와 협의하여 시행하고, 존치 시설의 정상 작동 여부를 확인한다.</w:t>
      </w:r>
    </w:p>
    <w:p>
      <w:pPr>
        <w:pStyle w:val="Heading1"/>
      </w:pPr>
      <w:r>
        <w:t>5. 안내판 철거 시방</w:t>
      </w:r>
    </w:p>
    <w:p>
      <w:pPr>
        <w:pStyle w:val="Heading2"/>
      </w:pPr>
      <w:r>
        <w:t>5.1 철거 준비</w:t>
      </w:r>
    </w:p>
    <w:p>
      <w:r>
        <w:t>작업구역을 구획하고 보행자·차량의 안전한 동선을 확보한다. 안내판의 고정 상태와 전도 방향을 확인하고 낙하·전도 방지를 위한 지지·양중 및 작업 순서를 정한다. 전기적 연결과 위험 요소를 제거한 뒤 철거한다.</w:t>
      </w:r>
    </w:p>
    <w:p>
      <w:pPr>
        <w:pStyle w:val="Heading2"/>
      </w:pPr>
      <w:r>
        <w:t>5.2 해체 및 반출</w:t>
      </w:r>
    </w:p>
    <w:p>
      <w:r>
        <w:t>주변 가로등·정류소·전광판·분전함·건축물·포장 등을 보호하고 안내판과 관련 부속물을 단계적으로 해체한다. 철거물을 통행로에 방치하지 않으며, 부재의 날카로운 단부와 돌출물로 인한 위험을 방지한다.</w:t>
      </w:r>
    </w:p>
    <w:p>
      <w:r>
        <w:t>지주 고정부나 기초를 제거할 필요가 있는 경우 확정된 범위와 방법에 따른다. 계약범위가 불명확한 기초·포장 철거 및 복구는 감독자와 범위를 먼저 확인한다. 철거 과정에서 존치 시설의 손상이나 불안정이 발견되면 작업을 중지하고 보호조치 후 보고한다.</w:t>
      </w:r>
    </w:p>
    <w:p>
      <w:pPr>
        <w:pStyle w:val="Heading2"/>
      </w:pPr>
      <w:r>
        <w:t>5.3 철거 후 현장 처리</w:t>
      </w:r>
    </w:p>
    <w:p>
      <w:r>
        <w:t>철거 후 노출된 고정부·배선·관로, 날카로운 단부, 개구부 및 단차의 위험을 제거하거나 임시 보호한다. 계약범위에 포함된 마감·복구를 완료하고 보행 및 인접 시설 이용에 지장이 없도록 정리한다. 추가 복구가 필요한 경우 감독자와 처리방안을 협의한다.</w:t>
      </w:r>
    </w:p>
    <w:p>
      <w:pPr>
        <w:pStyle w:val="Heading1"/>
      </w:pPr>
      <w:r>
        <w:t>6. 안전·환경 및 폐기물 관리</w:t>
      </w:r>
    </w:p>
    <w:p>
      <w:pPr>
        <w:pStyle w:val="ListBullet"/>
      </w:pPr>
      <w:r>
        <w:t>작업자 보호구와 필요한 방호장치를 사용하고 낙하물·감전·전도·절단 등의 위험을 예방한다.</w:t>
      </w:r>
    </w:p>
    <w:p>
      <w:pPr>
        <w:pStyle w:val="ListBullet"/>
      </w:pPr>
      <w:r>
        <w:t>보행자와 작업구역이 겹치는 경우 적절한 유도·통제를 실시하고 필요한 경우 신호수를 배치한다.</w:t>
      </w:r>
    </w:p>
    <w:p>
      <w:pPr>
        <w:pStyle w:val="ListBullet"/>
      </w:pPr>
      <w:r>
        <w:t>작업 장비·자재·철거물로 출입구와 통행로를 막지 않는다.</w:t>
      </w:r>
    </w:p>
    <w:p>
      <w:pPr>
        <w:pStyle w:val="ListBullet"/>
      </w:pPr>
      <w:r>
        <w:t>소음·분진과 비산을 최소화하고 작업 중 발생한 이물질을 수시로 정리한다.</w:t>
      </w:r>
    </w:p>
    <w:p>
      <w:pPr>
        <w:pStyle w:val="ListBullet"/>
      </w:pPr>
      <w:r>
        <w:t>철거물은 발주기관의 재산·물품 처리 절차를 확인하여 재사용품·불용품·폐기물 등으로 구분한다. 임의 매각·양도·방치하지 않는다.</w:t>
      </w:r>
    </w:p>
    <w:p>
      <w:pPr>
        <w:pStyle w:val="ListBullet"/>
      </w:pPr>
      <w:r>
        <w:t>폐기물은 종류별로 분리·보관하고 관련 기준에 맞는 경로로 반출·처리하며 증빙을 제출한다.</w:t>
      </w:r>
    </w:p>
    <w:p>
      <w:pPr>
        <w:pStyle w:val="Heading1"/>
      </w:pPr>
      <w:r>
        <w:t>7. 검사 및 완료 기준</w:t>
      </w:r>
    </w:p>
    <w:p>
      <w:pPr>
        <w:pStyle w:val="Heading2"/>
      </w:pPr>
      <w:r>
        <w:t>7.1 위치별 확인</w:t>
      </w:r>
    </w:p>
    <w:p>
      <w:r>
        <w:t>7개소 각각에 대하여 다음 사항을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18"/>
              </w:rPr>
              <w:t>확인항목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18"/>
              </w:rPr>
              <w:t>완료 확인내용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철거 대상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확정된 안내판·지주·부속물의 철거 완료 및 존치 시설 보호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전기 마감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노출 충전부·미처리 접속부 없이 종단·절연·방수 등 필요한 마감 완료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존치 시설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전원 복구 및 관련 시설의 정상 작동 확인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통행·현장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위험 돌출물·개구부·단차의 처리 및 계약범위 내 현장 마감 완료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반출·정리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철거물 및 폐기물 반출·처리, 주변 청소 완료</w:t>
            </w:r>
          </w:p>
        </w:tc>
      </w:tr>
    </w:tbl>
    <w:p/>
    <w:p>
      <w:pPr>
        <w:pStyle w:val="Heading2"/>
      </w:pPr>
      <w:r>
        <w:t>7.2 제출자료</w:t>
      </w:r>
    </w:p>
    <w:p>
      <w:pPr>
        <w:pStyle w:val="ListBullet"/>
      </w:pPr>
      <w:r>
        <w:t>위치별 작업 전·중·후 사진 및 완료내역.</w:t>
      </w:r>
    </w:p>
    <w:p>
      <w:pPr>
        <w:pStyle w:val="ListBullet"/>
      </w:pPr>
      <w:r>
        <w:t>실제 철거한 배선·관로의 구간과 존치·종단 위치를 확인할 수 있는 기록.</w:t>
      </w:r>
    </w:p>
    <w:p>
      <w:pPr>
        <w:pStyle w:val="ListBullet"/>
      </w:pPr>
      <w:r>
        <w:t>해당 시험·측정 결과 및 존치 시설 작동 확인 기록.</w:t>
      </w:r>
    </w:p>
    <w:p>
      <w:pPr>
        <w:pStyle w:val="ListBullet"/>
      </w:pPr>
      <w:r>
        <w:t>철거물 인계·반출 및 폐기물 처리 증빙.</w:t>
      </w:r>
    </w:p>
    <w:p>
      <w:pPr>
        <w:pStyle w:val="ListBullet"/>
      </w:pPr>
      <w:r>
        <w:t>기타 계약도서에서 정한 준공 관련 서류.</w:t>
      </w:r>
    </w:p>
    <w:p>
      <w:r>
        <w:t>감독자는 계약도서 및 위치별 완료 상태를 확인한다. 미비 사항은 보완 후 재확인하며, 제출서류와 준공검사 절차를 마친 뒤 관련 절차에 따라 정산한다.</w:t>
      </w:r>
    </w:p>
    <w:p>
      <w:pPr>
        <w:pStyle w:val="Heading1"/>
      </w:pPr>
      <w:r>
        <w:t>8. 계약 전 확정사항</w:t>
      </w:r>
    </w:p>
    <w:p>
      <w:pPr>
        <w:pStyle w:val="ListBullet"/>
      </w:pPr>
      <w:r>
        <w:t>공사기간 및 작업 가능 일시.</w:t>
      </w:r>
    </w:p>
    <w:p>
      <w:pPr>
        <w:pStyle w:val="ListBullet"/>
      </w:pPr>
      <w:r>
        <w:t>7개소별 철거 대상, 실제 회로·전원 공급원과 관리주체.</w:t>
      </w:r>
    </w:p>
    <w:p>
      <w:pPr>
        <w:pStyle w:val="ListBullet"/>
      </w:pPr>
      <w:r>
        <w:t>케이블·싸인물·후렉시블의 구체적 작업 및 총액 포함범위.</w:t>
      </w:r>
    </w:p>
    <w:p>
      <w:pPr>
        <w:pStyle w:val="ListBullet"/>
      </w:pPr>
      <w:r>
        <w:t>기초·포장 철거·복구의 필요 여부, 포함범위 및 별도 협의사항.</w:t>
      </w:r>
    </w:p>
    <w:p>
      <w:pPr>
        <w:pStyle w:val="ListBullet"/>
      </w:pPr>
      <w:r>
        <w:t>적용 시험·검사 항목, 제출서류 및 현장 안전대책.</w:t>
      </w:r>
    </w:p>
    <w:p>
      <w:r>
        <w:t>※ 본 문서는 제공된 의뢰서·견적서를 토대로 작성한 검토용 시방서(안)이다. 현장조사와 계약범위 확인을 거쳐 확정한다. 원본 위치도·현장사진은 별도로 참조한다.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검토용 초안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6"/>
      </w:rPr>
      <w:t>홍대문화관광특구 지주식 안내판 철거 | 검토용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맑은 고딕" w:hAnsi="맑은 고딕" w:eastAsia="맑은 고딕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2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17203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지주식안내판_철거시방서_초안</dc:title>
  <dc:subject>지주식 안내판 7개소 철거 관련 검토용 초안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