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B6B"/>
          <w:sz w:val="56"/>
        </w:rPr>
        <w:t>VTH OmgevingsCheck</w:t>
      </w:r>
    </w:p>
    <w:p>
      <w:pPr>
        <w:jc w:val="center"/>
      </w:pPr>
      <w:r>
        <w:rPr>
          <w:color w:val="E65100"/>
          <w:sz w:val="36"/>
        </w:rPr>
        <w:t>Strategische App-analyse</w:t>
      </w:r>
    </w:p>
    <w:p>
      <w:pPr>
        <w:jc w:val="center"/>
      </w:pPr>
      <w:r>
        <w:rPr>
          <w:i/>
          <w:sz w:val="24"/>
        </w:rPr>
        <w:t>Toepassingen · Kansen · Valkuilen · Toekomstige mogelijkheden</w:t>
      </w:r>
    </w:p>
    <w:p/>
    <w:p>
      <w:pPr>
        <w:jc w:val="center"/>
      </w:pPr>
      <w:r>
        <w:rPr>
          <w:sz w:val="22"/>
        </w:rPr>
        <w:t>Datum: 21 april 2026</w:t>
      </w:r>
    </w:p>
    <w:p>
      <w:r>
        <w:br w:type="page"/>
      </w:r>
    </w:p>
    <w:p>
      <w:pPr>
        <w:pStyle w:val="Heading1"/>
      </w:pPr>
      <w:r>
        <w:rPr>
          <w:rFonts w:ascii="Calibri" w:hAnsi="Calibri"/>
          <w:color w:val="1B4B6B"/>
        </w:rPr>
        <w:t>1. Wat is deze app in één zin?</w:t>
      </w:r>
    </w:p>
    <w:p>
      <w:r>
        <w:rPr>
          <w:b w:val="0"/>
          <w:i w:val="0"/>
          <w:sz w:val="22"/>
        </w:rPr>
        <w:t>Een offline-first single-file tabletapp voor gemeentelijk bouwtoezicht volgens het Besluit bouwwerken leefomgeving (Bbl), waarmee een toezichthouder zaken beheert, controles op locatie uitvoert, foto’s koppelt aan bouwonderwerpen en getoetst wordt tegen 79 geverifieerde Bbl-artikelen en 28 toetsniveaus uit het BWTinfo-toezichtprotocol.</w:t>
      </w:r>
    </w:p>
    <w:p>
      <w:r>
        <w:rPr>
          <w:b w:val="0"/>
          <w:i/>
          <w:sz w:val="22"/>
        </w:rPr>
        <w:t>Schaal: circa 10.200 regels HTML/CSS/JS in één bestand, ~600 KB, geen build-stap, geen backend.</w:t>
      </w:r>
    </w:p>
    <w:p>
      <w:pPr>
        <w:pStyle w:val="Heading1"/>
      </w:pPr>
      <w:r>
        <w:rPr>
          <w:rFonts w:ascii="Calibri" w:hAnsi="Calibri"/>
          <w:color w:val="1B4B6B"/>
        </w:rPr>
        <w:t>2. Volledig functieoverzicht (huidige toepassingen)</w:t>
      </w:r>
    </w:p>
    <w:p>
      <w:pPr>
        <w:pStyle w:val="Heading2"/>
      </w:pPr>
      <w:r>
        <w:rPr>
          <w:rFonts w:ascii="Calibri" w:hAnsi="Calibri"/>
          <w:color w:val="1B4B6B"/>
        </w:rPr>
        <w:t>2.1 Zaak- en projectbeheer</w:t>
      </w:r>
    </w:p>
    <w:p>
      <w:pPr>
        <w:pStyle w:val="ListBullet"/>
      </w:pPr>
      <w:r>
        <w:t>Zakenlijst met filterchips (type zaak + status) en badges met counts</w:t>
      </w:r>
    </w:p>
    <w:p>
      <w:pPr>
        <w:pStyle w:val="ListBullet"/>
      </w:pPr>
      <w:r>
        <w:t>Sorteren op laatste controle, aanmaakdatum, naam of status</w:t>
      </w:r>
    </w:p>
    <w:p>
      <w:pPr>
        <w:pStyle w:val="ListBullet"/>
      </w:pPr>
      <w:r>
        <w:t>Zoeken op naam, adres of zaaknummer</w:t>
      </w:r>
    </w:p>
    <w:p>
      <w:pPr>
        <w:pStyle w:val="ListBullet"/>
      </w:pPr>
      <w:r>
        <w:t>Splitview-detail (lijst + detail) met 3 tabs: Basisgegevens, Controles, Voortgang</w:t>
      </w:r>
    </w:p>
    <w:p>
      <w:pPr>
        <w:pStyle w:val="ListBullet"/>
      </w:pPr>
      <w:r>
        <w:t>Kaartweergave (Leaflet) met status-gekleurde markers</w:t>
      </w:r>
    </w:p>
    <w:p>
      <w:pPr>
        <w:pStyle w:val="ListBullet"/>
      </w:pPr>
      <w:r>
        <w:t>"Vandaag"-zijpaneel met dagagenda</w:t>
      </w:r>
    </w:p>
    <w:p>
      <w:pPr>
        <w:pStyle w:val="Heading2"/>
      </w:pPr>
      <w:r>
        <w:rPr>
          <w:rFonts w:ascii="Calibri" w:hAnsi="Calibri"/>
          <w:color w:val="1B4B6B"/>
        </w:rPr>
        <w:t>2.2 Controles op locatie</w:t>
      </w:r>
    </w:p>
    <w:p>
      <w:pPr>
        <w:pStyle w:val="ListBullet"/>
      </w:pPr>
      <w:r>
        <w:t>6 controle-soorten: aanloop-, tussentijdse, eind-, melding-, her- en handhavingscontrole</w:t>
      </w:r>
    </w:p>
    <w:p>
      <w:pPr>
        <w:pStyle w:val="ListBullet"/>
      </w:pPr>
      <w:r>
        <w:t>Onderwerp-gedreven toetsing met resultaat (akkoord / akkoord-mits / niet-akkoord)</w:t>
      </w:r>
    </w:p>
    <w:p>
      <w:pPr>
        <w:pStyle w:val="ListBullet"/>
      </w:pPr>
      <w:r>
        <w:t>Bbl-artikel-lookup: 79 geverifieerde artikelen met lid-structuur en volledige wettekst</w:t>
      </w:r>
    </w:p>
    <w:p>
      <w:pPr>
        <w:pStyle w:val="ListBullet"/>
      </w:pPr>
      <w:r>
        <w:t>Toetsniveau-koppeling: automatische mapping naar BWTinfo-toetsmomenten</w:t>
      </w:r>
    </w:p>
    <w:p>
      <w:pPr>
        <w:pStyle w:val="ListBullet"/>
      </w:pPr>
      <w:r>
        <w:t>Vrije tekstvelden voor afwijking, termijn en advies aan aannemer/handhaving</w:t>
      </w:r>
    </w:p>
    <w:p>
      <w:pPr>
        <w:pStyle w:val="ListBullet"/>
      </w:pPr>
      <w:r>
        <w:t>Startuitvoering-detectie zet projectstatus automatisch op "In uitvoering"</w:t>
      </w:r>
    </w:p>
    <w:p>
      <w:pPr>
        <w:pStyle w:val="Heading2"/>
      </w:pPr>
      <w:r>
        <w:rPr>
          <w:rFonts w:ascii="Calibri" w:hAnsi="Calibri"/>
          <w:color w:val="1B4B6B"/>
        </w:rPr>
        <w:t>2.3 Foto’s</w:t>
      </w:r>
    </w:p>
    <w:p>
      <w:pPr>
        <w:pStyle w:val="ListBullet"/>
      </w:pPr>
      <w:r>
        <w:t>Per controle én per onderwerp koppelbaar</w:t>
      </w:r>
    </w:p>
    <w:p>
      <w:pPr>
        <w:pStyle w:val="ListBullet"/>
      </w:pPr>
      <w:r>
        <w:t>Base64-opslag in localStorage (vth_fotos)</w:t>
      </w:r>
    </w:p>
    <w:p>
      <w:pPr>
        <w:pStyle w:val="ListBullet"/>
      </w:pPr>
      <w:r>
        <w:t>Toelichting per foto</w:t>
      </w:r>
    </w:p>
    <w:p>
      <w:pPr>
        <w:pStyle w:val="ListBullet"/>
      </w:pPr>
      <w:r>
        <w:t>Native camera-toegang via capture="environment"</w:t>
      </w:r>
    </w:p>
    <w:p>
      <w:pPr>
        <w:pStyle w:val="Heading2"/>
      </w:pPr>
      <w:r>
        <w:rPr>
          <w:rFonts w:ascii="Calibri" w:hAnsi="Calibri"/>
          <w:color w:val="1B4B6B"/>
        </w:rPr>
        <w:t>2.4 PDF-import (vergunningen)</w:t>
      </w:r>
    </w:p>
    <w:p>
      <w:pPr>
        <w:pStyle w:val="ListBullet"/>
      </w:pPr>
      <w:r>
        <w:t>Upload vergunning-PDF → tekstextractie via PDF.js (offline worker)</w:t>
      </w:r>
    </w:p>
    <w:p>
      <w:pPr>
        <w:pStyle w:val="ListBullet"/>
      </w:pPr>
      <w:r>
        <w:t>Gebruiker selecteert tekst via muis/touch-sleep en wijst toe aan velden (zaaknummer, adres, voorschriften, etc.)</w:t>
      </w:r>
    </w:p>
    <w:p>
      <w:pPr>
        <w:pStyle w:val="ListBullet"/>
      </w:pPr>
      <w:r>
        <w:t>Importdata vult het projectformulier vooringevuld in</w:t>
      </w:r>
    </w:p>
    <w:p>
      <w:pPr>
        <w:pStyle w:val="Heading2"/>
      </w:pPr>
      <w:r>
        <w:rPr>
          <w:rFonts w:ascii="Calibri" w:hAnsi="Calibri"/>
          <w:color w:val="1B4B6B"/>
        </w:rPr>
        <w:t>2.5 Externe koppelingen</w:t>
      </w:r>
    </w:p>
    <w:p>
      <w:pPr>
        <w:pStyle w:val="ListBullet"/>
      </w:pPr>
      <w:r>
        <w:t>Ruimtelijke Plannen (DSO) — zoekopdracht op RD- of ETRS89-coördinaten</w:t>
      </w:r>
    </w:p>
    <w:p>
      <w:pPr>
        <w:pStyle w:val="ListBullet"/>
      </w:pPr>
      <w:r>
        <w:t>PDOK geocoding — automatisch adres → lat/lng + RD bij XLS-import</w:t>
      </w:r>
    </w:p>
    <w:p>
      <w:pPr>
        <w:pStyle w:val="ListBullet"/>
      </w:pPr>
      <w:r>
        <w:t>Zaaksysteem-knop — externe link (placeholder, uitbreidbaar)</w:t>
      </w:r>
    </w:p>
    <w:p>
      <w:pPr>
        <w:pStyle w:val="Heading2"/>
      </w:pPr>
      <w:r>
        <w:rPr>
          <w:rFonts w:ascii="Calibri" w:hAnsi="Calibri"/>
          <w:color w:val="1B4B6B"/>
        </w:rPr>
        <w:t>2.6 Rapportage en export</w:t>
      </w:r>
    </w:p>
    <w:p>
      <w:pPr>
        <w:pStyle w:val="ListBullet"/>
      </w:pPr>
      <w:r>
        <w:t>Print-view met gemeentenaam en logo, html2pdf-export</w:t>
      </w:r>
    </w:p>
    <w:p>
      <w:pPr>
        <w:pStyle w:val="ListBullet"/>
      </w:pPr>
      <w:r>
        <w:t>Sjabloonbeheer: eigen controlesjablonen definiëren</w:t>
      </w:r>
    </w:p>
    <w:p>
      <w:pPr>
        <w:pStyle w:val="ListBullet"/>
      </w:pPr>
      <w:r>
        <w:t>JSON-backup (manueel + automatisch) van projecten + foto’s + settings</w:t>
      </w:r>
    </w:p>
    <w:p>
      <w:pPr>
        <w:pStyle w:val="ListBullet"/>
      </w:pPr>
      <w:r>
        <w:t>XLS-import van zakenexport met PDOK-geocoding op de achtergrond</w:t>
      </w:r>
    </w:p>
    <w:p>
      <w:pPr>
        <w:pStyle w:val="Heading2"/>
      </w:pPr>
      <w:r>
        <w:rPr>
          <w:rFonts w:ascii="Calibri" w:hAnsi="Calibri"/>
          <w:color w:val="1B4B6B"/>
        </w:rPr>
        <w:t>2.7 Instellingen</w:t>
      </w:r>
    </w:p>
    <w:p>
      <w:pPr>
        <w:pStyle w:val="ListBullet"/>
      </w:pPr>
      <w:r>
        <w:t>Gemeentenaam, standaard toezichthouder, logo</w:t>
      </w:r>
    </w:p>
    <w:p>
      <w:pPr>
        <w:pStyle w:val="ListBullet"/>
      </w:pPr>
      <w:r>
        <w:t>API-key voor Ruimtelijke Plannen (DSO)</w:t>
      </w:r>
    </w:p>
    <w:p>
      <w:pPr>
        <w:pStyle w:val="Heading1"/>
      </w:pPr>
      <w:r>
        <w:rPr>
          <w:rFonts w:ascii="Calibri" w:hAnsi="Calibri"/>
          <w:color w:val="1B4B6B"/>
        </w:rPr>
        <w:t>3. Kansen (Opportunities)</w:t>
      </w:r>
    </w:p>
    <w:tbl>
      <w:tblPr>
        <w:tblStyle w:val="LightList-Accent1"/>
        <w:tblW w:type="auto" w:w="0"/>
        <w:tblLook w:firstColumn="1" w:firstRow="1" w:lastColumn="0" w:lastRow="0" w:noHBand="0" w:noVBand="1" w:val="04A0"/>
      </w:tblPr>
      <w:tblGrid>
        <w:gridCol w:w="4873"/>
        <w:gridCol w:w="4873"/>
      </w:tblGrid>
      <w:tr>
        <w:tc>
          <w:tcPr>
            <w:tcW w:type="dxa" w:w="4873"/>
            <w:shd w:val="clear" w:color="auto" w:fill="1B4B6B"/>
          </w:tcPr>
          <w:p>
            <w:r>
              <w:rPr>
                <w:b/>
                <w:color w:val="FFFFFF"/>
              </w:rPr>
              <w:t>Kans</w:t>
            </w:r>
          </w:p>
        </w:tc>
        <w:tc>
          <w:tcPr>
            <w:tcW w:type="dxa" w:w="4873"/>
            <w:shd w:val="clear" w:color="auto" w:fill="1B4B6B"/>
          </w:tcPr>
          <w:p>
            <w:r>
              <w:rPr>
                <w:b/>
                <w:color w:val="FFFFFF"/>
              </w:rPr>
              <w:t>Waarom dit telt</w:t>
            </w:r>
          </w:p>
        </w:tc>
      </w:tr>
      <w:tr>
        <w:tc>
          <w:tcPr>
            <w:tcW w:type="dxa" w:w="4873"/>
          </w:tcPr>
          <w:p>
            <w:r>
              <w:rPr>
                <w:b/>
              </w:rPr>
              <w:t>Nederlandse gemeentemarkt</w:t>
            </w:r>
          </w:p>
        </w:tc>
        <w:tc>
          <w:tcPr>
            <w:tcW w:type="dxa" w:w="4873"/>
          </w:tcPr>
          <w:p>
            <w:r>
              <w:t>Circa 340 gemeenten, allen gebonden aan de Omgevingswet. Geen SaaS-concurrent is volledig offline + tabletgericht.</w:t>
            </w:r>
          </w:p>
        </w:tc>
      </w:tr>
      <w:tr>
        <w:tc>
          <w:tcPr>
            <w:tcW w:type="dxa" w:w="4873"/>
          </w:tcPr>
          <w:p>
            <w:r>
              <w:rPr>
                <w:b/>
              </w:rPr>
              <w:t>Offline-first als verkoopargument</w:t>
            </w:r>
          </w:p>
        </w:tc>
        <w:tc>
          <w:tcPr>
            <w:tcW w:type="dxa" w:w="4873"/>
          </w:tcPr>
          <w:p>
            <w:r>
              <w:t>Kelders, bouwputten en kraanplaatsen hebben vaak geen netwerk; concurrenten (Squit, Centric, Roxit) zijn online-afhankelijk.</w:t>
            </w:r>
          </w:p>
        </w:tc>
      </w:tr>
      <w:tr>
        <w:tc>
          <w:tcPr>
            <w:tcW w:type="dxa" w:w="4873"/>
          </w:tcPr>
          <w:p>
            <w:r>
              <w:rPr>
                <w:b/>
              </w:rPr>
              <w:t>Bbl-artikelen als aanjager</w:t>
            </w:r>
          </w:p>
        </w:tc>
        <w:tc>
          <w:tcPr>
            <w:tcW w:type="dxa" w:w="4873"/>
          </w:tcPr>
          <w:p>
            <w:r>
              <w:t>79 artikelen is een uniek inhoudelijk actief. Uitbreiden tot volledige hoofdstukken 2–4 maakt dit "de Bbl-bijbel voor inspecteurs".</w:t>
            </w:r>
          </w:p>
        </w:tc>
      </w:tr>
      <w:tr>
        <w:tc>
          <w:tcPr>
            <w:tcW w:type="dxa" w:w="4873"/>
          </w:tcPr>
          <w:p>
            <w:r>
              <w:rPr>
                <w:b/>
              </w:rPr>
              <w:t>Toetsprotocol-integratie BWTinfo</w:t>
            </w:r>
          </w:p>
        </w:tc>
        <w:tc>
          <w:tcPr>
            <w:tcW w:type="dxa" w:w="4873"/>
          </w:tcPr>
          <w:p>
            <w:r>
              <w:t>Sluit direct aan op landelijk geaccepteerde werkwijze.</w:t>
            </w:r>
          </w:p>
        </w:tc>
      </w:tr>
      <w:tr>
        <w:tc>
          <w:tcPr>
            <w:tcW w:type="dxa" w:w="4873"/>
          </w:tcPr>
          <w:p>
            <w:r>
              <w:rPr>
                <w:b/>
              </w:rPr>
              <w:t>DSO/Ruimtelijke Plannen koppeling</w:t>
            </w:r>
          </w:p>
        </w:tc>
        <w:tc>
          <w:tcPr>
            <w:tcW w:type="dxa" w:w="4873"/>
          </w:tcPr>
          <w:p>
            <w:r>
              <w:t>Kan uitgebouwd tot automatische strijdigheidscheck tussen omgevingsplan en controle.</w:t>
            </w:r>
          </w:p>
        </w:tc>
      </w:tr>
      <w:tr>
        <w:tc>
          <w:tcPr>
            <w:tcW w:type="dxa" w:w="4873"/>
          </w:tcPr>
          <w:p>
            <w:r>
              <w:rPr>
                <w:b/>
              </w:rPr>
              <w:t>Wetgevingsbestanden als kennisbasis</w:t>
            </w:r>
          </w:p>
        </w:tc>
        <w:tc>
          <w:tcPr>
            <w:tcW w:type="dxa" w:w="4873"/>
          </w:tcPr>
          <w:p>
            <w:r>
              <w:t>De aanwezige BWBR0041297-tekstbestanden (hoofdstuk 3 en 4) vormen basis voor zoekmachine of AI-RAG.</w:t>
            </w:r>
          </w:p>
        </w:tc>
      </w:tr>
      <w:tr>
        <w:tc>
          <w:tcPr>
            <w:tcW w:type="dxa" w:w="4873"/>
          </w:tcPr>
          <w:p>
            <w:r>
              <w:rPr>
                <w:b/>
              </w:rPr>
              <w:t>Platformisering</w:t>
            </w:r>
          </w:p>
        </w:tc>
        <w:tc>
          <w:tcPr>
            <w:tcW w:type="dxa" w:w="4873"/>
          </w:tcPr>
          <w:p>
            <w:r>
              <w:t>Het datamodel is generiek genoeg om milieu, APV, sloop en brandveiligheid te dekken.</w:t>
            </w:r>
          </w:p>
        </w:tc>
      </w:tr>
      <w:tr>
        <w:tc>
          <w:tcPr>
            <w:tcW w:type="dxa" w:w="4873"/>
          </w:tcPr>
          <w:p>
            <w:r>
              <w:rPr>
                <w:b/>
              </w:rPr>
              <w:t>Laagdrempelige uitrol</w:t>
            </w:r>
          </w:p>
        </w:tc>
        <w:tc>
          <w:tcPr>
            <w:tcW w:type="dxa" w:w="4873"/>
          </w:tcPr>
          <w:p>
            <w:r>
              <w:t>Geen server, geen IT-afstemming. Pilot bij een gemeente kan binnen een week draaien.</w:t>
            </w:r>
          </w:p>
        </w:tc>
      </w:tr>
    </w:tbl>
    <w:p>
      <w:pPr>
        <w:pStyle w:val="Heading1"/>
      </w:pPr>
      <w:r>
        <w:rPr>
          <w:rFonts w:ascii="Calibri" w:hAnsi="Calibri"/>
          <w:color w:val="1B4B6B"/>
        </w:rPr>
        <w:t>4. Valkuilen (risico’s en technische schuld)</w:t>
      </w:r>
    </w:p>
    <w:p>
      <w:pPr>
        <w:pStyle w:val="Heading2"/>
      </w:pPr>
      <w:r>
        <w:rPr>
          <w:rFonts w:ascii="Calibri" w:hAnsi="Calibri"/>
          <w:color w:val="1B4B6B"/>
        </w:rPr>
        <w:t>4.1 Data en privacy</w:t>
      </w:r>
    </w:p>
    <w:p>
      <w:pPr>
        <w:pStyle w:val="ListBullet"/>
      </w:pPr>
      <w:r>
        <w:t>Geen authenticatie — iedereen met tablettoegang ziet alle zaken</w:t>
      </w:r>
    </w:p>
    <w:p>
      <w:pPr>
        <w:pStyle w:val="ListBullet"/>
      </w:pPr>
      <w:r>
        <w:t>Base64-foto’s in localStorage — browserlimiet ±5-10 MB, bij ~50 foto’s per project raakt opslag vol en faalt setItem stil</w:t>
      </w:r>
    </w:p>
    <w:p>
      <w:pPr>
        <w:pStyle w:val="ListBullet"/>
      </w:pPr>
      <w:r>
        <w:t>AVG-risico: persoonsgegevens (initiatiefnemer, aannemer, foto’s van personen) staan onversleuteld in browser-storage</w:t>
      </w:r>
    </w:p>
    <w:p>
      <w:pPr>
        <w:pStyle w:val="ListBullet"/>
      </w:pPr>
      <w:r>
        <w:t>Data verdwijnt bij cache-clear of browserwissel — geen echte sync, alleen handmatige JSON-export</w:t>
      </w:r>
    </w:p>
    <w:p>
      <w:pPr>
        <w:pStyle w:val="ListBullet"/>
      </w:pPr>
      <w:r>
        <w:t>Geen audit log — wie heeft wanneer welk oordeel gegeven is niet herleidbaar</w:t>
      </w:r>
    </w:p>
    <w:p>
      <w:pPr>
        <w:pStyle w:val="Heading2"/>
      </w:pPr>
      <w:r>
        <w:rPr>
          <w:rFonts w:ascii="Calibri" w:hAnsi="Calibri"/>
          <w:color w:val="1B4B6B"/>
        </w:rPr>
        <w:t>4.2 Technische schuld</w:t>
      </w:r>
    </w:p>
    <w:p>
      <w:pPr>
        <w:pStyle w:val="ListBullet"/>
      </w:pPr>
      <w:r>
        <w:t>10.200 regels in één bestand, geen modules, geen tests, geen build-tool</w:t>
      </w:r>
    </w:p>
    <w:p>
      <w:pPr>
        <w:pStyle w:val="ListBullet"/>
      </w:pPr>
      <w:r>
        <w:t>Duplicatie tussen index.html (536 KB) en index-tablet.html (600 KB)</w:t>
      </w:r>
    </w:p>
    <w:p>
      <w:pPr>
        <w:pStyle w:val="ListBullet"/>
      </w:pPr>
      <w:r>
        <w:t>15+ globale state-variabelen en monkey-patched navigatie (_origShowScreen)</w:t>
      </w:r>
    </w:p>
    <w:p>
      <w:pPr>
        <w:pStyle w:val="ListBullet"/>
      </w:pPr>
      <w:r>
        <w:t>Legacy-datamigratie was nodig — bewijst dat datacontract-evolutie ongecontroleerd verloopt</w:t>
      </w:r>
    </w:p>
    <w:p>
      <w:pPr>
        <w:pStyle w:val="ListBullet"/>
      </w:pPr>
      <w:r>
        <w:t>Inconsistente storage-keys (vth_projecten vs vth_projects)</w:t>
      </w:r>
    </w:p>
    <w:p>
      <w:pPr>
        <w:pStyle w:val="ListBullet"/>
      </w:pPr>
      <w:r>
        <w:t>DATAMODEL.md is verouderd en beschrijft nog oude status-/typewaarden</w:t>
      </w:r>
    </w:p>
    <w:p>
      <w:pPr>
        <w:pStyle w:val="ListBullet"/>
      </w:pPr>
      <w:r>
        <w:t>IndexedDB-sync en FileSystemFileHandle zijn half geïmplementeerd (dode code)</w:t>
      </w:r>
    </w:p>
    <w:p>
      <w:pPr>
        <w:pStyle w:val="Heading2"/>
      </w:pPr>
      <w:r>
        <w:rPr>
          <w:rFonts w:ascii="Calibri" w:hAnsi="Calibri"/>
          <w:color w:val="1B4B6B"/>
        </w:rPr>
        <w:t>4.3 Functionele kwetsbaarheden</w:t>
      </w:r>
    </w:p>
    <w:p>
      <w:pPr>
        <w:pStyle w:val="ListBullet"/>
      </w:pPr>
      <w:r>
        <w:t>PDF-tekstextractie met Y-positie-threshold 3px — breekt bij complexe vergunningen (tabellen, 2-koloms)</w:t>
      </w:r>
    </w:p>
    <w:p>
      <w:pPr>
        <w:pStyle w:val="ListBullet"/>
      </w:pPr>
      <w:r>
        <w:t>Geen duplicatendetectie bij XLS-import</w:t>
      </w:r>
    </w:p>
    <w:p>
      <w:pPr>
        <w:pStyle w:val="ListBullet"/>
      </w:pPr>
      <w:r>
        <w:t>Geen validatie van verplichte velden buiten "naam" en "type zaak"</w:t>
      </w:r>
    </w:p>
    <w:p>
      <w:pPr>
        <w:pStyle w:val="ListBullet"/>
      </w:pPr>
      <w:r>
        <w:t>Rapportgeneratie via html2pdf is traag bij veel foto’s en kan vastlopen</w:t>
      </w:r>
    </w:p>
    <w:p>
      <w:pPr>
        <w:pStyle w:val="Heading2"/>
      </w:pPr>
      <w:r>
        <w:rPr>
          <w:rFonts w:ascii="Calibri" w:hAnsi="Calibri"/>
          <w:color w:val="1B4B6B"/>
        </w:rPr>
        <w:t>4.4 Organisatorisch en commercieel</w:t>
      </w:r>
    </w:p>
    <w:p>
      <w:pPr>
        <w:pStyle w:val="ListBullet"/>
      </w:pPr>
      <w:r>
        <w:t>One-person-codebase zonder documentatie van architectuurbeslissingen</w:t>
      </w:r>
    </w:p>
    <w:p>
      <w:pPr>
        <w:pStyle w:val="ListBullet"/>
      </w:pPr>
      <w:r>
        <w:t>Geen versiebeheer voor Bbl-artikelen — jaarlijkse wetswijzigingen vereisen handmatige update</w:t>
      </w:r>
    </w:p>
    <w:p>
      <w:pPr>
        <w:pStyle w:val="ListBullet"/>
      </w:pPr>
      <w:r>
        <w:t>Geen SLA, supportproces of release-cyclus gedefinieerd</w:t>
      </w:r>
    </w:p>
    <w:p>
      <w:pPr>
        <w:pStyle w:val="ListBullet"/>
      </w:pPr>
      <w:r>
        <w:t>Vendor lock-in op PDF.js en html2pdf (html2pdf is CDN-afhankelijk)</w:t>
      </w:r>
    </w:p>
    <w:p>
      <w:pPr>
        <w:pStyle w:val="Heading1"/>
      </w:pPr>
      <w:r>
        <w:rPr>
          <w:rFonts w:ascii="Calibri" w:hAnsi="Calibri"/>
          <w:color w:val="1B4B6B"/>
        </w:rPr>
        <w:t>5. Toekomstige toepassingen — uitgewerkte roadmap</w:t>
      </w:r>
    </w:p>
    <w:p>
      <w:pPr>
        <w:pStyle w:val="Heading2"/>
      </w:pPr>
      <w:r>
        <w:rPr>
          <w:rFonts w:ascii="Calibri" w:hAnsi="Calibri"/>
          <w:color w:val="1B4B6B"/>
        </w:rPr>
        <w:t>Horizon 1 — Stabilisatie (1-3 maanden)</w:t>
      </w:r>
    </w:p>
    <w:p>
      <w:pPr>
        <w:pStyle w:val="ListNumber"/>
      </w:pPr>
      <w:r>
        <w:t>Cloud-backup via Azure/AWS S3 met gemeente-gebonden bucket — offline blijft primair</w:t>
      </w:r>
    </w:p>
    <w:p>
      <w:pPr>
        <w:pStyle w:val="ListNumber"/>
      </w:pPr>
      <w:r>
        <w:t>IndexedDB-migratie voor foto’s — blob-opslag i.p.v. base64, 100× meer ruimte</w:t>
      </w:r>
    </w:p>
    <w:p>
      <w:pPr>
        <w:pStyle w:val="ListNumber"/>
      </w:pPr>
      <w:r>
        <w:t>Automatische schema-migraties als herbruikbaar framework</w:t>
      </w:r>
    </w:p>
    <w:p>
      <w:pPr>
        <w:pStyle w:val="ListNumber"/>
      </w:pPr>
      <w:r>
        <w:t>index.html en index-tablet.html samenvoegen of mobiele variant definitief verwijderen</w:t>
      </w:r>
    </w:p>
    <w:p>
      <w:pPr>
        <w:pStyle w:val="ListNumber"/>
      </w:pPr>
      <w:r>
        <w:t>Rollenmodel: toezichthouder / teamleider / gemeente-admin met simpele PIN-login</w:t>
      </w:r>
    </w:p>
    <w:p>
      <w:pPr>
        <w:pStyle w:val="ListNumber"/>
      </w:pPr>
      <w:r>
        <w:t>Wetsversie-flag: Bbl-artikelen krijgen geldigVanaf/geldigTot velden</w:t>
      </w:r>
    </w:p>
    <w:p>
      <w:pPr>
        <w:pStyle w:val="Heading2"/>
      </w:pPr>
      <w:r>
        <w:rPr>
          <w:rFonts w:ascii="Calibri" w:hAnsi="Calibri"/>
          <w:color w:val="1B4B6B"/>
        </w:rPr>
        <w:t>Horizon 2 — Gebruikswaarde vergroten (3-9 maanden)</w:t>
      </w:r>
    </w:p>
    <w:p>
      <w:pPr>
        <w:pStyle w:val="ListNumber"/>
      </w:pPr>
      <w:r>
        <w:t>AI-assist bij PDF-import — LLM extraheert voorschriften automatisch</w:t>
      </w:r>
    </w:p>
    <w:p>
      <w:pPr>
        <w:pStyle w:val="ListNumber"/>
      </w:pPr>
      <w:r>
        <w:t>AI-samenvatting van controlebevindingen — dicteren, AI structureert naar advies/afwijking/termijn</w:t>
      </w:r>
    </w:p>
    <w:p>
      <w:pPr>
        <w:pStyle w:val="ListNumber"/>
      </w:pPr>
      <w:r>
        <w:t>QR-code op bouwbord — scannen opent direct de juiste zaak op locatie</w:t>
      </w:r>
    </w:p>
    <w:p>
      <w:pPr>
        <w:pStyle w:val="ListNumber"/>
      </w:pPr>
      <w:r>
        <w:t>Spraakmemo’s tijdens controle met Whisper-transcriptie (offline mogelijk)</w:t>
      </w:r>
    </w:p>
    <w:p>
      <w:pPr>
        <w:pStyle w:val="ListNumber"/>
      </w:pPr>
      <w:r>
        <w:t>Beeldvergelijking voor/na per onderwerp — side-by-side bij hercontrole</w:t>
      </w:r>
    </w:p>
    <w:p>
      <w:pPr>
        <w:pStyle w:val="ListNumber"/>
      </w:pPr>
      <w:r>
        <w:t>Automatische strijdigheidscheck omgevingsplan via DSO-API bij openen project</w:t>
      </w:r>
    </w:p>
    <w:p>
      <w:pPr>
        <w:pStyle w:val="ListNumber"/>
      </w:pPr>
      <w:r>
        <w:t>Offline kaarttiles via pre-cache van gemeentegrens (PDOK BRT)</w:t>
      </w:r>
    </w:p>
    <w:p>
      <w:pPr>
        <w:pStyle w:val="ListNumber"/>
      </w:pPr>
      <w:r>
        <w:t>Digitale handtekening op controlerapport (toezichthouder + aannemer)</w:t>
      </w:r>
    </w:p>
    <w:p>
      <w:pPr>
        <w:pStyle w:val="ListNumber"/>
      </w:pPr>
      <w:r>
        <w:t>Handhavingsbrief-generator uit "niet-akkoord"-bevindingen</w:t>
      </w:r>
    </w:p>
    <w:p>
      <w:pPr>
        <w:pStyle w:val="ListNumber"/>
      </w:pPr>
      <w:r>
        <w:t>Herinneringen voor termijngebonden hercontroles via Web Push</w:t>
      </w:r>
    </w:p>
    <w:p>
      <w:pPr>
        <w:pStyle w:val="Heading2"/>
      </w:pPr>
      <w:r>
        <w:rPr>
          <w:rFonts w:ascii="Calibri" w:hAnsi="Calibri"/>
          <w:color w:val="1B4B6B"/>
        </w:rPr>
        <w:t>Horizon 3 — Platformisering (9-18 maanden)</w:t>
      </w:r>
    </w:p>
    <w:p>
      <w:pPr>
        <w:pStyle w:val="ListNumber"/>
      </w:pPr>
      <w:r>
        <w:t>Multi-domein modules: milieu, APV, sloop, brandveiligheid</w:t>
      </w:r>
    </w:p>
    <w:p>
      <w:pPr>
        <w:pStyle w:val="ListNumber"/>
      </w:pPr>
      <w:r>
        <w:t>Koppeling met zaaksystemen: RX Mission, Djuma, JOIN, Centric iVergunningen</w:t>
      </w:r>
    </w:p>
    <w:p>
      <w:pPr>
        <w:pStyle w:val="ListNumber"/>
      </w:pPr>
      <w:r>
        <w:t>Stakeholder-portal voor aannemer: eigen afwijkingen inzien, reactie uploaden</w:t>
      </w:r>
    </w:p>
    <w:p>
      <w:pPr>
        <w:pStyle w:val="ListNumber"/>
      </w:pPr>
      <w:r>
        <w:t>Management-dashboard: doorlooptijden, compliance-rate, handhavings-incidenten per wijk</w:t>
      </w:r>
    </w:p>
    <w:p>
      <w:pPr>
        <w:pStyle w:val="ListNumber"/>
      </w:pPr>
      <w:r>
        <w:t>Native app-wrappers (Capacitor of WKWebView) voor betere camera- en GPS-integratie</w:t>
      </w:r>
    </w:p>
    <w:p>
      <w:pPr>
        <w:pStyle w:val="ListNumber"/>
      </w:pPr>
      <w:r>
        <w:t>Koppeling met LVBB (Landelijke Voorziening Bekendmaken en Beschikbaar stellen)</w:t>
      </w:r>
    </w:p>
    <w:p>
      <w:pPr>
        <w:pStyle w:val="ListNumber"/>
      </w:pPr>
      <w:r>
        <w:t>Uitbreiding BBL_ARTIKELEN naar volledige hoofdstukken 2-7</w:t>
      </w:r>
    </w:p>
    <w:p>
      <w:pPr>
        <w:pStyle w:val="ListNumber"/>
      </w:pPr>
      <w:r>
        <w:t>AI-kennisbank-chat (RAG op aanwezige BWBR-bestanden)</w:t>
      </w:r>
    </w:p>
    <w:p>
      <w:pPr>
        <w:pStyle w:val="Heading2"/>
      </w:pPr>
      <w:r>
        <w:rPr>
          <w:rFonts w:ascii="Calibri" w:hAnsi="Calibri"/>
          <w:color w:val="1B4B6B"/>
        </w:rPr>
        <w:t>Horizon 4 — Innovatie (18+ maanden)</w:t>
      </w:r>
    </w:p>
    <w:p>
      <w:pPr>
        <w:pStyle w:val="ListNumber"/>
      </w:pPr>
      <w:r>
        <w:t>Computer vision op bouwfoto’s — automatische detectie van veiligheidsrisico’s</w:t>
      </w:r>
    </w:p>
    <w:p>
      <w:pPr>
        <w:pStyle w:val="ListNumber"/>
      </w:pPr>
      <w:r>
        <w:t>Drone-integratie: inspectie-foto’s direct uit drone-missie koppelen aan onderwerpen</w:t>
      </w:r>
    </w:p>
    <w:p>
      <w:pPr>
        <w:pStyle w:val="ListNumber"/>
      </w:pPr>
      <w:r>
        <w:t>IoT-sensoren: temperatuur/vocht bij betonstort, trilling bij heien</w:t>
      </w:r>
    </w:p>
    <w:p>
      <w:pPr>
        <w:pStyle w:val="ListNumber"/>
      </w:pPr>
      <w:r>
        <w:t>Wetsveranderingen-monitor: automatische flag bij wijziging van geraadpleegde artikelen</w:t>
      </w:r>
    </w:p>
    <w:p>
      <w:pPr>
        <w:pStyle w:val="ListNumber"/>
      </w:pPr>
      <w:r>
        <w:t>Landelijke geanonimiseerde benchmarking tussen gemeenten</w:t>
      </w:r>
    </w:p>
    <w:p>
      <w:pPr>
        <w:pStyle w:val="Heading1"/>
      </w:pPr>
      <w:r>
        <w:rPr>
          <w:rFonts w:ascii="Calibri" w:hAnsi="Calibri"/>
          <w:color w:val="1B4B6B"/>
        </w:rPr>
        <w:t>6. Prioriteitsadvies</w:t>
      </w:r>
    </w:p>
    <w:p>
      <w:r>
        <w:rPr>
          <w:b/>
        </w:rPr>
        <w:t xml:space="preserve">Als er maar één vervolgstap gekozen mag worden: </w:t>
      </w:r>
      <w:r>
        <w:t>IndexedDB-migratie voor foto’s (Horizon 1, punt 2). Dit is de enige valkuil die vandaag al leidt tot stil dataverlies bij een toezichthouder die meer dan 20 foto’s per dag maakt.</w:t>
      </w:r>
    </w:p>
    <w:p>
      <w:r>
        <w:rPr>
          <w:b/>
        </w:rPr>
        <w:t xml:space="preserve">Daarna: </w:t>
      </w:r>
      <w:r>
        <w:t>Rollenmodel en cloud-backup (Horizon 1, punten 1 en 5). Zonder deze is de app juridisch niet houdbaar bij een AVG-audit.</w:t>
      </w:r>
    </w:p>
    <w:p>
      <w:r>
        <w:rPr>
          <w:b/>
        </w:rPr>
        <w:t xml:space="preserve">Hoogste business-waarde bij gelijke inspanning: </w:t>
      </w:r>
      <w:r>
        <w:t>AI-voorschriftextractie en automatische strijdigheidscheck DSO (Horizon 2, punten 1 en 6). Deze features onderscheiden de app van elk bestaand vergunningssysteem in Nederland.</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VTH OmgevingsCheck · Strategische App-analyse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