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808080"/>
          <w:sz w:val="20"/>
          <w:szCs w:val="20"/>
        </w:rPr>
        <w:t xml:space="preserve">THƯ VIỆN TRƯỜNG ĐẠI HỌC</w:t>
      </w:r>
    </w:p>
    <w:p>
      <w:pPr>
        <w:spacing w:after="60"/>
        <w:jc w:val="center"/>
      </w:pPr>
      <w:r>
        <w:rPr>
          <w:b/>
          <w:bCs/>
          <w:color w:val="1F4E79"/>
          <w:sz w:val="34"/>
          <w:szCs w:val="34"/>
        </w:rPr>
        <w:t xml:space="preserve">QUY ĐỊNH MƯỢN – TRẢ – GIA HẠN TÀI LIỆU</w:t>
      </w:r>
    </w:p>
    <w:p>
      <w:pPr>
        <w:spacing w:after="40"/>
        <w:jc w:val="center"/>
      </w:pPr>
      <w:r>
        <w:rPr>
          <w:i/>
          <w:iCs/>
          <w:color w:val="808080"/>
          <w:sz w:val="20"/>
          <w:szCs w:val="20"/>
        </w:rPr>
        <w:t xml:space="preserve">(Áp dụng cho sinh viên / độc giả)</w:t>
      </w:r>
    </w:p>
    <w:p>
      <w:pPr>
        <w:pBdr>
          <w:bottom w:val="single" w:color="1F4E79" w:sz="6" w:space="8"/>
        </w:pBdr>
        <w:spacing w:after="200"/>
        <w:jc w:val="center"/>
      </w:pPr>
      <w:r>
        <w:rPr>
          <w:color w:val="A0A0A0"/>
          <w:sz w:val="18"/>
          <w:szCs w:val="18"/>
        </w:rPr>
        <w:t xml:space="preserve">Mã văn bản: QĐ-TV-01  •  Phiên bản giả định phục vụ mô phỏng</w:t>
      </w:r>
    </w:p>
    <w:p>
      <w:pPr>
        <w:spacing w:after="100" w:line="276"/>
      </w:pPr>
      <w:r>
        <w:rPr>
          <w:b/>
          <w:bCs/>
          <w:color w:val="1F4E79"/>
          <w:sz w:val="21"/>
          <w:szCs w:val="21"/>
        </w:rPr>
        <w:t xml:space="preserve">Lưu ý: </w:t>
      </w:r>
      <w:r>
        <w:rPr>
          <w:i/>
          <w:iCs/>
          <w:sz w:val="21"/>
          <w:szCs w:val="21"/>
        </w:rPr>
        <w:t xml:space="preserve">Đây là bản quy định giả định, dùng làm dữ liệu nền cho trợ lý thư viện. Các con số (số lượng, thời hạn, mức phạt) được đặt theo thông lệ thư viện đại học và có thể điều chỉnh.</w:t>
      </w:r>
    </w:p>
    <w:p>
      <w:pPr>
        <w:pStyle w:val="Heading1"/>
        <w:spacing w:after="120" w:before="240"/>
      </w:pPr>
      <w:r>
        <w:rPr>
          <w:b/>
          <w:bCs/>
          <w:color w:val="1F4E79"/>
          <w:sz w:val="28"/>
          <w:szCs w:val="28"/>
        </w:rPr>
        <w:t xml:space="preserve">1. Định danh độc giả</w:t>
      </w:r>
    </w:p>
    <w:p>
      <w:pPr>
        <w:spacing w:after="100" w:line="276"/>
      </w:pPr>
      <w:r>
        <w:rPr>
          <w:sz w:val="22"/>
          <w:szCs w:val="22"/>
        </w:rPr>
        <w:t xml:space="preserve">Mỗi độc giả được định danh bằng Mã số sinh viên (MSSV) — đồng thời là mã thẻ thư viện. Mọi thao tác tra cứu hồ sơ mượn, gia hạn, đặt giữ đều thực hiện dựa trên MSSV.</w:t>
      </w:r>
    </w:p>
    <w:p>
      <w:pPr>
        <w:pStyle w:val="ListParagraph"/>
        <w:numPr>
          <w:ilvl w:val="0"/>
          <w:numId w:val="2"/>
        </w:numPr>
        <w:spacing w:after="60" w:line="276"/>
      </w:pPr>
      <w:r>
        <w:rPr>
          <w:sz w:val="22"/>
          <w:szCs w:val="22"/>
        </w:rPr>
        <w:t xml:space="preserve">Định dạng MSSV: gồm 8 ký tự (ví dụ: 21010123).</w:t>
      </w:r>
    </w:p>
    <w:p>
      <w:pPr>
        <w:pStyle w:val="ListParagraph"/>
        <w:numPr>
          <w:ilvl w:val="0"/>
          <w:numId w:val="2"/>
        </w:numPr>
        <w:spacing w:after="60" w:line="276"/>
      </w:pPr>
      <w:r>
        <w:rPr>
          <w:sz w:val="22"/>
          <w:szCs w:val="22"/>
        </w:rPr>
        <w:t xml:space="preserve">Độc giả cung cấp MSSV khi cần tra hồ sơ cá nhân hoặc thực hiện gia hạn / đặt giữ.</w:t>
      </w:r>
    </w:p>
    <w:p>
      <w:pPr>
        <w:pStyle w:val="Heading1"/>
        <w:spacing w:after="120" w:before="240"/>
      </w:pPr>
      <w:r>
        <w:rPr>
          <w:b/>
          <w:bCs/>
          <w:color w:val="1F4E79"/>
          <w:sz w:val="28"/>
          <w:szCs w:val="28"/>
        </w:rPr>
        <w:t xml:space="preserve">2. Quy định mượn tài liệu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600"/>
      </w:tblGrid>
      <w:tr>
        <w:trPr>
          <w:tblHeader/>
        </w:trPr>
        <w:tc>
          <w:tcPr>
            <w:tcW w:type="dxa" w:w="3400"/>
            <w:shd w:fill="DDEBF7" w:color="auto" w:val="clear"/>
            <w:tcMar>
              <w:top w:type="dxa" w:w="60"/>
              <w:left w:type="dxa" w:w="100"/>
              <w:bottom w:type="dxa" w:w="60"/>
              <w:right w:type="dxa" w:w="100"/>
            </w:tcMar>
          </w:tcPr>
          <w:p>
            <w:r>
              <w:rPr>
                <w:b/>
                <w:bCs/>
                <w:color w:val="1F4E79"/>
                <w:sz w:val="21"/>
                <w:szCs w:val="21"/>
              </w:rPr>
              <w:t xml:space="preserve">Nhóm tài liệu</w:t>
            </w:r>
          </w:p>
        </w:tc>
        <w:tc>
          <w:tcPr>
            <w:tcW w:type="dxa" w:w="3000"/>
            <w:shd w:fill="DDEBF7" w:color="auto" w:val="clear"/>
            <w:tcMar>
              <w:top w:type="dxa" w:w="60"/>
              <w:left w:type="dxa" w:w="100"/>
              <w:bottom w:type="dxa" w:w="60"/>
              <w:right w:type="dxa" w:w="100"/>
            </w:tcMar>
          </w:tcPr>
          <w:p>
            <w:r>
              <w:rPr>
                <w:b/>
                <w:bCs/>
                <w:color w:val="1F4E79"/>
                <w:sz w:val="21"/>
                <w:szCs w:val="21"/>
              </w:rPr>
              <w:t xml:space="preserve">Số cuốn mượn tối đa cùng lúc</w:t>
            </w:r>
          </w:p>
        </w:tc>
        <w:tc>
          <w:tcPr>
            <w:tcW w:type="dxa" w:w="2600"/>
            <w:shd w:fill="DDEBF7" w:color="auto" w:val="clear"/>
            <w:tcMar>
              <w:top w:type="dxa" w:w="60"/>
              <w:left w:type="dxa" w:w="100"/>
              <w:bottom w:type="dxa" w:w="60"/>
              <w:right w:type="dxa" w:w="100"/>
            </w:tcMar>
          </w:tcPr>
          <w:p>
            <w:r>
              <w:rPr>
                <w:b/>
                <w:bCs/>
                <w:color w:val="1F4E79"/>
                <w:sz w:val="21"/>
                <w:szCs w:val="21"/>
              </w:rPr>
              <w:t xml:space="preserve">Thời hạn mượn / lần</w:t>
            </w:r>
          </w:p>
        </w:tc>
      </w:tr>
      <w:tr>
        <w:trPr>
          <w:tblHeader w:val="false"/>
        </w:trPr>
        <w:tc>
          <w:tcPr>
            <w:tcW w:type="dxa" w:w="3400"/>
            <w:tcMar>
              <w:top w:type="dxa" w:w="60"/>
              <w:left w:type="dxa" w:w="100"/>
              <w:bottom w:type="dxa" w:w="60"/>
              <w:right w:type="dxa" w:w="100"/>
            </w:tcMar>
          </w:tcPr>
          <w:p>
            <w:r>
              <w:rPr>
                <w:b w:val="false"/>
                <w:bCs w:val="false"/>
                <w:color w:val="000000"/>
                <w:sz w:val="21"/>
                <w:szCs w:val="21"/>
              </w:rPr>
              <w:t xml:space="preserve">Sách giáo trình, tham khảo</w:t>
            </w:r>
          </w:p>
        </w:tc>
        <w:tc>
          <w:tcPr>
            <w:tcW w:type="dxa" w:w="3000"/>
            <w:tcMar>
              <w:top w:type="dxa" w:w="60"/>
              <w:left w:type="dxa" w:w="100"/>
              <w:bottom w:type="dxa" w:w="60"/>
              <w:right w:type="dxa" w:w="100"/>
            </w:tcMar>
          </w:tcPr>
          <w:p>
            <w:r>
              <w:rPr>
                <w:b w:val="false"/>
                <w:bCs w:val="false"/>
                <w:color w:val="000000"/>
                <w:sz w:val="21"/>
                <w:szCs w:val="21"/>
              </w:rPr>
              <w:t xml:space="preserve">05 cuốn</w:t>
            </w:r>
          </w:p>
        </w:tc>
        <w:tc>
          <w:tcPr>
            <w:tcW w:type="dxa" w:w="2600"/>
            <w:tcMar>
              <w:top w:type="dxa" w:w="60"/>
              <w:left w:type="dxa" w:w="100"/>
              <w:bottom w:type="dxa" w:w="60"/>
              <w:right w:type="dxa" w:w="100"/>
            </w:tcMar>
          </w:tcPr>
          <w:p>
            <w:r>
              <w:rPr>
                <w:b w:val="false"/>
                <w:bCs w:val="false"/>
                <w:color w:val="000000"/>
                <w:sz w:val="21"/>
                <w:szCs w:val="21"/>
              </w:rPr>
              <w:t xml:space="preserve">14 ngày</w:t>
            </w:r>
          </w:p>
        </w:tc>
      </w:tr>
      <w:tr>
        <w:trPr>
          <w:tblHeader w:val="false"/>
        </w:trPr>
        <w:tc>
          <w:tcPr>
            <w:tcW w:type="dxa" w:w="3400"/>
            <w:tcMar>
              <w:top w:type="dxa" w:w="60"/>
              <w:left w:type="dxa" w:w="100"/>
              <w:bottom w:type="dxa" w:w="60"/>
              <w:right w:type="dxa" w:w="100"/>
            </w:tcMar>
          </w:tcPr>
          <w:p>
            <w:r>
              <w:rPr>
                <w:b w:val="false"/>
                <w:bCs w:val="false"/>
                <w:color w:val="000000"/>
                <w:sz w:val="21"/>
                <w:szCs w:val="21"/>
              </w:rPr>
              <w:t xml:space="preserve">Sách thường (văn học, phổ thông)</w:t>
            </w:r>
          </w:p>
        </w:tc>
        <w:tc>
          <w:tcPr>
            <w:tcW w:type="dxa" w:w="3000"/>
            <w:tcMar>
              <w:top w:type="dxa" w:w="60"/>
              <w:left w:type="dxa" w:w="100"/>
              <w:bottom w:type="dxa" w:w="60"/>
              <w:right w:type="dxa" w:w="100"/>
            </w:tcMar>
          </w:tcPr>
          <w:p>
            <w:r>
              <w:rPr>
                <w:b w:val="false"/>
                <w:bCs w:val="false"/>
                <w:color w:val="000000"/>
                <w:sz w:val="21"/>
                <w:szCs w:val="21"/>
              </w:rPr>
              <w:t xml:space="preserve">05 cuốn</w:t>
            </w:r>
          </w:p>
        </w:tc>
        <w:tc>
          <w:tcPr>
            <w:tcW w:type="dxa" w:w="2600"/>
            <w:tcMar>
              <w:top w:type="dxa" w:w="60"/>
              <w:left w:type="dxa" w:w="100"/>
              <w:bottom w:type="dxa" w:w="60"/>
              <w:right w:type="dxa" w:w="100"/>
            </w:tcMar>
          </w:tcPr>
          <w:p>
            <w:r>
              <w:rPr>
                <w:b w:val="false"/>
                <w:bCs w:val="false"/>
                <w:color w:val="000000"/>
                <w:sz w:val="21"/>
                <w:szCs w:val="21"/>
              </w:rPr>
              <w:t xml:space="preserve">14 ngày</w:t>
            </w:r>
          </w:p>
        </w:tc>
      </w:tr>
      <w:tr>
        <w:trPr>
          <w:tblHeader w:val="false"/>
        </w:trPr>
        <w:tc>
          <w:tcPr>
            <w:tcW w:type="dxa" w:w="3400"/>
            <w:tcMar>
              <w:top w:type="dxa" w:w="60"/>
              <w:left w:type="dxa" w:w="100"/>
              <w:bottom w:type="dxa" w:w="60"/>
              <w:right w:type="dxa" w:w="100"/>
            </w:tcMar>
          </w:tcPr>
          <w:p>
            <w:r>
              <w:rPr>
                <w:b w:val="false"/>
                <w:bCs w:val="false"/>
                <w:color w:val="000000"/>
                <w:sz w:val="21"/>
                <w:szCs w:val="21"/>
              </w:rPr>
              <w:t xml:space="preserve">Tài liệu tra cứu (từ điển, atlas)</w:t>
            </w:r>
          </w:p>
        </w:tc>
        <w:tc>
          <w:tcPr>
            <w:tcW w:type="dxa" w:w="3000"/>
            <w:tcMar>
              <w:top w:type="dxa" w:w="60"/>
              <w:left w:type="dxa" w:w="100"/>
              <w:bottom w:type="dxa" w:w="60"/>
              <w:right w:type="dxa" w:w="100"/>
            </w:tcMar>
          </w:tcPr>
          <w:p>
            <w:r>
              <w:rPr>
                <w:b w:val="false"/>
                <w:bCs w:val="false"/>
                <w:color w:val="000000"/>
                <w:sz w:val="21"/>
                <w:szCs w:val="21"/>
              </w:rPr>
              <w:t xml:space="preserve">Đọc tại chỗ</w:t>
            </w:r>
          </w:p>
        </w:tc>
        <w:tc>
          <w:tcPr>
            <w:tcW w:type="dxa" w:w="2600"/>
            <w:tcMar>
              <w:top w:type="dxa" w:w="60"/>
              <w:left w:type="dxa" w:w="100"/>
              <w:bottom w:type="dxa" w:w="60"/>
              <w:right w:type="dxa" w:w="100"/>
            </w:tcMar>
          </w:tcPr>
          <w:p>
            <w:r>
              <w:rPr>
                <w:b w:val="false"/>
                <w:bCs w:val="false"/>
                <w:color w:val="000000"/>
                <w:sz w:val="21"/>
                <w:szCs w:val="21"/>
              </w:rPr>
              <w:t xml:space="preserve">Không cho mượn về</w:t>
            </w:r>
          </w:p>
        </w:tc>
      </w:tr>
    </w:tbl>
    <w:p>
      <w:pPr>
        <w:spacing w:after="100" w:line="276"/>
      </w:pPr>
      <w:r>
        <w:rPr>
          <w:sz w:val="22"/>
          <w:szCs w:val="22"/>
        </w:rPr>
        <w:t xml:space="preserve"/>
      </w:r>
    </w:p>
    <w:p>
      <w:pPr>
        <w:pStyle w:val="ListParagraph"/>
        <w:numPr>
          <w:ilvl w:val="0"/>
          <w:numId w:val="2"/>
        </w:numPr>
        <w:spacing w:after="60" w:line="276"/>
      </w:pPr>
      <w:r>
        <w:rPr>
          <w:sz w:val="22"/>
          <w:szCs w:val="22"/>
        </w:rPr>
        <w:t xml:space="preserve">Tổng số cuốn mượn về tối đa tại một thời điểm: 05 cuốn.</w:t>
      </w:r>
    </w:p>
    <w:p>
      <w:pPr>
        <w:pStyle w:val="ListParagraph"/>
        <w:numPr>
          <w:ilvl w:val="0"/>
          <w:numId w:val="2"/>
        </w:numPr>
        <w:spacing w:after="60" w:line="276"/>
      </w:pPr>
      <w:r>
        <w:rPr>
          <w:sz w:val="22"/>
          <w:szCs w:val="22"/>
        </w:rPr>
        <w:t xml:space="preserve">Mỗi đầu sách có thể có nhiều bản; độc giả mượn 01 bản của mỗi đầu sách.</w:t>
      </w:r>
    </w:p>
    <w:p>
      <w:pPr>
        <w:pStyle w:val="Heading1"/>
        <w:spacing w:after="120" w:before="240"/>
      </w:pPr>
      <w:r>
        <w:rPr>
          <w:b/>
          <w:bCs/>
          <w:color w:val="1F4E79"/>
          <w:sz w:val="28"/>
          <w:szCs w:val="28"/>
        </w:rPr>
        <w:t xml:space="preserve">3. Quy định trả tài liệu</w:t>
      </w:r>
    </w:p>
    <w:p>
      <w:pPr>
        <w:pStyle w:val="ListParagraph"/>
        <w:numPr>
          <w:ilvl w:val="0"/>
          <w:numId w:val="2"/>
        </w:numPr>
        <w:spacing w:after="60" w:line="276"/>
      </w:pPr>
      <w:r>
        <w:rPr>
          <w:sz w:val="22"/>
          <w:szCs w:val="22"/>
        </w:rPr>
        <w:t xml:space="preserve">Trả tài liệu tại quầy thủ thư, đúng hoặc trước ngày hết hạn ghi trên phiếu mượn.</w:t>
      </w:r>
    </w:p>
    <w:p>
      <w:pPr>
        <w:pStyle w:val="ListParagraph"/>
        <w:numPr>
          <w:ilvl w:val="0"/>
          <w:numId w:val="2"/>
        </w:numPr>
        <w:spacing w:after="60" w:line="276"/>
      </w:pPr>
      <w:r>
        <w:rPr>
          <w:sz w:val="22"/>
          <w:szCs w:val="22"/>
        </w:rPr>
        <w:t xml:space="preserve">Tài liệu trả trong tình trạng nguyên vẹn; hư hỏng / mất phải đền bù theo quy định riêng.</w:t>
      </w:r>
    </w:p>
    <w:p>
      <w:pPr>
        <w:pStyle w:val="Heading1"/>
        <w:spacing w:after="120" w:before="240"/>
      </w:pPr>
      <w:r>
        <w:rPr>
          <w:b/>
          <w:bCs/>
          <w:color w:val="1F4E79"/>
          <w:sz w:val="28"/>
          <w:szCs w:val="28"/>
        </w:rPr>
        <w:t xml:space="preserve">4. Quy định gia hạn</w:t>
      </w:r>
    </w:p>
    <w:p>
      <w:pPr>
        <w:spacing w:after="100" w:line="276"/>
      </w:pPr>
      <w:r>
        <w:rPr>
          <w:sz w:val="22"/>
          <w:szCs w:val="22"/>
        </w:rPr>
        <w:t xml:space="preserve">Gia hạn cho phép dời ngày trả để giữ tài liệu thêm một thời gian, khi tài liệu đủ điều kiện.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DEBF7" w:color="auto" w:val="clear"/>
            <w:tcMar>
              <w:top w:type="dxa" w:w="60"/>
              <w:left w:type="dxa" w:w="100"/>
              <w:bottom w:type="dxa" w:w="60"/>
              <w:right w:type="dxa" w:w="100"/>
            </w:tcMar>
          </w:tcPr>
          <w:p>
            <w:r>
              <w:rPr>
                <w:b/>
                <w:bCs/>
                <w:color w:val="1F4E79"/>
                <w:sz w:val="21"/>
                <w:szCs w:val="21"/>
              </w:rPr>
              <w:t xml:space="preserve">Tiêu chí</w:t>
            </w:r>
          </w:p>
        </w:tc>
        <w:tc>
          <w:tcPr>
            <w:tcW w:type="dxa" w:w="4500"/>
            <w:shd w:fill="DDEBF7" w:color="auto" w:val="clear"/>
            <w:tcMar>
              <w:top w:type="dxa" w:w="60"/>
              <w:left w:type="dxa" w:w="100"/>
              <w:bottom w:type="dxa" w:w="60"/>
              <w:right w:type="dxa" w:w="100"/>
            </w:tcMar>
          </w:tcPr>
          <w:p>
            <w:r>
              <w:rPr>
                <w:b/>
                <w:bCs/>
                <w:color w:val="1F4E79"/>
                <w:sz w:val="21"/>
                <w:szCs w:val="21"/>
              </w:rPr>
              <w:t xml:space="preserve">Quy định giả định</w:t>
            </w:r>
          </w:p>
        </w:tc>
      </w:tr>
      <w:tr>
        <w:trPr>
          <w:tblHeader w:val="false"/>
        </w:trPr>
        <w:tc>
          <w:tcPr>
            <w:tcW w:type="dxa" w:w="4500"/>
            <w:tcMar>
              <w:top w:type="dxa" w:w="60"/>
              <w:left w:type="dxa" w:w="100"/>
              <w:bottom w:type="dxa" w:w="60"/>
              <w:right w:type="dxa" w:w="100"/>
            </w:tcMar>
          </w:tcPr>
          <w:p>
            <w:r>
              <w:rPr>
                <w:b w:val="false"/>
                <w:bCs w:val="false"/>
                <w:color w:val="000000"/>
                <w:sz w:val="21"/>
                <w:szCs w:val="21"/>
              </w:rPr>
              <w:t xml:space="preserve">Số lần gia hạn tối đa / cuốn</w:t>
            </w:r>
          </w:p>
        </w:tc>
        <w:tc>
          <w:tcPr>
            <w:tcW w:type="dxa" w:w="4500"/>
            <w:tcMar>
              <w:top w:type="dxa" w:w="60"/>
              <w:left w:type="dxa" w:w="100"/>
              <w:bottom w:type="dxa" w:w="60"/>
              <w:right w:type="dxa" w:w="100"/>
            </w:tcMar>
          </w:tcPr>
          <w:p>
            <w:r>
              <w:rPr>
                <w:b w:val="false"/>
                <w:bCs w:val="false"/>
                <w:color w:val="000000"/>
                <w:sz w:val="21"/>
                <w:szCs w:val="21"/>
              </w:rPr>
              <w:t xml:space="preserve">02 lần</w:t>
            </w:r>
          </w:p>
        </w:tc>
      </w:tr>
      <w:tr>
        <w:trPr>
          <w:tblHeader w:val="false"/>
        </w:trPr>
        <w:tc>
          <w:tcPr>
            <w:tcW w:type="dxa" w:w="4500"/>
            <w:tcMar>
              <w:top w:type="dxa" w:w="60"/>
              <w:left w:type="dxa" w:w="100"/>
              <w:bottom w:type="dxa" w:w="60"/>
              <w:right w:type="dxa" w:w="100"/>
            </w:tcMar>
          </w:tcPr>
          <w:p>
            <w:r>
              <w:rPr>
                <w:b w:val="false"/>
                <w:bCs w:val="false"/>
                <w:color w:val="000000"/>
                <w:sz w:val="21"/>
                <w:szCs w:val="21"/>
              </w:rPr>
              <w:t xml:space="preserve">Thời gian gia hạn mỗi lần</w:t>
            </w:r>
          </w:p>
        </w:tc>
        <w:tc>
          <w:tcPr>
            <w:tcW w:type="dxa" w:w="4500"/>
            <w:tcMar>
              <w:top w:type="dxa" w:w="60"/>
              <w:left w:type="dxa" w:w="100"/>
              <w:bottom w:type="dxa" w:w="60"/>
              <w:right w:type="dxa" w:w="100"/>
            </w:tcMar>
          </w:tcPr>
          <w:p>
            <w:r>
              <w:rPr>
                <w:b w:val="false"/>
                <w:bCs w:val="false"/>
                <w:color w:val="000000"/>
                <w:sz w:val="21"/>
                <w:szCs w:val="21"/>
              </w:rPr>
              <w:t xml:space="preserve">+07 ngày</w:t>
            </w:r>
          </w:p>
        </w:tc>
      </w:tr>
      <w:tr>
        <w:trPr>
          <w:tblHeader w:val="false"/>
        </w:trPr>
        <w:tc>
          <w:tcPr>
            <w:tcW w:type="dxa" w:w="4500"/>
            <w:tcMar>
              <w:top w:type="dxa" w:w="60"/>
              <w:left w:type="dxa" w:w="100"/>
              <w:bottom w:type="dxa" w:w="60"/>
              <w:right w:type="dxa" w:w="100"/>
            </w:tcMar>
          </w:tcPr>
          <w:p>
            <w:r>
              <w:rPr>
                <w:b w:val="false"/>
                <w:bCs w:val="false"/>
                <w:color w:val="000000"/>
                <w:sz w:val="21"/>
                <w:szCs w:val="21"/>
              </w:rPr>
              <w:t xml:space="preserve">Điều kiện tiên quyết</w:t>
            </w:r>
          </w:p>
        </w:tc>
        <w:tc>
          <w:tcPr>
            <w:tcW w:type="dxa" w:w="4500"/>
            <w:tcMar>
              <w:top w:type="dxa" w:w="60"/>
              <w:left w:type="dxa" w:w="100"/>
              <w:bottom w:type="dxa" w:w="60"/>
              <w:right w:type="dxa" w:w="100"/>
            </w:tcMar>
          </w:tcPr>
          <w:p>
            <w:r>
              <w:rPr>
                <w:b w:val="false"/>
                <w:bCs w:val="false"/>
                <w:color w:val="000000"/>
                <w:sz w:val="21"/>
                <w:szCs w:val="21"/>
              </w:rPr>
              <w:t xml:space="preserve">Không có cuốn nào đang quá hạn</w:t>
            </w:r>
          </w:p>
        </w:tc>
      </w:tr>
    </w:tbl>
    <w:p>
      <w:pPr>
        <w:spacing w:after="100" w:line="276"/>
      </w:pPr>
      <w:r>
        <w:rPr>
          <w:sz w:val="22"/>
          <w:szCs w:val="22"/>
        </w:rPr>
        <w:t xml:space="preserve"/>
      </w:r>
    </w:p>
    <w:p>
      <w:pPr>
        <w:pStyle w:val="Heading2"/>
        <w:spacing w:after="80" w:before="180"/>
      </w:pPr>
      <w:r>
        <w:rPr>
          <w:b/>
          <w:bCs/>
          <w:color w:val="1F4E79"/>
          <w:sz w:val="24"/>
          <w:szCs w:val="24"/>
        </w:rPr>
        <w:t xml:space="preserve">Điều kiện được gia hạn — phải thỏa mãn ĐỒNG THỜI:</w:t>
      </w:r>
    </w:p>
    <w:p>
      <w:pPr>
        <w:pStyle w:val="ListParagraph"/>
        <w:numPr>
          <w:ilvl w:val="0"/>
          <w:numId w:val="2"/>
        </w:numPr>
        <w:spacing w:after="60" w:line="276"/>
      </w:pPr>
      <w:r>
        <w:rPr>
          <w:sz w:val="22"/>
          <w:szCs w:val="22"/>
        </w:rPr>
        <w:t xml:space="preserve">Cuốn sách hiện KHÔNG có độc giả khác đặt giữ (reserve).</w:t>
      </w:r>
    </w:p>
    <w:p>
      <w:pPr>
        <w:pStyle w:val="ListParagraph"/>
        <w:numPr>
          <w:ilvl w:val="0"/>
          <w:numId w:val="2"/>
        </w:numPr>
        <w:spacing w:after="60" w:line="276"/>
      </w:pPr>
      <w:r>
        <w:rPr>
          <w:sz w:val="22"/>
          <w:szCs w:val="22"/>
        </w:rPr>
        <w:t xml:space="preserve">Độc giả KHÔNG đang quá hạn bất kỳ cuốn nào khác.</w:t>
      </w:r>
    </w:p>
    <w:p>
      <w:pPr>
        <w:pStyle w:val="ListParagraph"/>
        <w:numPr>
          <w:ilvl w:val="0"/>
          <w:numId w:val="2"/>
        </w:numPr>
        <w:spacing w:after="60" w:line="276"/>
      </w:pPr>
      <w:r>
        <w:rPr>
          <w:sz w:val="22"/>
          <w:szCs w:val="22"/>
        </w:rPr>
        <w:t xml:space="preserve">Cuốn sách CHƯA đạt số lần gia hạn tối đa (02 lần).</w:t>
      </w:r>
    </w:p>
    <w:p>
      <w:pPr>
        <w:pStyle w:val="Heading2"/>
        <w:spacing w:after="80" w:before="180"/>
      </w:pPr>
      <w:r>
        <w:rPr>
          <w:b/>
          <w:bCs/>
          <w:color w:val="1F4E79"/>
          <w:sz w:val="24"/>
          <w:szCs w:val="24"/>
        </w:rPr>
        <w:t xml:space="preserve">Các trường hợp bị từ chối gia hạn:</w:t>
      </w:r>
    </w:p>
    <w:p>
      <w:pPr>
        <w:pStyle w:val="ListParagraph"/>
        <w:numPr>
          <w:ilvl w:val="0"/>
          <w:numId w:val="2"/>
        </w:numPr>
        <w:spacing w:after="60" w:line="276"/>
      </w:pPr>
      <w:r>
        <w:rPr>
          <w:sz w:val="22"/>
          <w:szCs w:val="22"/>
        </w:rPr>
        <w:t xml:space="preserve">Có người đặt giữ cuốn này → phải trả đúng hạn để nhường lượt.</w:t>
      </w:r>
    </w:p>
    <w:p>
      <w:pPr>
        <w:pStyle w:val="ListParagraph"/>
        <w:numPr>
          <w:ilvl w:val="0"/>
          <w:numId w:val="2"/>
        </w:numPr>
        <w:spacing w:after="60" w:line="276"/>
      </w:pPr>
      <w:r>
        <w:rPr>
          <w:sz w:val="22"/>
          <w:szCs w:val="22"/>
        </w:rPr>
        <w:t xml:space="preserve">Độc giả đang có cuốn khác quá hạn → phải xử lý (trả + nộp phạt) trước.</w:t>
      </w:r>
    </w:p>
    <w:p>
      <w:pPr>
        <w:pStyle w:val="ListParagraph"/>
        <w:numPr>
          <w:ilvl w:val="0"/>
          <w:numId w:val="2"/>
        </w:numPr>
        <w:spacing w:after="60" w:line="276"/>
      </w:pPr>
      <w:r>
        <w:rPr>
          <w:sz w:val="22"/>
          <w:szCs w:val="22"/>
        </w:rPr>
        <w:t xml:space="preserve">Cuốn đã gia hạn đủ 02 lần → phải trả, sau đó có thể mượn lại nếu còn bản rảnh.</w:t>
      </w:r>
    </w:p>
    <w:p>
      <w:pPr>
        <w:pStyle w:val="Heading1"/>
        <w:spacing w:after="120" w:before="240"/>
      </w:pPr>
      <w:r>
        <w:rPr>
          <w:b/>
          <w:bCs/>
          <w:color w:val="1F4E79"/>
          <w:sz w:val="28"/>
          <w:szCs w:val="28"/>
        </w:rPr>
        <w:t xml:space="preserve">5. Quy định đặt giữ (reserve)</w:t>
      </w:r>
    </w:p>
    <w:p>
      <w:pPr>
        <w:pStyle w:val="ListParagraph"/>
        <w:numPr>
          <w:ilvl w:val="0"/>
          <w:numId w:val="2"/>
        </w:numPr>
        <w:spacing w:after="60" w:line="276"/>
      </w:pPr>
      <w:r>
        <w:rPr>
          <w:sz w:val="22"/>
          <w:szCs w:val="22"/>
        </w:rPr>
        <w:t xml:space="preserve">Khi một đầu sách đã được mượn hết bản, độc giả có thể đặt giữ để vào hàng chờ.</w:t>
      </w:r>
    </w:p>
    <w:p>
      <w:pPr>
        <w:pStyle w:val="ListParagraph"/>
        <w:numPr>
          <w:ilvl w:val="0"/>
          <w:numId w:val="2"/>
        </w:numPr>
        <w:spacing w:after="60" w:line="276"/>
      </w:pPr>
      <w:r>
        <w:rPr>
          <w:sz w:val="22"/>
          <w:szCs w:val="22"/>
        </w:rPr>
        <w:t xml:space="preserve">Khi có bản được trả, hệ thống ưu tiên theo thứ tự đặt giữ; độc giả được giữ chỗ 03 ngày để đến nhận.</w:t>
      </w:r>
    </w:p>
    <w:p>
      <w:pPr>
        <w:pStyle w:val="Heading1"/>
        <w:spacing w:after="120" w:before="240"/>
      </w:pPr>
      <w:r>
        <w:rPr>
          <w:b/>
          <w:bCs/>
          <w:color w:val="1F4E79"/>
          <w:sz w:val="28"/>
          <w:szCs w:val="28"/>
        </w:rPr>
        <w:t xml:space="preserve">6. Quy định phạt quá hạn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DEBF7" w:color="auto" w:val="clear"/>
            <w:tcMar>
              <w:top w:type="dxa" w:w="60"/>
              <w:left w:type="dxa" w:w="100"/>
              <w:bottom w:type="dxa" w:w="60"/>
              <w:right w:type="dxa" w:w="100"/>
            </w:tcMar>
          </w:tcPr>
          <w:p>
            <w:r>
              <w:rPr>
                <w:b/>
                <w:bCs/>
                <w:color w:val="1F4E79"/>
                <w:sz w:val="21"/>
                <w:szCs w:val="21"/>
              </w:rPr>
              <w:t xml:space="preserve">Nội dung</w:t>
            </w:r>
          </w:p>
        </w:tc>
        <w:tc>
          <w:tcPr>
            <w:tcW w:type="dxa" w:w="4500"/>
            <w:shd w:fill="DDEBF7" w:color="auto" w:val="clear"/>
            <w:tcMar>
              <w:top w:type="dxa" w:w="60"/>
              <w:left w:type="dxa" w:w="100"/>
              <w:bottom w:type="dxa" w:w="60"/>
              <w:right w:type="dxa" w:w="100"/>
            </w:tcMar>
          </w:tcPr>
          <w:p>
            <w:r>
              <w:rPr>
                <w:b/>
                <w:bCs/>
                <w:color w:val="1F4E79"/>
                <w:sz w:val="21"/>
                <w:szCs w:val="21"/>
              </w:rPr>
              <w:t xml:space="preserve">Mức giả định</w:t>
            </w:r>
          </w:p>
        </w:tc>
      </w:tr>
      <w:tr>
        <w:trPr>
          <w:tblHeader w:val="false"/>
        </w:trPr>
        <w:tc>
          <w:tcPr>
            <w:tcW w:type="dxa" w:w="4500"/>
            <w:tcMar>
              <w:top w:type="dxa" w:w="60"/>
              <w:left w:type="dxa" w:w="100"/>
              <w:bottom w:type="dxa" w:w="60"/>
              <w:right w:type="dxa" w:w="100"/>
            </w:tcMar>
          </w:tcPr>
          <w:p>
            <w:r>
              <w:rPr>
                <w:b w:val="false"/>
                <w:bCs w:val="false"/>
                <w:color w:val="000000"/>
                <w:sz w:val="21"/>
                <w:szCs w:val="21"/>
              </w:rPr>
              <w:t xml:space="preserve">Phí phạt trễ hạn</w:t>
            </w:r>
          </w:p>
        </w:tc>
        <w:tc>
          <w:tcPr>
            <w:tcW w:type="dxa" w:w="4500"/>
            <w:tcMar>
              <w:top w:type="dxa" w:w="60"/>
              <w:left w:type="dxa" w:w="100"/>
              <w:bottom w:type="dxa" w:w="60"/>
              <w:right w:type="dxa" w:w="100"/>
            </w:tcMar>
          </w:tcPr>
          <w:p>
            <w:r>
              <w:rPr>
                <w:b w:val="false"/>
                <w:bCs w:val="false"/>
                <w:color w:val="000000"/>
                <w:sz w:val="21"/>
                <w:szCs w:val="21"/>
              </w:rPr>
              <w:t xml:space="preserve">2.000 đ / cuốn / ngày</w:t>
            </w:r>
          </w:p>
        </w:tc>
      </w:tr>
      <w:tr>
        <w:trPr>
          <w:tblHeader w:val="false"/>
        </w:trPr>
        <w:tc>
          <w:tcPr>
            <w:tcW w:type="dxa" w:w="4500"/>
            <w:tcMar>
              <w:top w:type="dxa" w:w="60"/>
              <w:left w:type="dxa" w:w="100"/>
              <w:bottom w:type="dxa" w:w="60"/>
              <w:right w:type="dxa" w:w="100"/>
            </w:tcMar>
          </w:tcPr>
          <w:p>
            <w:r>
              <w:rPr>
                <w:b w:val="false"/>
                <w:bCs w:val="false"/>
                <w:color w:val="000000"/>
                <w:sz w:val="21"/>
                <w:szCs w:val="21"/>
              </w:rPr>
              <w:t xml:space="preserve">Ngưỡng tạm khóa mượn</w:t>
            </w:r>
          </w:p>
        </w:tc>
        <w:tc>
          <w:tcPr>
            <w:tcW w:type="dxa" w:w="4500"/>
            <w:tcMar>
              <w:top w:type="dxa" w:w="60"/>
              <w:left w:type="dxa" w:w="100"/>
              <w:bottom w:type="dxa" w:w="60"/>
              <w:right w:type="dxa" w:w="100"/>
            </w:tcMar>
          </w:tcPr>
          <w:p>
            <w:r>
              <w:rPr>
                <w:b w:val="false"/>
                <w:bCs w:val="false"/>
                <w:color w:val="000000"/>
                <w:sz w:val="21"/>
                <w:szCs w:val="21"/>
              </w:rPr>
              <w:t xml:space="preserve">Quá hạn từ 30 ngày hoặc nợ phí từ 100.000 đ</w:t>
            </w:r>
          </w:p>
        </w:tc>
      </w:tr>
      <w:tr>
        <w:trPr>
          <w:tblHeader w:val="false"/>
        </w:trPr>
        <w:tc>
          <w:tcPr>
            <w:tcW w:type="dxa" w:w="4500"/>
            <w:tcMar>
              <w:top w:type="dxa" w:w="60"/>
              <w:left w:type="dxa" w:w="100"/>
              <w:bottom w:type="dxa" w:w="60"/>
              <w:right w:type="dxa" w:w="100"/>
            </w:tcMar>
          </w:tcPr>
          <w:p>
            <w:r>
              <w:rPr>
                <w:b w:val="false"/>
                <w:bCs w:val="false"/>
                <w:color w:val="000000"/>
                <w:sz w:val="21"/>
                <w:szCs w:val="21"/>
              </w:rPr>
              <w:t xml:space="preserve">Gỡ khóa</w:t>
            </w:r>
          </w:p>
        </w:tc>
        <w:tc>
          <w:tcPr>
            <w:tcW w:type="dxa" w:w="4500"/>
            <w:tcMar>
              <w:top w:type="dxa" w:w="60"/>
              <w:left w:type="dxa" w:w="100"/>
              <w:bottom w:type="dxa" w:w="60"/>
              <w:right w:type="dxa" w:w="100"/>
            </w:tcMar>
          </w:tcPr>
          <w:p>
            <w:r>
              <w:rPr>
                <w:b w:val="false"/>
                <w:bCs w:val="false"/>
                <w:color w:val="000000"/>
                <w:sz w:val="21"/>
                <w:szCs w:val="21"/>
              </w:rPr>
              <w:t xml:space="preserve">Sau khi trả tài liệu và nộp đủ phí phạt</w:t>
            </w:r>
          </w:p>
        </w:tc>
      </w:tr>
    </w:tbl>
    <w:p>
      <w:pPr>
        <w:spacing w:after="100" w:line="276"/>
      </w:pPr>
      <w:r>
        <w:rPr>
          <w:sz w:val="22"/>
          <w:szCs w:val="22"/>
        </w:rPr>
        <w:t xml:space="preserve"/>
      </w:r>
    </w:p>
    <w:p>
      <w:pPr>
        <w:pStyle w:val="ListParagraph"/>
        <w:numPr>
          <w:ilvl w:val="0"/>
          <w:numId w:val="2"/>
        </w:numPr>
        <w:spacing w:after="60" w:line="276"/>
      </w:pPr>
      <w:r>
        <w:rPr>
          <w:sz w:val="22"/>
          <w:szCs w:val="22"/>
        </w:rPr>
        <w:t xml:space="preserve">Khi độc giả đang có tài liệu quá hạn, mọi thao tác gia hạn và mượn mới bị tạm khóa cho tới khi xử lý xong.</w:t>
      </w:r>
    </w:p>
    <w:p>
      <w:pPr>
        <w:pStyle w:val="Heading1"/>
        <w:spacing w:after="120" w:before="240"/>
      </w:pPr>
      <w:r>
        <w:rPr>
          <w:b/>
          <w:bCs/>
          <w:color w:val="1F4E79"/>
          <w:sz w:val="28"/>
          <w:szCs w:val="28"/>
        </w:rPr>
        <w:t xml:space="preserve">7. Cảnh báo hạn trả</w:t>
      </w:r>
    </w:p>
    <w:p>
      <w:pPr>
        <w:spacing w:after="100" w:line="276"/>
      </w:pPr>
      <w:r>
        <w:rPr>
          <w:sz w:val="22"/>
          <w:szCs w:val="22"/>
        </w:rPr>
        <w:t xml:space="preserve">Khi độc giả tra cứu tình trạng mượn/trả, hệ thống hiển thị cảnh báo đối với các cuốn:</w:t>
      </w:r>
    </w:p>
    <w:p>
      <w:pPr>
        <w:pStyle w:val="ListParagraph"/>
        <w:numPr>
          <w:ilvl w:val="0"/>
          <w:numId w:val="2"/>
        </w:numPr>
        <w:spacing w:after="60" w:line="276"/>
      </w:pPr>
      <w:r>
        <w:rPr>
          <w:sz w:val="22"/>
          <w:szCs w:val="22"/>
        </w:rPr>
        <w:t xml:space="preserve">Sắp tới hạn (còn ≤ 03 ngày) → nhắc cân nhắc trả hoặc gia hạn.</w:t>
      </w:r>
    </w:p>
    <w:p>
      <w:pPr>
        <w:pStyle w:val="ListParagraph"/>
        <w:numPr>
          <w:ilvl w:val="0"/>
          <w:numId w:val="2"/>
        </w:numPr>
        <w:spacing w:after="60" w:line="276"/>
      </w:pPr>
      <w:r>
        <w:rPr>
          <w:sz w:val="22"/>
          <w:szCs w:val="22"/>
        </w:rPr>
        <w:t xml:space="preserve">Đã quá hạn → nêu số ngày trễ và phí phạt tạm tính, nhắc xử lý ngay.</w:t>
      </w:r>
    </w:p>
    <w:p>
      <w:pPr>
        <w:spacing w:after="100" w:line="276"/>
      </w:pPr>
      <w:r>
        <w:rPr>
          <w:b/>
          <w:bCs/>
          <w:sz w:val="21"/>
          <w:szCs w:val="21"/>
        </w:rPr>
        <w:t xml:space="preserve">Phạm vi: </w:t>
      </w:r>
      <w:r>
        <w:rPr>
          <w:i/>
          <w:iCs/>
          <w:sz w:val="21"/>
          <w:szCs w:val="21"/>
        </w:rPr>
        <w:t xml:space="preserve">cảnh báo được đưa ra tại thời điểm độc giả tra cứu (không phải thông báo đẩy tự động).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2026-09-13T08:20:29.463Z</dcterms:created>
  <dcterms:modified xsi:type="dcterms:W3CDTF">2026-09-13T08:20:29.471Z</dcterms:modified>
</cp:coreProperties>
</file>

<file path=docProps/custom.xml><?xml version="1.0" encoding="utf-8"?>
<Properties xmlns="http://schemas.openxmlformats.org/officeDocument/2006/custom-properties" xmlns:vt="http://schemas.openxmlformats.org/officeDocument/2006/docPropsVTypes"/>
</file>