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Parserium deterministic investment table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Fund</w:t>
            </w:r>
          </w:p>
        </w:tc>
        <w:tc>
          <w:p>
            <w:r>
              <w:t>NAV USD</w:t>
            </w:r>
          </w:p>
        </w:tc>
        <w:tc>
          <w:p>
            <w:r>
              <w:t>Return</w:t>
            </w:r>
          </w:p>
        </w:tc>
      </w:tr>
      <w:tr>
        <w:tc>
          <w:p>
            <w:r>
              <w:t>Alpha Income</w:t>
            </w:r>
          </w:p>
        </w:tc>
        <w:tc>
          <w:p>
            <w:r>
              <w:t>10.25</w:t>
            </w:r>
          </w:p>
        </w:tc>
        <w:tc>
          <w:p>
            <w:r>
              <w:t>4.8 percent</w:t>
            </w:r>
          </w:p>
        </w:tc>
      </w:tr>
      <w:tr>
        <w:tc>
          <w:p>
            <w:r>
              <w:t>Beta Growth</w:t>
            </w:r>
          </w:p>
        </w:tc>
        <w:tc>
          <w:p>
            <w:r>
              <w:t>22.10</w:t>
            </w:r>
          </w:p>
        </w:tc>
        <w:tc>
          <w:p>
            <w:r>
              <w:t>7.2 percent</w:t>
            </w:r>
          </w:p>
        </w:tc>
      </w:tr>
    </w:tbl>
    <w:sectPr>
      <w:pgSz w:w="12240" w:h="15840"/>
    </w:sectPr>
  </w:body>
</w:document>
</file>