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both"/>
        <w:rPr>
          <w:rtl/>
        </w:rPr>
      </w:pPr>
      <w:r>
        <w:rPr>
          <w:rtl/>
          <w:rFonts w:cs="Arial"/>
          <w:lang w:bidi="he-IL"/>
        </w:rPr>
        <w:t>דו"ח ניטור איכות מי תהום — אזה"ת חולון</w:t>
      </w:r>
    </w:p>
    <w:p>
      <w:pPr>
        <w:bidi/>
        <w:pStyle w:val="Heading2"/>
        <w:jc w:val="both"/>
        <w:rPr>
          <w:rtl/>
        </w:rPr>
      </w:pPr>
      <w:r>
        <w:rPr>
          <w:rtl/>
          <w:rFonts w:cs="Arial"/>
          <w:lang w:bidi="he-IL"/>
        </w:rPr>
        <w:t>גרסה 6 (מיקוד-מוקדים) | יוני 2026</w:t>
      </w:r>
    </w:p>
    <w:p>
      <w:pPr>
        <w:bidi/>
        <w:pStyle w:val="IntenseQuote"/>
        <w:jc w:val="both"/>
        <w:rPr>
          <w:rtl/>
        </w:rPr>
      </w:pPr>
      <w:r>
        <w:rPr>
          <w:rtl/>
          <w:rFonts w:cs="Arial"/>
          <w:lang w:bidi="he-IL"/>
        </w:rPr>
        <w:t>דוח מקצועי-אזורי. כל ייחוס מקור הוא פרשני (חשד מבוסס-ראיות) עד לאישור הידרולוג מוסמך. אינו תחליף להערכת סיכון רשמית.</w:t>
      </w:r>
    </w:p>
    <w:p>
      <w:pPr>
        <w:bidi/>
        <w:jc w:val="both"/>
        <w:rPr>
          <w:rtl/>
        </w:rPr>
      </w:pPr>
      <w:r>
        <w:rPr>
          <w:rtl/>
          <w:rFonts w:cs="Arial"/>
          <w:lang w:bidi="he-IL"/>
        </w:rPr>
        <w:t>──────────────────────────────────────────────────</w:t>
      </w:r>
    </w:p>
    <w:p>
      <w:pPr>
        <w:bidi/>
        <w:pStyle w:val="Heading2"/>
        <w:jc w:val="both"/>
        <w:rPr>
          <w:rtl/>
        </w:rPr>
      </w:pPr>
      <w:r>
        <w:rPr>
          <w:rtl/>
          <w:rFonts w:cs="Arial"/>
          <w:lang w:bidi="he-IL"/>
        </w:rPr>
        <w:t>1. תקציר מקצועי</w:t>
      </w:r>
    </w:p>
    <w:p>
      <w:pPr>
        <w:bidi/>
        <w:jc w:val="both"/>
        <w:rPr>
          <w:rtl/>
        </w:rPr>
      </w:pPr>
      <w:r>
        <w:rPr>
          <w:rtl/>
          <w:rFonts w:cs="Arial"/>
          <w:lang w:bidi="he-IL"/>
        </w:rPr>
        <w:t>אזה"ת חולון מציג את אחת מתמונות הזיהום המורכבות במערך הניטור הארצי: שלוש משפחות מזהמים פעילות בו-זמנית (תרכובות אורגניות מוכלרות — CVOC, דלק/BTEX, ומתכות), בתוספת מזהם מתפתח (1,4-dioxane) המתגלה כעת בריכוזים קיצוניים, ולצידן פער כיסוי PFAS כמעט מוחלט. הזיהום ברובו "מורשת" של עשרות מפעלי ציפוי מתכות, טקסטיל ובורסקאות שפעלו מ-1940 עד שנות התשעים (דוח 2021), אך אינו רדום — מספר מוקדים מציגים ריכוזים קיצוניים בדגימות העדכניות ביותר (2024–2026), בחלקם במגמת עלייה מובהקת.</w:t>
      </w:r>
    </w:p>
    <w:p>
      <w:pPr>
        <w:bidi/>
        <w:jc w:val="both"/>
        <w:rPr>
          <w:rtl/>
        </w:rPr>
      </w:pPr>
      <w:r>
        <w:rPr>
          <w:rtl/>
          <w:rFonts w:cs="Arial"/>
          <w:lang w:bidi="he-IL"/>
        </w:rPr>
        <w:t>הניתוח מבחין בין שישה מוקדים גיאו-כימיים בני-הפרדה, ולאחריהם בלוק פערי-כיסוי. המוקד המוביל הוא הליבה התעשייתית (אשכול נת חולון / אלביט / תדירגן): פלומת CVOC בשליטת TCE בעוצמת מסה-קרובת-מקור (DNAPL), עם נד סונול המלאכה מ-1 ב-TCE 37,188% מהתקן (ינואר 2026 — הדגימה העדכנית באזור) ו-נת חולון 11 ב-68,660% (נובמבר 2024). לצידו מוקד הדלק המערבי (מחניון אגד) עם בנזן 4,250 µg/L (85,000% מהתקן, פברואר 2025) — אינדיקציה למוצר חופשי פעיל; ומוקד התדלוק הדרומי (פז סיירים) — היחיד המראה חתימת שחרור-טרי פעיל.</w:t>
      </w:r>
    </w:p>
    <w:p>
      <w:pPr>
        <w:bidi/>
        <w:jc w:val="both"/>
        <w:rPr>
          <w:rtl/>
        </w:rPr>
      </w:pPr>
      <w:r>
        <w:rPr>
          <w:rtl/>
          <w:rFonts w:cs="Arial"/>
          <w:lang w:bidi="he-IL"/>
        </w:rPr>
        <w:t>אבחנה קריטית: יש להפריד בחדות בין שיא היסטורי, שיא בחלון 5 שנים, וערך עדכני אחרון. מוקד תדירגן ההיסטורי — שבו נמדד שיא ה-TCE של האזור (6,457 µg/L, 2005) — הפסיק להידגם ב-2013 כשהריכוזים עדיין עמדו על אלפי µg/L; מצבו הנוכחי אינו ידוע כלל. שלוש מהפלומות החמורות באזור אינן ניתנות כיום להערכת-מצב עקב הפסקות ניטור. רמת הדחיפות: גבוהה — הן בשל הזנת קידוחי ההפקה במורד הגרדיאנט, הן בשל פער ה-PFAS המבני.</w:t>
      </w:r>
    </w:p>
    <w:p>
      <w:pPr>
        <w:bidi/>
        <w:jc w:val="both"/>
        <w:rPr>
          <w:rtl/>
        </w:rPr>
      </w:pPr>
      <w:r>
        <w:rPr>
          <w:rtl/>
          <w:rFonts w:cs="Arial"/>
          <w:lang w:bidi="he-IL"/>
        </w:rPr>
        <w:t>──────────────────────────────────────────────────</w:t>
      </w:r>
    </w:p>
    <w:p>
      <w:pPr>
        <w:bidi/>
        <w:pStyle w:val="Heading2"/>
        <w:jc w:val="both"/>
        <w:rPr>
          <w:rtl/>
        </w:rPr>
      </w:pPr>
      <w:r>
        <w:rPr>
          <w:rtl/>
          <w:rFonts w:cs="Arial"/>
          <w:lang w:bidi="he-IL"/>
        </w:rPr>
        <w:t>2. תמונת מצב אזורית ומערך הניטור</w:t>
      </w:r>
    </w:p>
    <w:p>
      <w:pPr>
        <w:bidi/>
        <w:jc w:val="both"/>
        <w:rPr>
          <w:rtl/>
        </w:rPr>
      </w:pPr>
      <w:r>
        <w:rPr>
          <w:b/>
          <w:rtl/>
          <w:rFonts w:cs="Arial"/>
          <w:lang w:bidi="he-IL"/>
        </w:rPr>
        <w:t>גיאוגרפיה</w:t>
      </w:r>
      <w:r>
        <w:rPr>
          <w:rtl/>
          <w:rFonts w:cs="Arial"/>
          <w:lang w:bidi="he-IL"/>
        </w:rPr>
        <w:t>. אזה"ת חולון משתרע על תחום ITM של כ-180.2–182.6 ק"מ מזרח ו-656.5–660.3 ק"מ צפון. מערך הניטור באזור מונה 111 קידוחים פעילים — מהם 46 לניטור כללי ו-63 לדלק — הפרושים על פני האשכול התעשייתי המרכזי-מזרחי, מתחמי התדלוק שבמערב ובדרום, והשוליים החקלאיים שבדרום-מערב.</w:t>
      </w:r>
    </w:p>
    <w:p>
      <w:pPr>
        <w:bidi/>
        <w:jc w:val="both"/>
        <w:rPr>
          <w:rtl/>
        </w:rPr>
      </w:pPr>
      <w:r>
        <w:rPr>
          <w:b/>
          <w:rtl/>
          <w:rFonts w:cs="Arial"/>
          <w:lang w:bidi="he-IL"/>
        </w:rPr>
        <w:t>הידרוגיאולוגיה</w:t>
      </w:r>
      <w:r>
        <w:rPr>
          <w:rtl/>
          <w:rFonts w:cs="Arial"/>
          <w:lang w:bidi="he-IL"/>
        </w:rPr>
        <w:t>. כמו ביתר אזורי אקוויפר החוף, התווך הוא שכבת חול-חמרה פריאטית בעלת פגיעות גבוהה. כיוון הזרימה האזורי דרום-מערבי, מושפע חזק משאיבת קידוחי ההפקה (מק חולון) ותאגיד בת-ים (דוח 2021). משמעות הדבר שכל המוקדים התעשייתיים נשפכים לכיוון קידוחי ההפקה — כלומר קיים מסלול-קולטן פוטנציאלי בין הזיהום למי השתייה. גרדיאנט-הלחצים המשתנה (שילוב של שיקום ISCO ושאיבה משתנה) מקשה על אימות כיוון-זרימה מקומי מדויק.</w:t>
      </w:r>
    </w:p>
    <w:p>
      <w:pPr>
        <w:bidi/>
        <w:jc w:val="both"/>
        <w:rPr>
          <w:rtl/>
        </w:rPr>
      </w:pPr>
      <w:r>
        <w:rPr>
          <w:b/>
          <w:rtl/>
          <w:rFonts w:cs="Arial"/>
          <w:lang w:bidi="he-IL"/>
        </w:rPr>
        <w:t>מערך הניטור</w:t>
      </w:r>
      <w:r>
        <w:rPr>
          <w:rtl/>
          <w:rFonts w:cs="Arial"/>
          <w:lang w:bidi="he-IL"/>
        </w:rPr>
        <w:t>. מתוך 111 הקידוחים, חלק ניכר מציג חריגות מתקן מי השתייה במשפחה אחת לפחות. הקידוחים הקריטיים ביותר מרוכזים בליבה התעשייתית (אשכול נת חולון, נד סונול המלאכה) ובמתחמי הדלק (אגד, פז, מרכבות האש). מאפיין מבני של המערך: קידוחי ניטור הוצבו במכוון בסמוך למקורות חשודים, ולכן אינם מדגם מייצג של האזור כולו — הטיית-בחירה זו מלווה כל ניתוח סטטיסטי בדוח (ראה §4).</w:t>
      </w:r>
    </w:p>
    <w:p>
      <w:pPr>
        <w:bidi/>
        <w:jc w:val="both"/>
        <w:rPr>
          <w:rtl/>
        </w:rPr>
      </w:pPr>
      <w:r>
        <w:rPr>
          <w:rtl/>
          <w:rFonts w:cs="Arial"/>
          <w:lang w:bidi="he-IL"/>
        </w:rPr>
        <w:t>![](Holon/charts/fig_01_zone_map.png)</w:t>
      </w:r>
    </w:p>
    <w:p>
      <w:pPr>
        <w:bidi/>
        <w:jc w:val="both"/>
        <w:rPr>
          <w:rtl/>
        </w:rPr>
      </w:pPr>
      <w:r>
        <w:rPr>
          <w:b/>
          <w:rtl/>
          <w:rFonts w:cs="Arial"/>
          <w:lang w:bidi="he-IL"/>
        </w:rPr>
        <w:t>איור 1</w:t>
      </w:r>
      <w:r>
        <w:rPr>
          <w:rtl/>
          <w:rFonts w:cs="Arial"/>
          <w:lang w:bidi="he-IL"/>
        </w:rPr>
        <w:t>: מפת אזה"ת חולון — קידוחי ניטור והפקה בצבע לפי אינדקס חומרה מירבי, אשכולות מקור פוטנציאליים, וחץ כיוון זרימת מי התהום (דרום-מערב). הקידוחים מתפרשים על תחום ITM 180.2–182.6 מזרח, 656.5–660.3 צפון.</w:t>
      </w:r>
    </w:p>
    <w:p/>
    <w:p>
      <w:pPr>
        <w:bidi/>
        <w:jc w:val="both"/>
        <w:rPr>
          <w:rtl/>
        </w:rPr>
      </w:pPr>
      <w:r>
        <w:rPr>
          <w:rtl/>
          <w:rFonts w:cs="Arial"/>
          <w:lang w:bidi="he-IL"/>
        </w:rPr>
        <w:t>──────────────────────────────────────────────────</w:t>
      </w:r>
    </w:p>
    <w:p>
      <w:pPr>
        <w:bidi/>
        <w:pStyle w:val="Heading2"/>
        <w:jc w:val="both"/>
        <w:rPr>
          <w:rtl/>
        </w:rPr>
      </w:pPr>
      <w:r>
        <w:rPr>
          <w:rtl/>
          <w:rFonts w:cs="Arial"/>
          <w:lang w:bidi="he-IL"/>
        </w:rPr>
        <w:t>3. מוקדי זיהום עיקריים</w:t>
      </w:r>
    </w:p>
    <w:p>
      <w:pPr>
        <w:bidi/>
        <w:pStyle w:val="IntenseQuote"/>
        <w:jc w:val="both"/>
        <w:rPr>
          <w:rtl/>
        </w:rPr>
      </w:pPr>
      <w:r>
        <w:rPr>
          <w:rtl/>
          <w:rFonts w:cs="Arial"/>
          <w:lang w:bidi="he-IL"/>
        </w:rPr>
        <w:t>סדר ההצגה לפי מוקד גיאוגרפי בחומרה יורדת (§IV). משפחות משניות מוצגות בתוך כל מוקד; קישור מנגנוני תוך-מוקדי בלבד. "פערי כיסוי" אחרון.</w:t>
      </w:r>
    </w:p>
    <w:p>
      <w:pPr>
        <w:bidi/>
        <w:jc w:val="both"/>
        <w:rPr>
          <w:rtl/>
        </w:rPr>
      </w:pPr>
      <w:r>
        <w:rPr>
          <w:rtl/>
          <w:rFonts w:cs="Arial"/>
          <w:lang w:bidi="he-IL"/>
        </w:rPr>
        <w:t>![](Holon/charts/fig_02_severity_ledger.png)</w:t>
      </w:r>
    </w:p>
    <w:p>
      <w:pPr>
        <w:bidi/>
        <w:jc w:val="both"/>
        <w:rPr>
          <w:rtl/>
        </w:rPr>
      </w:pPr>
      <w:r>
        <w:rPr>
          <w:b/>
          <w:rtl/>
          <w:rFonts w:cs="Arial"/>
          <w:lang w:bidi="he-IL"/>
        </w:rPr>
        <w:t>איור 2</w:t>
      </w:r>
      <w:r>
        <w:rPr>
          <w:rtl/>
          <w:rFonts w:cs="Arial"/>
          <w:lang w:bidi="he-IL"/>
        </w:rPr>
        <w:t>: מובילי החומרה לפי משפחה — אינדקס חומרה (0–8) לקידוחים המובילים בכל משפחה (CVOC, FUEL, METALS), המדגיש את ריכוז המוקדים בערכי 8.</w:t>
      </w:r>
    </w:p>
    <w:p/>
    <w:p>
      <w:pPr>
        <w:bidi/>
        <w:pStyle w:val="Heading3"/>
        <w:jc w:val="both"/>
        <w:rPr>
          <w:rtl/>
        </w:rPr>
      </w:pPr>
      <w:r>
        <w:rPr>
          <w:rtl/>
          <w:rFonts w:cs="Arial"/>
          <w:lang w:bidi="he-IL"/>
        </w:rPr>
        <w:t>3.1 הליבה התעשייתית — נת חולון / אלביט / תדירגן (CVOC + מתכות נלוות + 1,4-dioxane)</w:t>
      </w:r>
    </w:p>
    <w:p>
      <w:pPr>
        <w:bidi/>
        <w:jc w:val="both"/>
        <w:rPr>
          <w:rtl/>
        </w:rPr>
      </w:pPr>
      <w:r>
        <w:rPr>
          <w:b/>
          <w:rtl/>
          <w:rFonts w:cs="Arial"/>
          <w:lang w:bidi="he-IL"/>
        </w:rPr>
        <w:t>מיקום וקידוחים</w:t>
      </w:r>
      <w:r>
        <w:rPr>
          <w:rtl/>
          <w:rFonts w:cs="Arial"/>
          <w:lang w:bidi="he-IL"/>
        </w:rPr>
        <w:t>. החלק המרכזי-מזרחי של אזה"ת, סביב רחובות המלאכה / הנחושת / היוצר. הקידוחים המובילים: נת חולון 11, 2, 5, 7, 16, 21–25, ונד סונול המלאכה מ-1/ק-1, נת אלביט חולון 1. זהו המוקד הגדול, העמוק והרב-משפחתי ביותר באזור.</w:t>
      </w:r>
    </w:p>
    <w:p>
      <w:pPr>
        <w:bidi/>
        <w:jc w:val="both"/>
        <w:rPr>
          <w:rtl/>
        </w:rPr>
      </w:pPr>
      <w:r>
        <w:rPr>
          <w:b/>
          <w:rtl/>
          <w:rFonts w:cs="Arial"/>
          <w:lang w:bidi="he-IL"/>
        </w:rPr>
        <w:t>משפחה מובילה — CVOC בעוצמת מסה-קרובת-מקור</w:t>
      </w:r>
      <w:r>
        <w:rPr>
          <w:rtl/>
          <w:rFonts w:cs="Arial"/>
          <w:lang w:bidi="he-IL"/>
        </w:rPr>
        <w:t>. מספר קידוחים מגיעים לאינדקס החומרה המרבי (8): נד סונול המלאכה מ-1 (TCE 2,789 µg/L = 37,188% מהתקן, ינואר 2023, והדגימה העדכנית באזור — ינואר 2026), נת חולון 11 (TCE 5,149 µg/L = 68,660% מהתקן, נובמבר 2024), נת חולון 2 (16,750% מהתקן, אחרון 2022), נת חולון 5 (8,460%), נת חולון 7 (7,588%) ו-נת חולון 22 (8,115%). ריכוזים אלה — אלפי µg/L — הם בטווח מסה חופשית / קרובת-מקור (DNAPL), ולא זנב היסטורי מדולל.</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ריכוז</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c>
          <w:tcPr>
            <w:tcW w:type="dxa" w:w="1440"/>
          </w:tcPr>
          <w:p>
            <w:pPr>
              <w:bidi/>
              <w:jc w:val="both"/>
              <w:rPr>
                <w:rtl/>
              </w:rPr>
            </w:pPr>
            <w:r>
              <w:rPr>
                <w:b/>
                <w:rtl/>
                <w:rFonts w:cs="Arial"/>
                <w:lang w:bidi="he-IL"/>
              </w:rPr>
            </w:r>
            <w:r>
              <w:rPr>
                <w:b/>
                <w:rtl/>
                <w:rFonts w:cs="Arial"/>
                <w:lang w:bidi="he-IL"/>
              </w:rPr>
              <w:t>תאריך</w:t>
            </w:r>
          </w:p>
        </w:tc>
      </w:tr>
      <w:tr>
        <w:tc>
          <w:tcPr>
            <w:tcW w:type="dxa" w:w="1440"/>
          </w:tcPr>
          <w:p>
            <w:pPr>
              <w:bidi/>
              <w:jc w:val="both"/>
              <w:rPr>
                <w:rtl/>
              </w:rPr>
            </w:pPr>
            <w:r>
              <w:rPr>
                <w:rtl/>
                <w:rFonts w:cs="Arial"/>
                <w:lang w:bidi="he-IL"/>
              </w:rPr>
            </w:r>
            <w:r>
              <w:rPr>
                <w:rtl/>
                <w:rFonts w:cs="Arial"/>
                <w:lang w:bidi="he-IL"/>
              </w:rPr>
              <w:t>נת חולון 11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5,149 µg/L</w:t>
            </w:r>
          </w:p>
        </w:tc>
        <w:tc>
          <w:tcPr>
            <w:tcW w:type="dxa" w:w="1440"/>
          </w:tcPr>
          <w:p>
            <w:pPr>
              <w:bidi/>
              <w:jc w:val="both"/>
              <w:rPr>
                <w:rtl/>
              </w:rPr>
            </w:pPr>
            <w:r>
              <w:rPr>
                <w:rtl/>
                <w:rFonts w:cs="Arial"/>
                <w:lang w:bidi="he-IL"/>
              </w:rPr>
            </w:r>
            <w:r>
              <w:rPr>
                <w:rtl/>
                <w:rFonts w:cs="Arial"/>
                <w:lang w:bidi="he-IL"/>
              </w:rPr>
              <w:t>68,660%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נוב' 2024</w:t>
            </w:r>
          </w:p>
        </w:tc>
      </w:tr>
      <w:tr>
        <w:tc>
          <w:tcPr>
            <w:tcW w:type="dxa" w:w="1440"/>
          </w:tcPr>
          <w:p>
            <w:pPr>
              <w:bidi/>
              <w:jc w:val="both"/>
              <w:rPr>
                <w:rtl/>
              </w:rPr>
            </w:pPr>
            <w:r>
              <w:rPr>
                <w:rtl/>
                <w:rFonts w:cs="Arial"/>
                <w:lang w:bidi="he-IL"/>
              </w:rPr>
            </w:r>
            <w:r>
              <w:rPr>
                <w:rtl/>
                <w:rFonts w:cs="Arial"/>
                <w:lang w:bidi="he-IL"/>
              </w:rPr>
              <w:t>נד סונול המלאכה מ-1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2,789 µg/L</w:t>
            </w:r>
          </w:p>
        </w:tc>
        <w:tc>
          <w:tcPr>
            <w:tcW w:type="dxa" w:w="1440"/>
          </w:tcPr>
          <w:p>
            <w:pPr>
              <w:bidi/>
              <w:jc w:val="both"/>
              <w:rPr>
                <w:rtl/>
              </w:rPr>
            </w:pPr>
            <w:r>
              <w:rPr>
                <w:rtl/>
                <w:rFonts w:cs="Arial"/>
                <w:lang w:bidi="he-IL"/>
              </w:rPr>
            </w:r>
            <w:r>
              <w:rPr>
                <w:rtl/>
                <w:rFonts w:cs="Arial"/>
                <w:lang w:bidi="he-IL"/>
              </w:rPr>
              <w:t>37,188%</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ינו' 2023</w:t>
            </w:r>
          </w:p>
        </w:tc>
      </w:tr>
      <w:tr>
        <w:tc>
          <w:tcPr>
            <w:tcW w:type="dxa" w:w="1440"/>
          </w:tcPr>
          <w:p>
            <w:pPr>
              <w:bidi/>
              <w:jc w:val="both"/>
              <w:rPr>
                <w:rtl/>
              </w:rPr>
            </w:pPr>
            <w:r>
              <w:rPr>
                <w:rtl/>
                <w:rFonts w:cs="Arial"/>
                <w:lang w:bidi="he-IL"/>
              </w:rPr>
            </w:r>
            <w:r>
              <w:rPr>
                <w:rtl/>
                <w:rFonts w:cs="Arial"/>
                <w:lang w:bidi="he-IL"/>
              </w:rPr>
              <w:t>נת חולון 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1,256 µg/L</w:t>
            </w:r>
          </w:p>
        </w:tc>
        <w:tc>
          <w:tcPr>
            <w:tcW w:type="dxa" w:w="1440"/>
          </w:tcPr>
          <w:p>
            <w:pPr>
              <w:bidi/>
              <w:jc w:val="both"/>
              <w:rPr>
                <w:rtl/>
              </w:rPr>
            </w:pPr>
            <w:r>
              <w:rPr>
                <w:rtl/>
                <w:rFonts w:cs="Arial"/>
                <w:lang w:bidi="he-IL"/>
              </w:rPr>
            </w:r>
            <w:r>
              <w:rPr>
                <w:rtl/>
                <w:rFonts w:cs="Arial"/>
                <w:lang w:bidi="he-IL"/>
              </w:rPr>
              <w:t>16,750%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יוני 2022</w:t>
            </w:r>
          </w:p>
        </w:tc>
      </w:tr>
      <w:tr>
        <w:tc>
          <w:tcPr>
            <w:tcW w:type="dxa" w:w="1440"/>
          </w:tcPr>
          <w:p>
            <w:pPr>
              <w:bidi/>
              <w:jc w:val="both"/>
              <w:rPr>
                <w:rtl/>
              </w:rPr>
            </w:pPr>
            <w:r>
              <w:rPr>
                <w:rtl/>
                <w:rFonts w:cs="Arial"/>
                <w:lang w:bidi="he-IL"/>
              </w:rPr>
            </w:r>
            <w:r>
              <w:rPr>
                <w:rtl/>
                <w:rFonts w:cs="Arial"/>
                <w:lang w:bidi="he-IL"/>
              </w:rPr>
              <w:t>נת חולון 5</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635 µg/L</w:t>
            </w:r>
          </w:p>
        </w:tc>
        <w:tc>
          <w:tcPr>
            <w:tcW w:type="dxa" w:w="1440"/>
          </w:tcPr>
          <w:p>
            <w:pPr>
              <w:bidi/>
              <w:jc w:val="both"/>
              <w:rPr>
                <w:rtl/>
              </w:rPr>
            </w:pPr>
            <w:r>
              <w:rPr>
                <w:rtl/>
                <w:rFonts w:cs="Arial"/>
                <w:lang w:bidi="he-IL"/>
              </w:rPr>
            </w:r>
            <w:r>
              <w:rPr>
                <w:rtl/>
                <w:rFonts w:cs="Arial"/>
                <w:lang w:bidi="he-IL"/>
              </w:rPr>
              <w:t>8,460%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ינו' 2023</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609 µg/L</w:t>
            </w:r>
          </w:p>
        </w:tc>
        <w:tc>
          <w:tcPr>
            <w:tcW w:type="dxa" w:w="1440"/>
          </w:tcPr>
          <w:p>
            <w:pPr>
              <w:bidi/>
              <w:jc w:val="both"/>
              <w:rPr>
                <w:rtl/>
              </w:rPr>
            </w:pPr>
            <w:r>
              <w:rPr>
                <w:rtl/>
                <w:rFonts w:cs="Arial"/>
                <w:lang w:bidi="he-IL"/>
              </w:rPr>
            </w:r>
            <w:r>
              <w:rPr>
                <w:rtl/>
                <w:rFonts w:cs="Arial"/>
                <w:lang w:bidi="he-IL"/>
              </w:rPr>
              <w:t>8,115%</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פבר' 2023</w:t>
            </w:r>
          </w:p>
        </w:tc>
      </w:tr>
    </w:tbl>
    <w:p>
      <w:pPr>
        <w:bidi/>
        <w:jc w:val="both"/>
        <w:rPr>
          <w:rtl/>
        </w:rPr>
      </w:pPr>
      <w:r>
        <w:rPr>
          <w:b/>
          <w:rtl/>
          <w:rFonts w:cs="Arial"/>
          <w:lang w:bidi="he-IL"/>
        </w:rPr>
        <w:t>הסמן הפורנזי המרכזי — 1,1-DCE כמייצג מקור לא-ביוטי</w:t>
      </w:r>
      <w:r>
        <w:rPr>
          <w:rtl/>
          <w:rFonts w:cs="Arial"/>
          <w:lang w:bidi="he-IL"/>
        </w:rPr>
        <w:t>. באשכול נת חולון, היחס 1,1-DCE/cis-1,2-DCE הוא הרבה מעל 1 (ב-נת חולון 5: 1,1-DCE 2,903 µg/L &gt; TCE 1,088 µg/L), בעוד ריקבון ביוטי של TCE מניב בעיקר cis-1,2-DCE. שתי השערות מתחרות: (A) שחרור ישיר של 1,1-DCE / vinylidene-chloride כחומר-גלם תעשייתי (יצרן PVDC / מייצב ממסים); (B) התמרה אַ-ביוטית של 1,1,1-TCA — אך מאזן-המסה של ה-TCA אינו סוגר בבירור. לעומת זאת באשכול אגד (מוקד 3.2) היחס הפוך — cis-DCE &gt; 1,1-DCE — מה שמלמד על שני סוגי-מקור CVOC נפרדים באזור.</w:t>
      </w:r>
    </w:p>
    <w:p>
      <w:pPr>
        <w:bidi/>
        <w:jc w:val="both"/>
        <w:rPr>
          <w:rtl/>
        </w:rPr>
      </w:pPr>
      <w:r>
        <w:rPr>
          <w:b/>
          <w:rtl/>
          <w:rFonts w:cs="Arial"/>
          <w:lang w:bidi="he-IL"/>
        </w:rPr>
        <w:t>ממצא מתפתח קריטי — 1,4-dioxane מתפרץ</w:t>
      </w:r>
      <w:r>
        <w:rPr>
          <w:rtl/>
          <w:rFonts w:cs="Arial"/>
          <w:lang w:bidi="he-IL"/>
        </w:rPr>
        <w:t>. ב-נת חולון 11 קפץ ה-1,4-dioxane ל-1,036 µg/L בפברואר 2026 (הסדרה: 0 ב-2021, 401 ב-2022, 0 ב-2024, ואז 1,036 ב-2026). דיאוקסן הוא סמן-הובלה — נייד ועמיד יותר מהממס האב — ולכן הקפיצה העדכנית עשויה לסמן חזית פלומה מתקדמת או מקור פעיל-מחדש, ולא רק "זנב" היסטורי. הופעתו ב-6 קידוחים ובכללם הקידוח החקלאי הדרומי (מוקד 3.6) מחייבת מיפוי ייעודי. הערה: חלק מנתוני הדיאוקסן הגבוהים (אלביט 3/4) הם מדידה בודדת מ-2017 — מתוארכים; הערך הנוכחי הרלוונטי הוא של נת חולון 11.</w:t>
      </w:r>
    </w:p>
    <w:p>
      <w:pPr>
        <w:bidi/>
        <w:jc w:val="both"/>
        <w:rPr>
          <w:rtl/>
        </w:rPr>
      </w:pPr>
      <w:r>
        <w:rPr>
          <w:b/>
          <w:rtl/>
          <w:rFonts w:cs="Arial"/>
          <w:lang w:bidi="he-IL"/>
        </w:rPr>
        <w:t>מתכות נלוות בתוך הליבה (חציית סיגנל תוך-מוקדית)</w:t>
      </w:r>
      <w:r>
        <w:rPr>
          <w:rtl/>
          <w:rFonts w:cs="Arial"/>
          <w:lang w:bidi="he-IL"/>
        </w:rPr>
        <w:t>. שלושה ממצאי מתכות חריגים יושבים על אותם קידוחים תעשייתיים: ארסן 400–553 µg/L ב-נת חולון 5/6/7 (40–55× התקן) — אך אחרון 2011; כרום ב-נת חולון 3 (היסטורית 2,424 µg/L, 2009) ו-נת חולון 14 (במגמת עלייה היסטורית). ההפרדה בין מקור אנתרופוגני לבין שחרור גאוגני בתנאי רדוקציה (המחוזק ע"י העומס האורגני של פלומת ה-CVOC) אינה ניתנת להכרעה ללא ספציאציה ונתונים עדכניים.</w:t>
      </w:r>
    </w:p>
    <w:p>
      <w:pPr>
        <w:bidi/>
        <w:jc w:val="both"/>
        <w:rPr>
          <w:rtl/>
        </w:rPr>
      </w:pPr>
      <w:r>
        <w:rPr>
          <w:b/>
          <w:rtl/>
          <w:rFonts w:cs="Arial"/>
          <w:lang w:bidi="he-IL"/>
        </w:rPr>
        <w:t>מגמות — והפסקת הניטור כאות מרכזי</w:t>
      </w:r>
      <w:r>
        <w:rPr>
          <w:rtl/>
          <w:rFonts w:cs="Arial"/>
          <w:lang w:bidi="he-IL"/>
        </w:rPr>
        <w:t>. בחלון 5 השנים, אשכול נת חולון 2/5/7 מציג p=1.000 עם n=2 בלבד — כלומר הניטור נעצר. ששת הקידוחים נת חולון 2/5/7/14/25/26 הפסיקו לדווח בחלון של 8 חודשים (יוני 2022 – פברואר 2023), חלקם בשיא ובמגמת עלייה מובהקת בנתון מלא-תקופה. זהו אות מוסדי-נתוני, לא כימי — ואחד הממצאים החשובים באזור: שלוש מהפלומות החמורות ביותר אינן ניתנות להערכת-מצב נוכחית.</w:t>
      </w:r>
    </w:p>
    <w:p>
      <w:pPr>
        <w:bidi/>
        <w:jc w:val="both"/>
        <w:rPr>
          <w:rtl/>
        </w:rPr>
      </w:pPr>
      <w:r>
        <w:rPr>
          <w:rtl/>
          <w:rFonts w:cs="Arial"/>
          <w:lang w:bidi="he-IL"/>
        </w:rPr>
        <w:t>![](Holon/charts/fig_03_cvoc_panels.png)</w:t>
      </w:r>
    </w:p>
    <w:p>
      <w:pPr>
        <w:bidi/>
        <w:jc w:val="both"/>
        <w:rPr>
          <w:rtl/>
        </w:rPr>
      </w:pPr>
      <w:r>
        <w:rPr>
          <w:b/>
          <w:rtl/>
          <w:rFonts w:cs="Arial"/>
          <w:lang w:bidi="he-IL"/>
        </w:rPr>
        <w:t>איור 3</w:t>
      </w:r>
      <w:r>
        <w:rPr>
          <w:rtl/>
          <w:rFonts w:cs="Arial"/>
          <w:lang w:bidi="he-IL"/>
        </w:rPr>
        <w:t>: ריכוזי TCE (אחוז מהתקן) לאורך זמן בקידוחי הליבה של מוקד ה-CVOC — נת חולון 11, 2, 5, 7 ונד סונול המלאכה מ-1. ניכרת יציבות לטווח-ארוך בנד סונול המלאכה מ-1 לצד הריכוזים הקיצוניים בנת חולון 11, וקו הפסקת-הניטור באשכול נת חולון 2/5/7.</w:t>
      </w:r>
    </w:p>
    <w:p/>
    <w:p>
      <w:pPr>
        <w:bidi/>
        <w:jc w:val="both"/>
        <w:rPr>
          <w:rtl/>
        </w:rPr>
      </w:pPr>
      <w:r>
        <w:rPr>
          <w:b/>
          <w:rtl/>
          <w:rFonts w:cs="Arial"/>
          <w:lang w:bidi="he-IL"/>
        </w:rPr>
        <w:t>מקורות אפשריים</w:t>
      </w:r>
      <w:r>
        <w:rPr>
          <w:rtl/>
          <w:rFonts w:cs="Arial"/>
          <w:lang w:bidi="he-IL"/>
        </w:rPr>
        <w:t>. תדיראן-קשר/אלביט (נת חולון 11; TCE היסטורי 12,982 µg/L; ראיה מאומתת-דוח + מאומתת-בהפניה, HIGH); תדירגן (ציפוי + 3 מפעלים סמוכים; HIGH; שוקם 2013–2020); תרשיש (נת חולון 3; HIGH); כור מתכת או כרומט (נת חולון 1; דוח 2021 מציין אי-ודאות מפורשת; MEDIUM). השערת מקור-יחיד מול רב-מקורות: הקידוחים חולקים חתימת TCE+1,1-DCE זהה — אך חתימה זהה אינה מוכיחה מקור יחיד; ייתכנו מספר מפעלים שהשתמשו באותם ממסים מסחריים. דוח 2021 ראה כאן מוקד תדיראן-קשר ומוקד תדירגן כשני מוקדי HIGH נפרדים — יש לשמר את ההבחנה.</w:t>
      </w:r>
    </w:p>
    <w:p>
      <w:pPr>
        <w:bidi/>
        <w:jc w:val="both"/>
        <w:rPr>
          <w:rtl/>
        </w:rPr>
      </w:pPr>
      <w:r>
        <w:rPr>
          <w:b/>
          <w:rtl/>
          <w:rFonts w:cs="Arial"/>
          <w:lang w:bidi="he-IL"/>
        </w:rPr>
        <w:t>פערי מידע</w:t>
      </w:r>
      <w:r>
        <w:rPr>
          <w:rtl/>
          <w:rFonts w:cs="Arial"/>
          <w:lang w:bidi="he-IL"/>
        </w:rPr>
        <w:t>: מצב מוקד תדירגן לאחר 2013 (ריקה מוחלטת); זהות מקור ה-1,1-DCE; מקור ה-1,4-dioxane המתפרץ; אופי הארסן (אנתרופוגני/גאוגני).</w:t>
      </w:r>
    </w:p>
    <w:p>
      <w:pPr>
        <w:bidi/>
        <w:pStyle w:val="Heading3"/>
        <w:jc w:val="both"/>
        <w:rPr>
          <w:rtl/>
        </w:rPr>
      </w:pPr>
      <w:r>
        <w:rPr>
          <w:rtl/>
          <w:rFonts w:cs="Arial"/>
          <w:lang w:bidi="he-IL"/>
        </w:rPr>
        <w:t>3.2 מוקד הדלק המערבי — מחניון אגד (BTEX/MTBE + פלומה משולבת)</w:t>
      </w:r>
    </w:p>
    <w:p>
      <w:pPr>
        <w:bidi/>
        <w:jc w:val="both"/>
        <w:rPr>
          <w:rtl/>
        </w:rPr>
      </w:pPr>
      <w:r>
        <w:rPr>
          <w:b/>
          <w:rtl/>
          <w:rFonts w:cs="Arial"/>
          <w:lang w:bidi="he-IL"/>
        </w:rPr>
        <w:t>מיקום וקידוחים</w:t>
      </w:r>
      <w:r>
        <w:rPr>
          <w:rtl/>
          <w:rFonts w:cs="Arial"/>
          <w:lang w:bidi="he-IL"/>
        </w:rPr>
        <w:t>. מערב אזה"ת, מתחם מחניון אגד (תחנת תדלוק תפעולית פעילה). הקידוחים: נד אגד אזור 1–18 + n1–n4. ראיה מאומתת-דוח + מאומתת-בהפניה, HIGH (דוח 2021, עמ' 32).</w:t>
      </w:r>
    </w:p>
    <w:p>
      <w:pPr>
        <w:bidi/>
        <w:jc w:val="both"/>
        <w:rPr>
          <w:rtl/>
        </w:rPr>
      </w:pPr>
      <w:r>
        <w:rPr>
          <w:b/>
          <w:rtl/>
          <w:rFonts w:cs="Arial"/>
          <w:lang w:bidi="he-IL"/>
        </w:rPr>
        <w:t>עוצמה — מוצר חופשי פעיל</w:t>
      </w:r>
      <w:r>
        <w:rPr>
          <w:rtl/>
          <w:rFonts w:cs="Arial"/>
          <w:lang w:bidi="he-IL"/>
        </w:rPr>
        <w:t>. שבעה קידוחים באינדקס 8: נד אגד אזור 1 (MTBE שיא 46,000 µg/L = 115,000% מהתקן; בנזן 4,250 µg/L בפברואר 2025 — הדגימה העדכנית — עם היסטוריה רציפה של אלפי µg/L מ-2017), נד אגד אזור 6 (MTBE 41,500%), נד אגד אזור 7 (36,500%), נד אגד אזור 4 (TOLUENE 3,843%), נד אגד אזור 18 ו-15 (TOLUENE 1,271% / 1,233%). ריכוז הבנזן הוא כ-30% מהמסיסות הטהורה של בנזן — אינדיקציה חזקה למוצר חופשי (LNAPL) סמוך ופעיל, לא זנב היסטורי.</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ריכוז שיא</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c>
          <w:tcPr>
            <w:tcW w:type="dxa" w:w="1440"/>
          </w:tcPr>
          <w:p>
            <w:pPr>
              <w:bidi/>
              <w:jc w:val="both"/>
              <w:rPr>
                <w:rtl/>
              </w:rPr>
            </w:pPr>
            <w:r>
              <w:rPr>
                <w:b/>
                <w:rtl/>
                <w:rFonts w:cs="Arial"/>
                <w:lang w:bidi="he-IL"/>
              </w:rPr>
            </w:r>
            <w:r>
              <w:rPr>
                <w:b/>
                <w:rtl/>
                <w:rFonts w:cs="Arial"/>
                <w:lang w:bidi="he-IL"/>
              </w:rPr>
              <w:t>תאריך</w:t>
            </w:r>
          </w:p>
        </w:tc>
      </w:tr>
      <w:tr>
        <w:tc>
          <w:tcPr>
            <w:tcW w:type="dxa" w:w="1440"/>
          </w:tcPr>
          <w:p>
            <w:pPr>
              <w:bidi/>
              <w:jc w:val="both"/>
              <w:rPr>
                <w:rtl/>
              </w:rPr>
            </w:pPr>
            <w:r>
              <w:rPr>
                <w:rtl/>
                <w:rFonts w:cs="Arial"/>
                <w:lang w:bidi="he-IL"/>
              </w:rPr>
            </w:r>
            <w:r>
              <w:rPr>
                <w:rtl/>
                <w:rFonts w:cs="Arial"/>
                <w:lang w:bidi="he-IL"/>
              </w:rPr>
              <w:t>נד אגד אזור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46,000 µg/L</w:t>
            </w:r>
          </w:p>
        </w:tc>
        <w:tc>
          <w:tcPr>
            <w:tcW w:type="dxa" w:w="1440"/>
          </w:tcPr>
          <w:p>
            <w:pPr>
              <w:bidi/>
              <w:jc w:val="both"/>
              <w:rPr>
                <w:rtl/>
              </w:rPr>
            </w:pPr>
            <w:r>
              <w:rPr>
                <w:rtl/>
                <w:rFonts w:cs="Arial"/>
                <w:lang w:bidi="he-IL"/>
              </w:rPr>
            </w:r>
            <w:r>
              <w:rPr>
                <w:rtl/>
                <w:rFonts w:cs="Arial"/>
                <w:lang w:bidi="he-IL"/>
              </w:rPr>
              <w:t>115,000%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אפר' 2021</w:t>
            </w:r>
          </w:p>
        </w:tc>
      </w:tr>
      <w:tr>
        <w:tc>
          <w:tcPr>
            <w:tcW w:type="dxa" w:w="1440"/>
          </w:tcPr>
          <w:p>
            <w:pPr>
              <w:bidi/>
              <w:jc w:val="both"/>
              <w:rPr>
                <w:rtl/>
              </w:rPr>
            </w:pPr>
            <w:r>
              <w:rPr>
                <w:rtl/>
                <w:rFonts w:cs="Arial"/>
                <w:lang w:bidi="he-IL"/>
              </w:rPr>
            </w:r>
            <w:r>
              <w:rPr>
                <w:rtl/>
                <w:rFonts w:cs="Arial"/>
                <w:lang w:bidi="he-IL"/>
              </w:rPr>
              <w:t>נד אגד אזור 1</w:t>
            </w:r>
          </w:p>
        </w:tc>
        <w:tc>
          <w:tcPr>
            <w:tcW w:type="dxa" w:w="1440"/>
          </w:tcPr>
          <w:p>
            <w:pPr>
              <w:bidi/>
              <w:jc w:val="both"/>
              <w:rPr>
                <w:rtl/>
              </w:rPr>
            </w:pPr>
            <w:r>
              <w:rPr>
                <w:rtl/>
                <w:rFonts w:cs="Arial"/>
                <w:lang w:bidi="he-IL"/>
              </w:rPr>
            </w:r>
            <w:r>
              <w:rPr>
                <w:rtl/>
                <w:rFonts w:cs="Arial"/>
                <w:lang w:bidi="he-IL"/>
              </w:rPr>
              <w:t>בנזן</w:t>
            </w:r>
          </w:p>
        </w:tc>
        <w:tc>
          <w:tcPr>
            <w:tcW w:type="dxa" w:w="1440"/>
          </w:tcPr>
          <w:p>
            <w:pPr>
              <w:bidi/>
              <w:jc w:val="both"/>
              <w:rPr>
                <w:rtl/>
              </w:rPr>
            </w:pPr>
            <w:r>
              <w:rPr>
                <w:rtl/>
                <w:rFonts w:cs="Arial"/>
                <w:lang w:bidi="he-IL"/>
              </w:rPr>
            </w:r>
            <w:r>
              <w:rPr>
                <w:rtl/>
                <w:rFonts w:cs="Arial"/>
                <w:lang w:bidi="he-IL"/>
              </w:rPr>
              <w:t>4,250 µg/L</w:t>
            </w:r>
          </w:p>
        </w:tc>
        <w:tc>
          <w:tcPr>
            <w:tcW w:type="dxa" w:w="1440"/>
          </w:tcPr>
          <w:p>
            <w:pPr>
              <w:bidi/>
              <w:jc w:val="both"/>
              <w:rPr>
                <w:rtl/>
              </w:rPr>
            </w:pPr>
            <w:r>
              <w:rPr>
                <w:rtl/>
                <w:rFonts w:cs="Arial"/>
                <w:lang w:bidi="he-IL"/>
              </w:rPr>
            </w:r>
            <w:r>
              <w:rPr>
                <w:rtl/>
                <w:rFonts w:cs="Arial"/>
                <w:lang w:bidi="he-IL"/>
              </w:rPr>
              <w:t>85,000%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פבר' 2025</w:t>
            </w:r>
          </w:p>
        </w:tc>
      </w:tr>
      <w:tr>
        <w:tc>
          <w:tcPr>
            <w:tcW w:type="dxa" w:w="1440"/>
          </w:tcPr>
          <w:p>
            <w:pPr>
              <w:bidi/>
              <w:jc w:val="both"/>
              <w:rPr>
                <w:rtl/>
              </w:rPr>
            </w:pPr>
            <w:r>
              <w:rPr>
                <w:rtl/>
                <w:rFonts w:cs="Arial"/>
                <w:lang w:bidi="he-IL"/>
              </w:rPr>
            </w:r>
            <w:r>
              <w:rPr>
                <w:rtl/>
                <w:rFonts w:cs="Arial"/>
                <w:lang w:bidi="he-IL"/>
              </w:rPr>
              <w:t>נד אגד אזור 6</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16,600 µg/L</w:t>
            </w:r>
          </w:p>
        </w:tc>
        <w:tc>
          <w:tcPr>
            <w:tcW w:type="dxa" w:w="1440"/>
          </w:tcPr>
          <w:p>
            <w:pPr>
              <w:bidi/>
              <w:jc w:val="both"/>
              <w:rPr>
                <w:rtl/>
              </w:rPr>
            </w:pPr>
            <w:r>
              <w:rPr>
                <w:rtl/>
                <w:rFonts w:cs="Arial"/>
                <w:lang w:bidi="he-IL"/>
              </w:rPr>
            </w:r>
            <w:r>
              <w:rPr>
                <w:rtl/>
                <w:rFonts w:cs="Arial"/>
                <w:lang w:bidi="he-IL"/>
              </w:rPr>
              <w:t>41,500%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ינו' 2024</w:t>
            </w:r>
          </w:p>
        </w:tc>
      </w:tr>
      <w:tr>
        <w:tc>
          <w:tcPr>
            <w:tcW w:type="dxa" w:w="1440"/>
          </w:tcPr>
          <w:p>
            <w:pPr>
              <w:bidi/>
              <w:jc w:val="both"/>
              <w:rPr>
                <w:rtl/>
              </w:rPr>
            </w:pPr>
            <w:r>
              <w:rPr>
                <w:rtl/>
                <w:rFonts w:cs="Arial"/>
                <w:lang w:bidi="he-IL"/>
              </w:rPr>
            </w:r>
            <w:r>
              <w:rPr>
                <w:rtl/>
                <w:rFonts w:cs="Arial"/>
                <w:lang w:bidi="he-IL"/>
              </w:rPr>
              <w:t>נד אגד אזור 7</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14,600 µg/L</w:t>
            </w:r>
          </w:p>
        </w:tc>
        <w:tc>
          <w:tcPr>
            <w:tcW w:type="dxa" w:w="1440"/>
          </w:tcPr>
          <w:p>
            <w:pPr>
              <w:bidi/>
              <w:jc w:val="both"/>
              <w:rPr>
                <w:rtl/>
              </w:rPr>
            </w:pPr>
            <w:r>
              <w:rPr>
                <w:rtl/>
                <w:rFonts w:cs="Arial"/>
                <w:lang w:bidi="he-IL"/>
              </w:rPr>
            </w:r>
            <w:r>
              <w:rPr>
                <w:rtl/>
                <w:rFonts w:cs="Arial"/>
                <w:lang w:bidi="he-IL"/>
              </w:rPr>
              <w:t>36,500%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אפר' 2022</w:t>
            </w:r>
          </w:p>
        </w:tc>
      </w:tr>
      <w:tr>
        <w:tc>
          <w:tcPr>
            <w:tcW w:type="dxa" w:w="1440"/>
          </w:tcPr>
          <w:p>
            <w:pPr>
              <w:bidi/>
              <w:jc w:val="both"/>
              <w:rPr>
                <w:rtl/>
              </w:rPr>
            </w:pPr>
            <w:r>
              <w:rPr>
                <w:rtl/>
                <w:rFonts w:cs="Arial"/>
                <w:lang w:bidi="he-IL"/>
              </w:rPr>
            </w:r>
            <w:r>
              <w:rPr>
                <w:rtl/>
                <w:rFonts w:cs="Arial"/>
                <w:lang w:bidi="he-IL"/>
              </w:rPr>
              <w:t>נד אגד אזור 4</w:t>
            </w:r>
          </w:p>
        </w:tc>
        <w:tc>
          <w:tcPr>
            <w:tcW w:type="dxa" w:w="1440"/>
          </w:tcPr>
          <w:p>
            <w:pPr>
              <w:bidi/>
              <w:jc w:val="both"/>
              <w:rPr>
                <w:rtl/>
              </w:rPr>
            </w:pPr>
            <w:r>
              <w:rPr>
                <w:rtl/>
                <w:rFonts w:cs="Arial"/>
                <w:lang w:bidi="he-IL"/>
              </w:rPr>
            </w:r>
            <w:r>
              <w:rPr>
                <w:rtl/>
                <w:rFonts w:cs="Arial"/>
                <w:lang w:bidi="he-IL"/>
              </w:rPr>
              <w:t>TOLUENE</w:t>
            </w:r>
          </w:p>
        </w:tc>
        <w:tc>
          <w:tcPr>
            <w:tcW w:type="dxa" w:w="1440"/>
          </w:tcPr>
          <w:p>
            <w:pPr>
              <w:bidi/>
              <w:jc w:val="both"/>
              <w:rPr>
                <w:rtl/>
              </w:rPr>
            </w:pPr>
            <w:r>
              <w:rPr>
                <w:rtl/>
                <w:rFonts w:cs="Arial"/>
                <w:lang w:bidi="he-IL"/>
              </w:rPr>
            </w:r>
            <w:r>
              <w:rPr>
                <w:rtl/>
                <w:rFonts w:cs="Arial"/>
                <w:lang w:bidi="he-IL"/>
              </w:rPr>
              <w:t>26,900 µg/L</w:t>
            </w:r>
          </w:p>
        </w:tc>
        <w:tc>
          <w:tcPr>
            <w:tcW w:type="dxa" w:w="1440"/>
          </w:tcPr>
          <w:p>
            <w:pPr>
              <w:bidi/>
              <w:jc w:val="both"/>
              <w:rPr>
                <w:rtl/>
              </w:rPr>
            </w:pPr>
            <w:r>
              <w:rPr>
                <w:rtl/>
                <w:rFonts w:cs="Arial"/>
                <w:lang w:bidi="he-IL"/>
              </w:rPr>
            </w:r>
            <w:r>
              <w:rPr>
                <w:rtl/>
                <w:rFonts w:cs="Arial"/>
                <w:lang w:bidi="he-IL"/>
              </w:rPr>
              <w:t>3,843%</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ינו' 2024</w:t>
            </w:r>
          </w:p>
        </w:tc>
      </w:tr>
    </w:tbl>
    <w:p>
      <w:pPr>
        <w:bidi/>
        <w:jc w:val="both"/>
        <w:rPr>
          <w:rtl/>
        </w:rPr>
      </w:pPr>
      <w:r>
        <w:rPr>
          <w:b/>
          <w:rtl/>
          <w:rFonts w:cs="Arial"/>
          <w:lang w:bidi="he-IL"/>
        </w:rPr>
        <w:t>פלומה משולבת (commingled)</w:t>
      </w:r>
      <w:r>
        <w:rPr>
          <w:rtl/>
          <w:rFonts w:cs="Arial"/>
          <w:lang w:bidi="he-IL"/>
        </w:rPr>
        <w:t xml:space="preserve">. בנד אגד אזור 1 מתקיימת co-occurrence של (א) BTEX+MTBE בעוצמת מוצר-חופשי ו-(ב) תוצרי ריקבון CVOC — VC ו-cis-DCE. שלוש השערות: (A) שני מקורות עצמאיים הנפגשים בקידוח; (B) מפעל יחיד שטיפל גם בדלק וגם בממסים מוכלרים; (C) פלומת CVOC חיצונית החוצה את אזור הדלק, כשהפחמימנים מספקים תורמי-אלקטרונים המניעים ריקבון מקומי ל-VC. </w:t>
      </w:r>
      <w:r>
        <w:rPr>
          <w:b/>
          <w:rtl/>
          <w:rFonts w:cs="Arial"/>
          <w:lang w:bidi="he-IL"/>
        </w:rPr>
        <w:t>קישור מנגנוני תוך-מוקדי</w:t>
      </w:r>
      <w:r>
        <w:rPr>
          <w:rtl/>
          <w:rFonts w:cs="Arial"/>
          <w:lang w:bidi="he-IL"/>
        </w:rPr>
        <w:t>: ה-VC כאן הוא תוצר-קצה של ריקבון מחוזק-דלק — ולכן משפחת CVOC (אינדקס 6) משנית לדלק (אינדקס 8) בתוך מוקד זה, ומוצגת אחריו.</w:t>
      </w:r>
    </w:p>
    <w:p>
      <w:pPr>
        <w:bidi/>
        <w:jc w:val="both"/>
        <w:rPr>
          <w:rtl/>
        </w:rPr>
      </w:pPr>
      <w:r>
        <w:rPr>
          <w:b/>
          <w:rtl/>
          <w:rFonts w:cs="Arial"/>
          <w:lang w:bidi="he-IL"/>
        </w:rPr>
        <w:t>מגמות נוכחיות</w:t>
      </w:r>
      <w:r>
        <w:rPr>
          <w:rtl/>
          <w:rFonts w:cs="Arial"/>
          <w:lang w:bidi="he-IL"/>
        </w:rPr>
        <w:t>. בחלון 5 השנים בולטות עליות מובהקות: MTBE ב-נד אגד אזור 6 (Z=2.31, p=0.021, יחס אות/רעש 1.06), טולואן ב-נד אגד אזור 1 (Z=2.10, p=0.036, יחס אות/רעש 1.04). במקביל, מרבית קידוחי אגד מראים דווקא ירידות מובהקות ב-MTBE ובבנזן (לדוגמה נד אגד אזור 2: בנזן Z=-2.20, p=0.028; נד אגד אזור 7: MTBE Z=-2.73, p=0.006), כלומר חלקי הפלומה מתכווצים. עם זאת קיים אשכול עליות חמצן-מומס/עכירות החשוד כתוצר שיטת-דיגום (שינוי נוהל/משאבה/מעבדה) ולא בהכרח שינוי גאוכימי אמיתי — נדרשת בדיקת-איכות לפני פרשנות סביבתית.</w:t>
      </w:r>
    </w:p>
    <w:p>
      <w:pPr>
        <w:bidi/>
        <w:jc w:val="both"/>
        <w:rPr>
          <w:rtl/>
        </w:rPr>
      </w:pPr>
      <w:r>
        <w:rPr>
          <w:b/>
          <w:rtl/>
          <w:rFonts w:cs="Arial"/>
          <w:lang w:bidi="he-IL"/>
        </w:rPr>
        <w:t>פערי מידע</w:t>
      </w:r>
      <w:r>
        <w:rPr>
          <w:rtl/>
          <w:rFonts w:cs="Arial"/>
          <w:lang w:bidi="he-IL"/>
        </w:rPr>
        <w:t>: האם הבנזן הקיצוני נובע ממכל תת-קרקעי דולף פעיל או ממוצר-חופשי מורשת; מצב ה-CVOC הנוכחי (נתון 2019); האם ה-VC נעצר או ממשיך לאתֵן.</w:t>
      </w:r>
    </w:p>
    <w:p>
      <w:pPr>
        <w:bidi/>
        <w:pStyle w:val="Heading3"/>
        <w:jc w:val="both"/>
        <w:rPr>
          <w:rtl/>
        </w:rPr>
      </w:pPr>
      <w:r>
        <w:rPr>
          <w:rtl/>
          <w:rFonts w:cs="Arial"/>
          <w:lang w:bidi="he-IL"/>
        </w:rPr>
        <w:t>3.3 מוקד התדלוק הדרומי — פז צבר / פז סיירים / סונול משמר השבעה (שחרור דלק טרי-פעיל)</w:t>
      </w:r>
    </w:p>
    <w:p>
      <w:pPr>
        <w:bidi/>
        <w:jc w:val="both"/>
        <w:rPr>
          <w:rtl/>
        </w:rPr>
      </w:pPr>
      <w:r>
        <w:rPr>
          <w:b/>
          <w:rtl/>
          <w:rFonts w:cs="Arial"/>
          <w:lang w:bidi="he-IL"/>
        </w:rPr>
        <w:t>מיקום וקידוחים</w:t>
      </w:r>
      <w:r>
        <w:rPr>
          <w:rtl/>
          <w:rFonts w:cs="Arial"/>
          <w:lang w:bidi="he-IL"/>
        </w:rPr>
        <w:t>. דרום-מערב אזה"ת. נד פז צבר 1–6; נד פז סיירים 1–5; נד סונול משמר השבעה 1–5; נד דלק הצבי 1–2.</w:t>
      </w:r>
    </w:p>
    <w:p>
      <w:pPr>
        <w:bidi/>
        <w:jc w:val="both"/>
        <w:rPr>
          <w:rtl/>
        </w:rPr>
      </w:pPr>
      <w:r>
        <w:rPr>
          <w:b/>
          <w:rtl/>
          <w:rFonts w:cs="Arial"/>
          <w:lang w:bidi="he-IL"/>
        </w:rPr>
        <w:t>ייחוד אבחוני — החתימה הפעילה היחידה באזור</w:t>
      </w:r>
      <w:r>
        <w:rPr>
          <w:rtl/>
          <w:rFonts w:cs="Arial"/>
          <w:lang w:bidi="he-IL"/>
        </w:rPr>
        <w:t>. בעוד מרבית מוקדי הדלק "ישנים", מוקד זה מראה עלייה מובהקת בו-זמנית של בנזן + חמצן-מומס בקידוח נד פז סיירים 3 (בנזן Z=2.03, p=0.043, יחס אות/רעש 1.11; חמצן-מומס Z=1.98, p=0.048), עם בנזן בדיוק על 100% מהתקן בדגימת מאי 2025. הצירוף — עלייה במקביל ל-TBA קיצוני באשכול — מצביע על שחרור בנזין פעיל או עדכני. נד פז צבר 1 באינדקס 8 (בנזן 743 µg/L = 14,860% היסטורי), אך ה-MTBE שם דווקא יורד (Z=-1.98, p=0.048) — כלומר חלק זה של הפלומה ייתכן ומתכווץ.</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ריכוז שיא</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c>
          <w:tcPr>
            <w:tcW w:type="dxa" w:w="1440"/>
          </w:tcPr>
          <w:p>
            <w:pPr>
              <w:bidi/>
              <w:jc w:val="both"/>
              <w:rPr>
                <w:rtl/>
              </w:rPr>
            </w:pPr>
            <w:r>
              <w:rPr>
                <w:b/>
                <w:rtl/>
                <w:rFonts w:cs="Arial"/>
                <w:lang w:bidi="he-IL"/>
              </w:rPr>
            </w:r>
            <w:r>
              <w:rPr>
                <w:b/>
                <w:rtl/>
                <w:rFonts w:cs="Arial"/>
                <w:lang w:bidi="he-IL"/>
              </w:rPr>
              <w:t>תאריך</w:t>
            </w:r>
          </w:p>
        </w:tc>
      </w:tr>
      <w:tr>
        <w:tc>
          <w:tcPr>
            <w:tcW w:type="dxa" w:w="1440"/>
          </w:tcPr>
          <w:p>
            <w:pPr>
              <w:bidi/>
              <w:jc w:val="both"/>
              <w:rPr>
                <w:rtl/>
              </w:rPr>
            </w:pPr>
            <w:r>
              <w:rPr>
                <w:rtl/>
                <w:rFonts w:cs="Arial"/>
                <w:lang w:bidi="he-IL"/>
              </w:rPr>
            </w:r>
            <w:r>
              <w:rPr>
                <w:rtl/>
                <w:rFonts w:cs="Arial"/>
                <w:lang w:bidi="he-IL"/>
              </w:rPr>
              <w:t>נד פז צבר 1</w:t>
            </w:r>
          </w:p>
        </w:tc>
        <w:tc>
          <w:tcPr>
            <w:tcW w:type="dxa" w:w="1440"/>
          </w:tcPr>
          <w:p>
            <w:pPr>
              <w:bidi/>
              <w:jc w:val="both"/>
              <w:rPr>
                <w:rtl/>
              </w:rPr>
            </w:pPr>
            <w:r>
              <w:rPr>
                <w:rtl/>
                <w:rFonts w:cs="Arial"/>
                <w:lang w:bidi="he-IL"/>
              </w:rPr>
            </w:r>
            <w:r>
              <w:rPr>
                <w:rtl/>
                <w:rFonts w:cs="Arial"/>
                <w:lang w:bidi="he-IL"/>
              </w:rPr>
              <w:t>בנזן</w:t>
            </w:r>
          </w:p>
        </w:tc>
        <w:tc>
          <w:tcPr>
            <w:tcW w:type="dxa" w:w="1440"/>
          </w:tcPr>
          <w:p>
            <w:pPr>
              <w:bidi/>
              <w:jc w:val="both"/>
              <w:rPr>
                <w:rtl/>
              </w:rPr>
            </w:pPr>
            <w:r>
              <w:rPr>
                <w:rtl/>
                <w:rFonts w:cs="Arial"/>
                <w:lang w:bidi="he-IL"/>
              </w:rPr>
            </w:r>
            <w:r>
              <w:rPr>
                <w:rtl/>
                <w:rFonts w:cs="Arial"/>
                <w:lang w:bidi="he-IL"/>
              </w:rPr>
              <w:t>743 µg/L</w:t>
            </w:r>
          </w:p>
        </w:tc>
        <w:tc>
          <w:tcPr>
            <w:tcW w:type="dxa" w:w="1440"/>
          </w:tcPr>
          <w:p>
            <w:pPr>
              <w:bidi/>
              <w:jc w:val="both"/>
              <w:rPr>
                <w:rtl/>
              </w:rPr>
            </w:pPr>
            <w:r>
              <w:rPr>
                <w:rtl/>
                <w:rFonts w:cs="Arial"/>
                <w:lang w:bidi="he-IL"/>
              </w:rPr>
            </w:r>
            <w:r>
              <w:rPr>
                <w:rtl/>
                <w:rFonts w:cs="Arial"/>
                <w:lang w:bidi="he-IL"/>
              </w:rPr>
              <w:t>14,860%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פבר' 2022</w:t>
            </w:r>
          </w:p>
        </w:tc>
      </w:tr>
      <w:tr>
        <w:tc>
          <w:tcPr>
            <w:tcW w:type="dxa" w:w="1440"/>
          </w:tcPr>
          <w:p>
            <w:pPr>
              <w:bidi/>
              <w:jc w:val="both"/>
              <w:rPr>
                <w:rtl/>
              </w:rPr>
            </w:pPr>
            <w:r>
              <w:rPr>
                <w:rtl/>
                <w:rFonts w:cs="Arial"/>
                <w:lang w:bidi="he-IL"/>
              </w:rPr>
            </w:r>
            <w:r>
              <w:rPr>
                <w:rtl/>
                <w:rFonts w:cs="Arial"/>
                <w:lang w:bidi="he-IL"/>
              </w:rPr>
              <w:t>נד פז צבר 2</w:t>
            </w:r>
          </w:p>
        </w:tc>
        <w:tc>
          <w:tcPr>
            <w:tcW w:type="dxa" w:w="1440"/>
          </w:tcPr>
          <w:p>
            <w:pPr>
              <w:bidi/>
              <w:jc w:val="both"/>
              <w:rPr>
                <w:rtl/>
              </w:rPr>
            </w:pPr>
            <w:r>
              <w:rPr>
                <w:rtl/>
                <w:rFonts w:cs="Arial"/>
                <w:lang w:bidi="he-IL"/>
              </w:rPr>
            </w:r>
            <w:r>
              <w:rPr>
                <w:rtl/>
                <w:rFonts w:cs="Arial"/>
                <w:lang w:bidi="he-IL"/>
              </w:rPr>
              <w:t>XYLENE</w:t>
            </w:r>
          </w:p>
        </w:tc>
        <w:tc>
          <w:tcPr>
            <w:tcW w:type="dxa" w:w="1440"/>
          </w:tcPr>
          <w:p>
            <w:pPr>
              <w:bidi/>
              <w:jc w:val="both"/>
              <w:rPr>
                <w:rtl/>
              </w:rPr>
            </w:pPr>
            <w:r>
              <w:rPr>
                <w:rtl/>
                <w:rFonts w:cs="Arial"/>
                <w:lang w:bidi="he-IL"/>
              </w:rPr>
            </w:r>
            <w:r>
              <w:rPr>
                <w:rtl/>
                <w:rFonts w:cs="Arial"/>
                <w:lang w:bidi="he-IL"/>
              </w:rPr>
              <w:t>5,279 µg/L</w:t>
            </w:r>
          </w:p>
        </w:tc>
        <w:tc>
          <w:tcPr>
            <w:tcW w:type="dxa" w:w="1440"/>
          </w:tcPr>
          <w:p>
            <w:pPr>
              <w:bidi/>
              <w:jc w:val="both"/>
              <w:rPr>
                <w:rtl/>
              </w:rPr>
            </w:pPr>
            <w:r>
              <w:rPr>
                <w:rtl/>
                <w:rFonts w:cs="Arial"/>
                <w:lang w:bidi="he-IL"/>
              </w:rPr>
            </w:r>
            <w:r>
              <w:rPr>
                <w:rtl/>
                <w:rFonts w:cs="Arial"/>
                <w:lang w:bidi="he-IL"/>
              </w:rPr>
              <w:t>1,056%</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פבר' 2022</w:t>
            </w:r>
          </w:p>
        </w:tc>
      </w:tr>
      <w:tr>
        <w:tc>
          <w:tcPr>
            <w:tcW w:type="dxa" w:w="1440"/>
          </w:tcPr>
          <w:p>
            <w:pPr>
              <w:bidi/>
              <w:jc w:val="both"/>
              <w:rPr>
                <w:rtl/>
              </w:rPr>
            </w:pPr>
            <w:r>
              <w:rPr>
                <w:rtl/>
                <w:rFonts w:cs="Arial"/>
                <w:lang w:bidi="he-IL"/>
              </w:rPr>
            </w:r>
            <w:r>
              <w:rPr>
                <w:rtl/>
                <w:rFonts w:cs="Arial"/>
                <w:lang w:bidi="he-IL"/>
              </w:rPr>
              <w:t>נד פז סיירים 2</w:t>
            </w:r>
          </w:p>
        </w:tc>
        <w:tc>
          <w:tcPr>
            <w:tcW w:type="dxa" w:w="1440"/>
          </w:tcPr>
          <w:p>
            <w:pPr>
              <w:bidi/>
              <w:jc w:val="both"/>
              <w:rPr>
                <w:rtl/>
              </w:rPr>
            </w:pPr>
            <w:r>
              <w:rPr>
                <w:rtl/>
                <w:rFonts w:cs="Arial"/>
                <w:lang w:bidi="he-IL"/>
              </w:rPr>
            </w:r>
            <w:r>
              <w:rPr>
                <w:rtl/>
                <w:rFonts w:cs="Arial"/>
                <w:lang w:bidi="he-IL"/>
              </w:rPr>
              <w:t>XYLENE</w:t>
            </w:r>
          </w:p>
        </w:tc>
        <w:tc>
          <w:tcPr>
            <w:tcW w:type="dxa" w:w="1440"/>
          </w:tcPr>
          <w:p>
            <w:pPr>
              <w:bidi/>
              <w:jc w:val="both"/>
              <w:rPr>
                <w:rtl/>
              </w:rPr>
            </w:pPr>
            <w:r>
              <w:rPr>
                <w:rtl/>
                <w:rFonts w:cs="Arial"/>
                <w:lang w:bidi="he-IL"/>
              </w:rPr>
            </w:r>
            <w:r>
              <w:rPr>
                <w:rtl/>
                <w:rFonts w:cs="Arial"/>
                <w:lang w:bidi="he-IL"/>
              </w:rPr>
              <w:t>5,119 µg/L</w:t>
            </w:r>
          </w:p>
        </w:tc>
        <w:tc>
          <w:tcPr>
            <w:tcW w:type="dxa" w:w="1440"/>
          </w:tcPr>
          <w:p>
            <w:pPr>
              <w:bidi/>
              <w:jc w:val="both"/>
              <w:rPr>
                <w:rtl/>
              </w:rPr>
            </w:pPr>
            <w:r>
              <w:rPr>
                <w:rtl/>
                <w:rFonts w:cs="Arial"/>
                <w:lang w:bidi="he-IL"/>
              </w:rPr>
            </w:r>
            <w:r>
              <w:rPr>
                <w:rtl/>
                <w:rFonts w:cs="Arial"/>
                <w:lang w:bidi="he-IL"/>
              </w:rPr>
              <w:t>1,024%</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דצ' 2022</w:t>
            </w:r>
          </w:p>
        </w:tc>
      </w:tr>
      <w:tr>
        <w:tc>
          <w:tcPr>
            <w:tcW w:type="dxa" w:w="1440"/>
          </w:tcPr>
          <w:p>
            <w:pPr>
              <w:bidi/>
              <w:jc w:val="both"/>
              <w:rPr>
                <w:rtl/>
              </w:rPr>
            </w:pPr>
            <w:r>
              <w:rPr>
                <w:rtl/>
                <w:rFonts w:cs="Arial"/>
                <w:lang w:bidi="he-IL"/>
              </w:rPr>
            </w:r>
            <w:r>
              <w:rPr>
                <w:rtl/>
                <w:rFonts w:cs="Arial"/>
                <w:lang w:bidi="he-IL"/>
              </w:rPr>
              <w:t>נד סונול משמר השבעה 2</w:t>
            </w:r>
          </w:p>
        </w:tc>
        <w:tc>
          <w:tcPr>
            <w:tcW w:type="dxa" w:w="1440"/>
          </w:tcPr>
          <w:p>
            <w:pPr>
              <w:bidi/>
              <w:jc w:val="both"/>
              <w:rPr>
                <w:rtl/>
              </w:rPr>
            </w:pPr>
            <w:r>
              <w:rPr>
                <w:rtl/>
                <w:rFonts w:cs="Arial"/>
                <w:lang w:bidi="he-IL"/>
              </w:rPr>
            </w:r>
            <w:r>
              <w:rPr>
                <w:rtl/>
                <w:rFonts w:cs="Arial"/>
                <w:lang w:bidi="he-IL"/>
              </w:rPr>
              <w:t>בנזן</w:t>
            </w:r>
          </w:p>
        </w:tc>
        <w:tc>
          <w:tcPr>
            <w:tcW w:type="dxa" w:w="1440"/>
          </w:tcPr>
          <w:p>
            <w:pPr>
              <w:bidi/>
              <w:jc w:val="both"/>
              <w:rPr>
                <w:rtl/>
              </w:rPr>
            </w:pPr>
            <w:r>
              <w:rPr>
                <w:rtl/>
                <w:rFonts w:cs="Arial"/>
                <w:lang w:bidi="he-IL"/>
              </w:rPr>
            </w:r>
            <w:r>
              <w:rPr>
                <w:rtl/>
                <w:rFonts w:cs="Arial"/>
                <w:lang w:bidi="he-IL"/>
              </w:rPr>
              <w:t>210 µg/L</w:t>
            </w:r>
          </w:p>
        </w:tc>
        <w:tc>
          <w:tcPr>
            <w:tcW w:type="dxa" w:w="1440"/>
          </w:tcPr>
          <w:p>
            <w:pPr>
              <w:bidi/>
              <w:jc w:val="both"/>
              <w:rPr>
                <w:rtl/>
              </w:rPr>
            </w:pPr>
            <w:r>
              <w:rPr>
                <w:rtl/>
                <w:rFonts w:cs="Arial"/>
                <w:lang w:bidi="he-IL"/>
              </w:rPr>
            </w:r>
            <w:r>
              <w:rPr>
                <w:rtl/>
                <w:rFonts w:cs="Arial"/>
                <w:lang w:bidi="he-IL"/>
              </w:rPr>
              <w:t>4,200%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ספט' 2024</w:t>
            </w:r>
          </w:p>
        </w:tc>
      </w:tr>
      <w:tr>
        <w:tc>
          <w:tcPr>
            <w:tcW w:type="dxa" w:w="1440"/>
          </w:tcPr>
          <w:p>
            <w:pPr>
              <w:bidi/>
              <w:jc w:val="both"/>
              <w:rPr>
                <w:rtl/>
              </w:rPr>
            </w:pPr>
            <w:r>
              <w:rPr>
                <w:rtl/>
                <w:rFonts w:cs="Arial"/>
                <w:lang w:bidi="he-IL"/>
              </w:rPr>
            </w:r>
            <w:r>
              <w:rPr>
                <w:rtl/>
                <w:rFonts w:cs="Arial"/>
                <w:lang w:bidi="he-IL"/>
              </w:rPr>
              <w:t>נד דלק הצבי 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2,300 µg/L</w:t>
            </w:r>
          </w:p>
        </w:tc>
        <w:tc>
          <w:tcPr>
            <w:tcW w:type="dxa" w:w="1440"/>
          </w:tcPr>
          <w:p>
            <w:pPr>
              <w:bidi/>
              <w:jc w:val="both"/>
              <w:rPr>
                <w:rtl/>
              </w:rPr>
            </w:pPr>
            <w:r>
              <w:rPr>
                <w:rtl/>
                <w:rFonts w:cs="Arial"/>
                <w:lang w:bidi="he-IL"/>
              </w:rPr>
            </w:r>
            <w:r>
              <w:rPr>
                <w:rtl/>
                <w:rFonts w:cs="Arial"/>
                <w:lang w:bidi="he-IL"/>
              </w:rPr>
              <w:t>5,750%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ספט' 2021</w:t>
            </w:r>
          </w:p>
        </w:tc>
      </w:tr>
    </w:tbl>
    <w:p>
      <w:pPr>
        <w:bidi/>
        <w:jc w:val="both"/>
        <w:rPr>
          <w:rtl/>
        </w:rPr>
      </w:pPr>
      <w:r>
        <w:rPr>
          <w:b/>
          <w:rtl/>
          <w:rFonts w:cs="Arial"/>
          <w:lang w:bidi="he-IL"/>
        </w:rPr>
        <w:t>השערות</w:t>
      </w:r>
      <w:r>
        <w:rPr>
          <w:rtl/>
          <w:rFonts w:cs="Arial"/>
          <w:lang w:bidi="he-IL"/>
        </w:rPr>
        <w:t>: (A) דליפת מכל/צנרת טרייה בפז סיירים; (B) שחרור ישן עם מי-תהום מחזוריים המגייסים מוצר שיורי (עליית חמצן-מומס מהזנה עונתית, לא מסה חדשה); (C) פלומה משכנה הנודדת פנימה. נדרשת בדיקת תקינות מכלים ויחס TBA/MTBE לאורך זמן (עולה=ישן; יורד=טרי).</w:t>
      </w:r>
    </w:p>
    <w:p>
      <w:pPr>
        <w:bidi/>
        <w:jc w:val="both"/>
        <w:rPr>
          <w:rtl/>
        </w:rPr>
      </w:pPr>
      <w:r>
        <w:rPr>
          <w:b/>
          <w:rtl/>
          <w:rFonts w:cs="Arial"/>
          <w:lang w:bidi="he-IL"/>
        </w:rPr>
        <w:t>פערי מידע</w:t>
      </w:r>
      <w:r>
        <w:rPr>
          <w:rtl/>
          <w:rFonts w:cs="Arial"/>
          <w:lang w:bidi="he-IL"/>
        </w:rPr>
        <w:t>: טרי מול ישן-ומגויס-מחדש; האם פז צבר 1 מתכווץ באמת או דגימה חלקית; ספציפיות המקור (תחנה זו מול שכנה).</w:t>
      </w:r>
    </w:p>
    <w:p>
      <w:pPr>
        <w:bidi/>
        <w:pStyle w:val="Heading3"/>
        <w:jc w:val="both"/>
        <w:rPr>
          <w:rtl/>
        </w:rPr>
      </w:pPr>
      <w:r>
        <w:rPr>
          <w:rtl/>
          <w:rFonts w:cs="Arial"/>
          <w:lang w:bidi="he-IL"/>
        </w:rPr>
        <w:t>3.4 מוקד המתכות — כרום נקודתי + גלווני + ארסן + רימטל</w:t>
      </w:r>
    </w:p>
    <w:p>
      <w:pPr>
        <w:bidi/>
        <w:jc w:val="both"/>
        <w:rPr>
          <w:rtl/>
        </w:rPr>
      </w:pPr>
      <w:r>
        <w:rPr>
          <w:b/>
          <w:rtl/>
          <w:rFonts w:cs="Arial"/>
          <w:lang w:bidi="he-IL"/>
        </w:rPr>
        <w:t>מיקום וקידוחים</w:t>
      </w:r>
      <w:r>
        <w:rPr>
          <w:rtl/>
          <w:rFonts w:cs="Arial"/>
          <w:lang w:bidi="he-IL"/>
        </w:rPr>
        <w:t>. תת-אשכול בתוך הליבה התעשייתית גיאוגרפית, אך מובחן מקורית (חתימת מתכות, לא CVOC). נת חולון 26, 14, 22, 23, 24; נת ארן מטל חולון / חולון 1; נד המרכבה ק2.</w:t>
      </w:r>
    </w:p>
    <w:p>
      <w:pPr>
        <w:bidi/>
        <w:jc w:val="both"/>
        <w:rPr>
          <w:rtl/>
        </w:rPr>
      </w:pPr>
      <w:r>
        <w:rPr>
          <w:b/>
          <w:rtl/>
          <w:rFonts w:cs="Arial"/>
          <w:lang w:bidi="he-IL"/>
        </w:rPr>
        <w:t>כרום נקודתי קיצוני</w:t>
      </w:r>
      <w:r>
        <w:rPr>
          <w:rtl/>
          <w:rFonts w:cs="Arial"/>
          <w:lang w:bidi="he-IL"/>
        </w:rPr>
        <w:t>. נת חולון 26: כרום 4,036 µg/L (8,072% מהתקן, אינדקס 8) — פי 12 מהקידוח הבא בתור באזור (n=3, אחרון 2023). חתימה נקודתית מובהקת מצביעה על מפעל ציפוי/גימור-מתכות פעיל או בור-פסולת היסטורי בסביבה הקרובה. נדרשת ספציאציה Cr(VI)/Cr(III) — הקובעת רעילות ומקור. ציר פלומה אפשרי נת חולון 14 (כרום עולה היסטורית) אל נת חולון 26 לאורך הזרימה הדרום-מערבית, אך קפיצת ריכוז של פי-12 על מרחק קצר מרמזת על מקור שני נוסף בסמוך ל-26.</w:t>
      </w:r>
    </w:p>
    <w:p>
      <w:pPr>
        <w:bidi/>
        <w:jc w:val="both"/>
        <w:rPr>
          <w:rtl/>
        </w:rPr>
      </w:pPr>
      <w:r>
        <w:rPr>
          <w:b/>
          <w:rtl/>
          <w:rFonts w:cs="Arial"/>
          <w:lang w:bidi="he-IL"/>
        </w:rPr>
        <w:t>חתימה גלוונית</w:t>
      </w:r>
      <w:r>
        <w:rPr>
          <w:rtl/>
          <w:rFonts w:cs="Arial"/>
          <w:lang w:bidi="he-IL"/>
        </w:rPr>
        <w:t>. נת חולון 22/23: כרום+ניקל משותפים ביחס Cr/Ni 0.5–2 — טווח חתימת אמבט-גלווני קלאסי, בתוספת עופרת ב-22 ו-מנגן קיצוני (8,730 µg/L = 4,365% מהתקן) + אלומיניום + קובלט (ייתכן חתימת מחזור סוללות/אלקטרוניקה, או גיוס רדוקטיבי — האלומיניום הגבוה חשוד כתוצר עכירות). חתימה רב-קידוחית מחייבת חקירה מגזרית, לא נקודתית.</w:t>
      </w:r>
    </w:p>
    <w:p>
      <w:pPr>
        <w:bidi/>
        <w:jc w:val="both"/>
        <w:rPr>
          <w:rtl/>
        </w:rPr>
      </w:pPr>
      <w:r>
        <w:rPr>
          <w:b/>
          <w:rtl/>
          <w:rFonts w:cs="Arial"/>
          <w:lang w:bidi="he-IL"/>
        </w:rPr>
        <w:t>מוקד רימטל/ארן-מטל — התמתנות מתועדת</w:t>
      </w:r>
      <w:r>
        <w:rPr>
          <w:rtl/>
          <w:rFonts w:cs="Arial"/>
          <w:lang w:bidi="he-IL"/>
        </w:rPr>
        <w:t>. הסקר ההיסטורי תיעד מסלול ניקל עולה (0.6→2.0 מ"ג/ל ב-2005–2008) בחצר רימטל, כ-200 מ' מקידוח ההפקה מק חולון 5 (ראיה מאומתת-דוח, HIGH). אך הנתונים העדכניים מראים קריסה: ניקל ב-נת ארן מטל חולון = 13.8 µg/L (2023), וב-נת ארן מטל חולון 1 = 0. כלומר המקור הנקודתי החריף דעך דרמטית מאז 2008 — אך אחרון 2023, ודורש אימות. זהו מוקד מתכות נקודתי נפרד מהפלומה הראשית של ה-CVOC.</w:t>
      </w:r>
    </w:p>
    <w:p>
      <w:pPr>
        <w:bidi/>
        <w:jc w:val="both"/>
        <w:rPr>
          <w:rtl/>
        </w:rPr>
      </w:pPr>
      <w:r>
        <w:rPr>
          <w:b/>
          <w:rtl/>
          <w:rFonts w:cs="Arial"/>
          <w:lang w:bidi="he-IL"/>
        </w:rPr>
        <w:t>מגמה</w:t>
      </w:r>
      <w:r>
        <w:rPr>
          <w:rtl/>
          <w:rFonts w:cs="Arial"/>
          <w:lang w:bidi="he-IL"/>
        </w:rPr>
        <w:t>. נד דלק הצבי 1/2 (תת-מתחם דרומי) מציגים מנגן קיצוני (3,322 / 1,476 µg/L), חתימת גיוס רדוקטיבי המלווה פלומות דלק. רוב נתוני המתכות הקיצוניים מ-2022–2023 ואילך — ישנים ומחייבים אימות.</w:t>
      </w:r>
    </w:p>
    <w:p>
      <w:pPr>
        <w:bidi/>
        <w:jc w:val="both"/>
        <w:rPr>
          <w:rtl/>
        </w:rPr>
      </w:pPr>
      <w:r>
        <w:rPr>
          <w:rtl/>
          <w:rFonts w:cs="Arial"/>
          <w:lang w:bidi="he-IL"/>
        </w:rPr>
        <w:t>![](Holon/charts/fig_04_metals_panels.png)</w:t>
      </w:r>
    </w:p>
    <w:p>
      <w:pPr>
        <w:bidi/>
        <w:jc w:val="both"/>
        <w:rPr>
          <w:rtl/>
        </w:rPr>
      </w:pPr>
      <w:r>
        <w:rPr>
          <w:b/>
          <w:rtl/>
          <w:rFonts w:cs="Arial"/>
          <w:lang w:bidi="he-IL"/>
        </w:rPr>
        <w:t>איור 4</w:t>
      </w:r>
      <w:r>
        <w:rPr>
          <w:rtl/>
          <w:rFonts w:cs="Arial"/>
          <w:lang w:bidi="he-IL"/>
        </w:rPr>
        <w:t>: ריכוזי כרום ומנגן (אחוז מהתקן) בקידוחי המתכות המובילים — נת חולון 26 (כרום, חתימה נקודתית), נת חולון 22 (מנגן, עם הערת חשד-עכירות), ונת חולון 14 (כרום במגמת עלייה היסטורית).</w:t>
      </w:r>
    </w:p>
    <w:p/>
    <w:p>
      <w:pPr>
        <w:bidi/>
        <w:jc w:val="both"/>
        <w:rPr>
          <w:rtl/>
        </w:rPr>
      </w:pPr>
      <w:r>
        <w:rPr>
          <w:b/>
          <w:rtl/>
          <w:rFonts w:cs="Arial"/>
          <w:lang w:bidi="he-IL"/>
        </w:rPr>
        <w:t>מקורות אפשריים</w:t>
      </w:r>
      <w:r>
        <w:rPr>
          <w:rtl/>
          <w:rFonts w:cs="Arial"/>
          <w:lang w:bidi="he-IL"/>
        </w:rPr>
        <w:t>. תרשיש (נת חולון 3, כרום; HIGH); רימטל/ארן-מטל (ניקל; HIGH — אך התמתן); המלבין/סופר-כרום/אמקור — שלושתם חולקים את נת חולון 14, לא ניתן לבודד (MEDIUM).</w:t>
      </w:r>
    </w:p>
    <w:p>
      <w:pPr>
        <w:bidi/>
        <w:jc w:val="both"/>
        <w:rPr>
          <w:rtl/>
        </w:rPr>
      </w:pPr>
      <w:r>
        <w:rPr>
          <w:b/>
          <w:rtl/>
          <w:rFonts w:cs="Arial"/>
          <w:lang w:bidi="he-IL"/>
        </w:rPr>
        <w:t>פערי מידע</w:t>
      </w:r>
      <w:r>
        <w:rPr>
          <w:rtl/>
          <w:rFonts w:cs="Arial"/>
          <w:lang w:bidi="he-IL"/>
        </w:rPr>
        <w:t>: ספציאציית כרום ב-26; מקור יחיד מול שני-מקורות בציר 14→26; אמיתות מנגן/אלומיניום ב-22; מצב רימטל הנוכחי.</w:t>
      </w:r>
    </w:p>
    <w:p>
      <w:pPr>
        <w:bidi/>
        <w:pStyle w:val="Heading3"/>
        <w:jc w:val="both"/>
        <w:rPr>
          <w:rtl/>
        </w:rPr>
      </w:pPr>
      <w:r>
        <w:rPr>
          <w:rtl/>
          <w:rFonts w:cs="Arial"/>
          <w:lang w:bidi="he-IL"/>
        </w:rPr>
        <w:t>3.5 מוקד דלק "ישן" — מרכבות האש / נובר / סונול המלאכה (בנזין מיושן, TBA)</w:t>
      </w:r>
    </w:p>
    <w:p>
      <w:pPr>
        <w:bidi/>
        <w:jc w:val="both"/>
        <w:rPr>
          <w:rtl/>
        </w:rPr>
      </w:pPr>
      <w:r>
        <w:rPr>
          <w:b/>
          <w:rtl/>
          <w:rFonts w:cs="Arial"/>
          <w:lang w:bidi="he-IL"/>
        </w:rPr>
        <w:t>מיקום וקידוחים</w:t>
      </w:r>
      <w:r>
        <w:rPr>
          <w:rtl/>
          <w:rFonts w:cs="Arial"/>
          <w:lang w:bidi="he-IL"/>
        </w:rPr>
        <w:t>. נד דלק מרכבות האש 1–6; נד מרכבות האש 7–9; נד נובר מרכבה; נד אגד אזור 12/16; נד המרכבה ק2/ק3.</w:t>
      </w:r>
    </w:p>
    <w:p>
      <w:pPr>
        <w:bidi/>
        <w:jc w:val="both"/>
        <w:rPr>
          <w:rtl/>
        </w:rPr>
      </w:pPr>
      <w:r>
        <w:rPr>
          <w:b/>
          <w:rtl/>
          <w:rFonts w:cs="Arial"/>
          <w:lang w:bidi="he-IL"/>
        </w:rPr>
        <w:t>חתימת בנזין מיושן</w:t>
      </w:r>
      <w:r>
        <w:rPr>
          <w:rtl/>
          <w:rFonts w:cs="Arial"/>
          <w:lang w:bidi="he-IL"/>
        </w:rPr>
        <w:t>. יחס MTBE/בנזן הרבה מעל 10, טולואן מדוכא ביחס לקסילן — ריקבון אנאירובי מתקדם המרוקן BTEX בעוד MTBE עמיד. "הר ה-TBA": ב-נד דלק מרכבות האש 1 נמדד TBA 120,000 µg/L (היסטורית, 2023), מוגבר במקביל במספר קידוחי האשכול — מרמז על LNAPL מתמשך ולא שחרור-עבר בודד. אך אימות עדכני מראה התמתנות: MTBE באשכול מרכבות האש כעת בטווח 20–500 µg/L (מאי 2025), כלומר ה-TBA הקיצוני שייך לעבר וה-MTBE ירד משמעותית. נד אגד אזור 12/16 עדיין גבוהים (MTBE 3,750–13,700 µg/L, 2024).</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ריכוז שיא</w:t>
            </w:r>
          </w:p>
        </w:tc>
        <w:tc>
          <w:tcPr>
            <w:tcW w:type="dxa" w:w="1440"/>
          </w:tcPr>
          <w:p>
            <w:pPr>
              <w:bidi/>
              <w:jc w:val="both"/>
              <w:rPr>
                <w:rtl/>
              </w:rPr>
            </w:pPr>
            <w:r>
              <w:rPr>
                <w:b/>
                <w:rtl/>
                <w:rFonts w:cs="Arial"/>
                <w:lang w:bidi="he-IL"/>
              </w:rPr>
            </w:r>
            <w:r>
              <w:rPr>
                <w:b/>
                <w:rtl/>
                <w:rFonts w:cs="Arial"/>
                <w:lang w:bidi="he-IL"/>
              </w:rPr>
              <w:t>% מהתקן</w:t>
            </w:r>
          </w:p>
        </w:tc>
        <w:tc>
          <w:tcPr>
            <w:tcW w:type="dxa" w:w="1440"/>
          </w:tcPr>
          <w:p>
            <w:pPr>
              <w:bidi/>
              <w:jc w:val="both"/>
              <w:rPr>
                <w:rtl/>
              </w:rPr>
            </w:pPr>
            <w:r>
              <w:rPr>
                <w:b/>
                <w:rtl/>
                <w:rFonts w:cs="Arial"/>
                <w:lang w:bidi="he-IL"/>
              </w:rPr>
            </w:r>
            <w:r>
              <w:rPr>
                <w:b/>
                <w:rtl/>
                <w:rFonts w:cs="Arial"/>
                <w:lang w:bidi="he-IL"/>
              </w:rPr>
              <w:t>אינדקס</w:t>
            </w:r>
          </w:p>
        </w:tc>
        <w:tc>
          <w:tcPr>
            <w:tcW w:type="dxa" w:w="1440"/>
          </w:tcPr>
          <w:p>
            <w:pPr>
              <w:bidi/>
              <w:jc w:val="both"/>
              <w:rPr>
                <w:rtl/>
              </w:rPr>
            </w:pPr>
            <w:r>
              <w:rPr>
                <w:b/>
                <w:rtl/>
                <w:rFonts w:cs="Arial"/>
                <w:lang w:bidi="he-IL"/>
              </w:rPr>
            </w:r>
            <w:r>
              <w:rPr>
                <w:b/>
                <w:rtl/>
                <w:rFonts w:cs="Arial"/>
                <w:lang w:bidi="he-IL"/>
              </w:rPr>
              <w:t>תאריך</w:t>
            </w:r>
          </w:p>
        </w:tc>
      </w:tr>
      <w:tr>
        <w:tc>
          <w:tcPr>
            <w:tcW w:type="dxa" w:w="1440"/>
          </w:tcPr>
          <w:p>
            <w:pPr>
              <w:bidi/>
              <w:jc w:val="both"/>
              <w:rPr>
                <w:rtl/>
              </w:rPr>
            </w:pPr>
            <w:r>
              <w:rPr>
                <w:rtl/>
                <w:rFonts w:cs="Arial"/>
                <w:lang w:bidi="he-IL"/>
              </w:rPr>
            </w:r>
            <w:r>
              <w:rPr>
                <w:rtl/>
                <w:rFonts w:cs="Arial"/>
                <w:lang w:bidi="he-IL"/>
              </w:rPr>
              <w:t>נד דלק מרכבות האש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7,380 µg/L</w:t>
            </w:r>
          </w:p>
        </w:tc>
        <w:tc>
          <w:tcPr>
            <w:tcW w:type="dxa" w:w="1440"/>
          </w:tcPr>
          <w:p>
            <w:pPr>
              <w:bidi/>
              <w:jc w:val="both"/>
              <w:rPr>
                <w:rtl/>
              </w:rPr>
            </w:pPr>
            <w:r>
              <w:rPr>
                <w:rtl/>
                <w:rFonts w:cs="Arial"/>
                <w:lang w:bidi="he-IL"/>
              </w:rPr>
            </w:r>
            <w:r>
              <w:rPr>
                <w:rtl/>
                <w:rFonts w:cs="Arial"/>
                <w:lang w:bidi="he-IL"/>
              </w:rPr>
              <w:t>18,450%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מרץ 2023</w:t>
            </w:r>
          </w:p>
        </w:tc>
      </w:tr>
      <w:tr>
        <w:tc>
          <w:tcPr>
            <w:tcW w:type="dxa" w:w="1440"/>
          </w:tcPr>
          <w:p>
            <w:pPr>
              <w:bidi/>
              <w:jc w:val="both"/>
              <w:rPr>
                <w:rtl/>
              </w:rPr>
            </w:pPr>
            <w:r>
              <w:rPr>
                <w:rtl/>
                <w:rFonts w:cs="Arial"/>
                <w:lang w:bidi="he-IL"/>
              </w:rPr>
            </w:r>
            <w:r>
              <w:rPr>
                <w:rtl/>
                <w:rFonts w:cs="Arial"/>
                <w:lang w:bidi="he-IL"/>
              </w:rPr>
              <w:t>נד אגד אזור 12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13,700 µg/L</w:t>
            </w:r>
          </w:p>
        </w:tc>
        <w:tc>
          <w:tcPr>
            <w:tcW w:type="dxa" w:w="1440"/>
          </w:tcPr>
          <w:p>
            <w:pPr>
              <w:bidi/>
              <w:jc w:val="both"/>
              <w:rPr>
                <w:rtl/>
              </w:rPr>
            </w:pPr>
            <w:r>
              <w:rPr>
                <w:rtl/>
                <w:rFonts w:cs="Arial"/>
                <w:lang w:bidi="he-IL"/>
              </w:rPr>
            </w:r>
            <w:r>
              <w:rPr>
                <w:rtl/>
                <w:rFonts w:cs="Arial"/>
                <w:lang w:bidi="he-IL"/>
              </w:rPr>
              <w:t>34,250%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אוג' 2022</w:t>
            </w:r>
          </w:p>
        </w:tc>
      </w:tr>
      <w:tr>
        <w:tc>
          <w:tcPr>
            <w:tcW w:type="dxa" w:w="1440"/>
          </w:tcPr>
          <w:p>
            <w:pPr>
              <w:bidi/>
              <w:jc w:val="both"/>
              <w:rPr>
                <w:rtl/>
              </w:rPr>
            </w:pPr>
            <w:r>
              <w:rPr>
                <w:rtl/>
                <w:rFonts w:cs="Arial"/>
                <w:lang w:bidi="he-IL"/>
              </w:rPr>
            </w:r>
            <w:r>
              <w:rPr>
                <w:rtl/>
                <w:rFonts w:cs="Arial"/>
                <w:lang w:bidi="he-IL"/>
              </w:rPr>
              <w:t>נד מרכבות האש 8</w:t>
            </w:r>
          </w:p>
        </w:tc>
        <w:tc>
          <w:tcPr>
            <w:tcW w:type="dxa" w:w="1440"/>
          </w:tcPr>
          <w:p>
            <w:pPr>
              <w:bidi/>
              <w:jc w:val="both"/>
              <w:rPr>
                <w:rtl/>
              </w:rPr>
            </w:pPr>
            <w:r>
              <w:rPr>
                <w:rtl/>
                <w:rFonts w:cs="Arial"/>
                <w:lang w:bidi="he-IL"/>
              </w:rPr>
            </w:r>
            <w:r>
              <w:rPr>
                <w:rtl/>
                <w:rFonts w:cs="Arial"/>
                <w:lang w:bidi="he-IL"/>
              </w:rPr>
              <w:t>TOLUENE</w:t>
            </w:r>
          </w:p>
        </w:tc>
        <w:tc>
          <w:tcPr>
            <w:tcW w:type="dxa" w:w="1440"/>
          </w:tcPr>
          <w:p>
            <w:pPr>
              <w:bidi/>
              <w:jc w:val="both"/>
              <w:rPr>
                <w:rtl/>
              </w:rPr>
            </w:pPr>
            <w:r>
              <w:rPr>
                <w:rtl/>
                <w:rFonts w:cs="Arial"/>
                <w:lang w:bidi="he-IL"/>
              </w:rPr>
            </w:r>
            <w:r>
              <w:rPr>
                <w:rtl/>
                <w:rFonts w:cs="Arial"/>
                <w:lang w:bidi="he-IL"/>
              </w:rPr>
              <w:t>5,290 µg/L</w:t>
            </w:r>
          </w:p>
        </w:tc>
        <w:tc>
          <w:tcPr>
            <w:tcW w:type="dxa" w:w="1440"/>
          </w:tcPr>
          <w:p>
            <w:pPr>
              <w:bidi/>
              <w:jc w:val="both"/>
              <w:rPr>
                <w:rtl/>
              </w:rPr>
            </w:pPr>
            <w:r>
              <w:rPr>
                <w:rtl/>
                <w:rFonts w:cs="Arial"/>
                <w:lang w:bidi="he-IL"/>
              </w:rPr>
            </w:r>
            <w:r>
              <w:rPr>
                <w:rtl/>
                <w:rFonts w:cs="Arial"/>
                <w:lang w:bidi="he-IL"/>
              </w:rPr>
              <w:t>756%</w:t>
            </w:r>
          </w:p>
        </w:tc>
        <w:tc>
          <w:tcPr>
            <w:tcW w:type="dxa" w:w="1440"/>
          </w:tcPr>
          <w:p>
            <w:pPr>
              <w:bidi/>
              <w:jc w:val="both"/>
              <w:rPr>
                <w:rtl/>
              </w:rPr>
            </w:pPr>
            <w:r>
              <w:rPr>
                <w:rtl/>
                <w:rFonts w:cs="Arial"/>
                <w:lang w:bidi="he-IL"/>
              </w:rPr>
            </w:r>
            <w:r>
              <w:rPr>
                <w:rtl/>
                <w:rFonts w:cs="Arial"/>
                <w:lang w:bidi="he-IL"/>
              </w:rPr>
              <w:t>7</w:t>
            </w:r>
          </w:p>
        </w:tc>
        <w:tc>
          <w:tcPr>
            <w:tcW w:type="dxa" w:w="1440"/>
          </w:tcPr>
          <w:p>
            <w:pPr>
              <w:bidi/>
              <w:jc w:val="both"/>
              <w:rPr>
                <w:rtl/>
              </w:rPr>
            </w:pPr>
            <w:r>
              <w:rPr>
                <w:rtl/>
                <w:rFonts w:cs="Arial"/>
                <w:lang w:bidi="he-IL"/>
              </w:rPr>
            </w:r>
            <w:r>
              <w:rPr>
                <w:rtl/>
                <w:rFonts w:cs="Arial"/>
                <w:lang w:bidi="he-IL"/>
              </w:rPr>
              <w:t>ינו' 2024</w:t>
            </w:r>
          </w:p>
        </w:tc>
      </w:tr>
      <w:tr>
        <w:tc>
          <w:tcPr>
            <w:tcW w:type="dxa" w:w="1440"/>
          </w:tcPr>
          <w:p>
            <w:pPr>
              <w:bidi/>
              <w:jc w:val="both"/>
              <w:rPr>
                <w:rtl/>
              </w:rPr>
            </w:pPr>
            <w:r>
              <w:rPr>
                <w:rtl/>
                <w:rFonts w:cs="Arial"/>
                <w:lang w:bidi="he-IL"/>
              </w:rPr>
            </w:r>
            <w:r>
              <w:rPr>
                <w:rtl/>
                <w:rFonts w:cs="Arial"/>
                <w:lang w:bidi="he-IL"/>
              </w:rPr>
              <w:t>נד המרכבה ק3</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480 µg/L</w:t>
            </w:r>
          </w:p>
        </w:tc>
        <w:tc>
          <w:tcPr>
            <w:tcW w:type="dxa" w:w="1440"/>
          </w:tcPr>
          <w:p>
            <w:pPr>
              <w:bidi/>
              <w:jc w:val="both"/>
              <w:rPr>
                <w:rtl/>
              </w:rPr>
            </w:pPr>
            <w:r>
              <w:rPr>
                <w:rtl/>
                <w:rFonts w:cs="Arial"/>
                <w:lang w:bidi="he-IL"/>
              </w:rPr>
            </w:r>
            <w:r>
              <w:rPr>
                <w:rtl/>
                <w:rFonts w:cs="Arial"/>
                <w:lang w:bidi="he-IL"/>
              </w:rPr>
              <w:t>1,200%</w:t>
            </w:r>
          </w:p>
        </w:tc>
        <w:tc>
          <w:tcPr>
            <w:tcW w:type="dxa" w:w="1440"/>
          </w:tcPr>
          <w:p>
            <w:pPr>
              <w:bidi/>
              <w:jc w:val="both"/>
              <w:rPr>
                <w:rtl/>
              </w:rPr>
            </w:pPr>
            <w:r>
              <w:rPr>
                <w:rtl/>
                <w:rFonts w:cs="Arial"/>
                <w:lang w:bidi="he-IL"/>
              </w:rPr>
            </w:r>
            <w:r>
              <w:rPr>
                <w:rtl/>
                <w:rFonts w:cs="Arial"/>
                <w:lang w:bidi="he-IL"/>
              </w:rPr>
              <w:t>8</w:t>
            </w:r>
          </w:p>
        </w:tc>
        <w:tc>
          <w:tcPr>
            <w:tcW w:type="dxa" w:w="1440"/>
          </w:tcPr>
          <w:p>
            <w:pPr>
              <w:bidi/>
              <w:jc w:val="both"/>
              <w:rPr>
                <w:rtl/>
              </w:rPr>
            </w:pPr>
            <w:r>
              <w:rPr>
                <w:rtl/>
                <w:rFonts w:cs="Arial"/>
                <w:lang w:bidi="he-IL"/>
              </w:rPr>
            </w:r>
            <w:r>
              <w:rPr>
                <w:rtl/>
                <w:rFonts w:cs="Arial"/>
                <w:lang w:bidi="he-IL"/>
              </w:rPr>
              <w:t>מרץ 2021 (סגור)</w:t>
            </w:r>
          </w:p>
        </w:tc>
      </w:tr>
    </w:tbl>
    <w:p>
      <w:pPr>
        <w:bidi/>
        <w:jc w:val="both"/>
        <w:rPr>
          <w:rtl/>
        </w:rPr>
      </w:pPr>
      <w:r>
        <w:rPr>
          <w:b/>
          <w:rtl/>
          <w:rFonts w:cs="Arial"/>
          <w:lang w:bidi="he-IL"/>
        </w:rPr>
        <w:t>הקשר מקורי</w:t>
      </w:r>
      <w:r>
        <w:rPr>
          <w:rtl/>
          <w:rFonts w:cs="Arial"/>
          <w:lang w:bidi="he-IL"/>
        </w:rPr>
        <w:t>. מתחם "מרכבות האש" הוא דיפו תדלוק כבד היסטורי, ולכן מועמד עיקרי לזיהום AFFF/PFAS (ראה פערי-כיסוי, §3.7). חסר רכיב-ביניים: acetone/HIBA (תוצרי TBA) אינם נמדדים — אי-אפשר להבחין בין "TBA סופי/עמיד" ל-"TBA חולף/מתפרק".</w:t>
      </w:r>
    </w:p>
    <w:p>
      <w:pPr>
        <w:bidi/>
        <w:jc w:val="both"/>
        <w:rPr>
          <w:rtl/>
        </w:rPr>
      </w:pPr>
      <w:r>
        <w:rPr>
          <w:b/>
          <w:rtl/>
          <w:rFonts w:cs="Arial"/>
          <w:lang w:bidi="he-IL"/>
        </w:rPr>
        <w:t>פערי מידע</w:t>
      </w:r>
      <w:r>
        <w:rPr>
          <w:rtl/>
          <w:rFonts w:cs="Arial"/>
          <w:lang w:bidi="he-IL"/>
        </w:rPr>
        <w:t>: האם LNAPL פיזי קיים (נדרש gauging); האם הפלומה מתכווצת (MTBE יורד) או שה-TBA מסווה דליפה איטית; מצב 2025 מול שיא 2023.</w:t>
      </w:r>
    </w:p>
    <w:p>
      <w:pPr>
        <w:bidi/>
        <w:pStyle w:val="Heading3"/>
        <w:jc w:val="both"/>
        <w:rPr>
          <w:rtl/>
        </w:rPr>
      </w:pPr>
      <w:r>
        <w:rPr>
          <w:rtl/>
          <w:rFonts w:cs="Arial"/>
          <w:lang w:bidi="he-IL"/>
        </w:rPr>
        <w:t>3.6 חזית דיאוקסן דרומית-חקלאית (סמן-הובלה בקצה הפלומה)</w:t>
      </w:r>
    </w:p>
    <w:p>
      <w:pPr>
        <w:bidi/>
        <w:jc w:val="both"/>
        <w:rPr>
          <w:rtl/>
        </w:rPr>
      </w:pPr>
      <w:r>
        <w:rPr>
          <w:b/>
          <w:rtl/>
          <w:rFonts w:cs="Arial"/>
          <w:lang w:bidi="he-IL"/>
        </w:rPr>
        <w:t>מיקום וקידוחים</w:t>
      </w:r>
      <w:r>
        <w:rPr>
          <w:rtl/>
          <w:rFonts w:cs="Arial"/>
          <w:lang w:bidi="he-IL"/>
        </w:rPr>
        <w:t>. שולי דרום-מערב, נת חווה חקלאית א/ב; נת חולון 13.</w:t>
      </w:r>
    </w:p>
    <w:p>
      <w:pPr>
        <w:bidi/>
        <w:jc w:val="both"/>
        <w:rPr>
          <w:rtl/>
        </w:rPr>
      </w:pPr>
      <w:r>
        <w:rPr>
          <w:b/>
          <w:rtl/>
          <w:rFonts w:cs="Arial"/>
          <w:lang w:bidi="he-IL"/>
        </w:rPr>
        <w:t>ממצא</w:t>
      </w:r>
      <w:r>
        <w:rPr>
          <w:rtl/>
          <w:rFonts w:cs="Arial"/>
          <w:lang w:bidi="he-IL"/>
        </w:rPr>
        <w:t>. 1,4-dioxane מגיע כעת לקידוח החקלאי הדרומי: נת חווה חקלאית א = 38.8 µg/L (1,293% מתקן US EPA 3 µg/L), פברואר 2026 (מדידה ראשונה/בודדת), ונת חווה חקלאית ב = 6.5 µg/L (217%). היות שהדיאוקסן נייד ועמיד יותר מהממס האב, הופעתו בקצה הדרומי-מערבי תואמת חזית פלומה מתקדמת מהליבה התעשייתית במורד הגרדיאנט. זהו ממצא נוכחי המשנה את ההבנה ההיסטורית — הפלומה התעשייתית עשויה להגיע כעת לאזור חקלאי/אספקה. עם זאת, מדובר במדידה בודדת; נדרש אימות לפני קביעת מגמה, וכן בדיקה אם הדיאוקסן מקורו במייצב-TCA מהליבה או במקור עצמאי (טקסטיל/פולימרים). ייתכן שממצא זה מאמת את "האינדיקציות בגז קרקע בחלק הדרומי" שדוח 2021 לא הצליח לאמת.</w:t>
      </w:r>
    </w:p>
    <w:p>
      <w:pPr>
        <w:bidi/>
        <w:jc w:val="both"/>
        <w:rPr>
          <w:rtl/>
        </w:rPr>
      </w:pPr>
      <w:r>
        <w:rPr>
          <w:b/>
          <w:rtl/>
          <w:rFonts w:cs="Arial"/>
          <w:lang w:bidi="he-IL"/>
        </w:rPr>
        <w:t>קישור מנגנוני חוצה-מוקדים</w:t>
      </w:r>
      <w:r>
        <w:rPr>
          <w:rtl/>
          <w:rFonts w:cs="Arial"/>
          <w:lang w:bidi="he-IL"/>
        </w:rPr>
        <w:t>: חזית זו היא ככל הנראה "חציית סיגנל" של פלומת הליבה (§3.1), לא מוקד-מקור עצמאי — ולכן מטופלת כמוקד-הפרדה-מרחבית נפרד (קצה גיאוגרפי מובחן עם השלכת-קולטן ייחודית), אך מקורה מיוחס למעלה-הגרדיאנט.</w:t>
      </w:r>
    </w:p>
    <w:p>
      <w:pPr>
        <w:bidi/>
        <w:jc w:val="both"/>
        <w:rPr>
          <w:rtl/>
        </w:rPr>
      </w:pPr>
      <w:r>
        <w:rPr>
          <w:b/>
          <w:rtl/>
          <w:rFonts w:cs="Arial"/>
          <w:lang w:bidi="he-IL"/>
        </w:rPr>
        <w:t>פערי מידע</w:t>
      </w:r>
      <w:r>
        <w:rPr>
          <w:rtl/>
          <w:rFonts w:cs="Arial"/>
          <w:lang w:bidi="he-IL"/>
        </w:rPr>
        <w:t>: מדידה בודדת; מקור (מייצב-TCA מול עצמאי); קצב התקדמות החזית.</w:t>
      </w:r>
    </w:p>
    <w:p>
      <w:pPr>
        <w:bidi/>
        <w:pStyle w:val="Heading3"/>
        <w:jc w:val="both"/>
        <w:rPr>
          <w:rtl/>
        </w:rPr>
      </w:pPr>
      <w:r>
        <w:rPr>
          <w:rtl/>
          <w:rFonts w:cs="Arial"/>
          <w:lang w:bidi="he-IL"/>
        </w:rPr>
        <w:t>3.7 פערי כיסוי — PFAS והפסקות ניטור (פער חוצה-אזור)</w:t>
      </w:r>
    </w:p>
    <w:p>
      <w:pPr>
        <w:bidi/>
        <w:pStyle w:val="IntenseQuote"/>
        <w:jc w:val="both"/>
        <w:rPr>
          <w:rtl/>
        </w:rPr>
      </w:pPr>
      <w:r>
        <w:rPr>
          <w:rtl/>
          <w:rFonts w:cs="Arial"/>
          <w:lang w:bidi="he-IL"/>
        </w:rPr>
        <w:t>סעיף זה אינו מוקד גיאוגרפי אלא פער כיסוי מבני, ולפיכך מוצג אחרון (§IV).</w:t>
      </w:r>
    </w:p>
    <w:p>
      <w:pPr>
        <w:bidi/>
        <w:jc w:val="both"/>
        <w:rPr>
          <w:rtl/>
        </w:rPr>
      </w:pPr>
      <w:r>
        <w:rPr>
          <w:b/>
          <w:rtl/>
          <w:rFonts w:cs="Arial"/>
          <w:lang w:bidi="he-IL"/>
        </w:rPr>
        <w:t>פער PFAS — מבני</w:t>
      </w:r>
      <w:r>
        <w:rPr>
          <w:rtl/>
          <w:rFonts w:cs="Arial"/>
          <w:lang w:bidi="he-IL"/>
        </w:rPr>
        <w:t>. רק 4 מתוך 111 הקידוחים (3.6%) נדגמו ל-PFAS — מק חולון 12/14 ונד דלק הצבי 1/2 — וכולם עם אפס גילויים מעל סף-גילוי (אינדקס 0). יש להתייחס לנתון זה כ-NON-EVIDENCE ולא כראיה-להיעדר: גודל המדגם אינו מאפשר לקבוע היעדר PFAS באזור. מתקנים בעלי-סיכון שאינם נדגמים: דיפו מרכבות האש (משתמש AFFF פוטנציאלי — מועמד מס' 1 ל-PFAS), 53 מתוך 57 תחנות דלק (98%), אשכול ציפוי המתכות (PFOS כמדכא-אֵד-כרום פרה-2010), ואתרים צבאיים (סדנת נגמשים, מחנה דלק לוי אשכול).</w:t>
      </w:r>
    </w:p>
    <w:p>
      <w:pPr>
        <w:bidi/>
        <w:jc w:val="both"/>
        <w:rPr>
          <w:rtl/>
        </w:rPr>
      </w:pPr>
      <w:r>
        <w:rPr>
          <w:b/>
          <w:rtl/>
          <w:rFonts w:cs="Arial"/>
          <w:lang w:bidi="he-IL"/>
        </w:rPr>
        <w:t>פער הפסקות ניטור — בקידוחי שיא</w:t>
      </w:r>
      <w:r>
        <w:rPr>
          <w:rtl/>
          <w:rFonts w:cs="Arial"/>
          <w:lang w:bidi="he-IL"/>
        </w:rPr>
        <w:t>. שלוש מהפלומות החמורות באזור אינן ניתנות כיום להערכת-מצב, בשל הפסקת דיגום בקידוחים שהיו בריכוז גבוה בעת ההפסקה:</w:t>
      </w:r>
    </w:p>
    <w:p>
      <w:pPr>
        <w:bidi/>
        <w:pStyle w:val="ListBullet"/>
        <w:jc w:val="both"/>
        <w:rPr>
          <w:rtl/>
        </w:rPr>
      </w:pPr>
      <w:r>
        <w:rPr>
          <w:b/>
          <w:rtl/>
          <w:rFonts w:cs="Arial"/>
          <w:lang w:bidi="he-IL"/>
        </w:rPr>
        <w:t>מוקד תדירגן</w:t>
      </w:r>
      <w:r>
        <w:rPr>
          <w:rtl/>
          <w:rFonts w:cs="Arial"/>
          <w:lang w:bidi="he-IL"/>
        </w:rPr>
        <w:t>: ריקה מ-2013 (TCE 2,756–3,513 µg/L בעת ההפסקה) — 13 שנות שתיקה במוקד ההיסטורי המרכזי.</w:t>
      </w:r>
    </w:p>
    <w:p>
      <w:pPr>
        <w:bidi/>
        <w:pStyle w:val="ListBullet"/>
        <w:jc w:val="both"/>
        <w:rPr>
          <w:rtl/>
        </w:rPr>
      </w:pPr>
      <w:r>
        <w:rPr>
          <w:b/>
          <w:rtl/>
          <w:rFonts w:cs="Arial"/>
          <w:lang w:bidi="he-IL"/>
        </w:rPr>
        <w:t>נת אלביט חולון 1</w:t>
      </w:r>
      <w:r>
        <w:rPr>
          <w:rtl/>
          <w:rFonts w:cs="Arial"/>
          <w:lang w:bidi="he-IL"/>
        </w:rPr>
        <w:t>: TCE 35,573% מהתקן, אחרון מרץ 2018 — כ-98 חודשי שתיקה.</w:t>
      </w:r>
    </w:p>
    <w:p>
      <w:pPr>
        <w:bidi/>
        <w:pStyle w:val="ListBullet"/>
        <w:jc w:val="both"/>
        <w:rPr>
          <w:rtl/>
        </w:rPr>
      </w:pPr>
      <w:r>
        <w:rPr>
          <w:b/>
          <w:rtl/>
          <w:rFonts w:cs="Arial"/>
          <w:lang w:bidi="he-IL"/>
        </w:rPr>
        <w:t>אשכול נת חולון 2/5/7/14/25/26</w:t>
      </w:r>
      <w:r>
        <w:rPr>
          <w:rtl/>
          <w:rFonts w:cs="Arial"/>
          <w:lang w:bidi="he-IL"/>
        </w:rPr>
        <w:t>: הפסקה מתואמת יוני 2022 – פברואר 2023, חלקם בשיא ובמגמת עלייה.</w:t>
      </w:r>
    </w:p>
    <w:p>
      <w:pPr>
        <w:bidi/>
        <w:pStyle w:val="ListBullet"/>
        <w:jc w:val="both"/>
        <w:rPr>
          <w:rtl/>
        </w:rPr>
      </w:pPr>
      <w:r>
        <w:rPr>
          <w:b/>
          <w:rtl/>
          <w:rFonts w:cs="Arial"/>
          <w:lang w:bidi="he-IL"/>
        </w:rPr>
        <w:t>נד נובר מרכבה</w:t>
      </w:r>
      <w:r>
        <w:rPr>
          <w:rtl/>
          <w:rFonts w:cs="Arial"/>
          <w:lang w:bidi="he-IL"/>
        </w:rPr>
        <w:t>: MTBE 2,250% מהתקן, אחרון מרץ 2020.</w:t>
      </w:r>
    </w:p>
    <w:p>
      <w:pPr>
        <w:bidi/>
        <w:jc w:val="both"/>
        <w:rPr>
          <w:rtl/>
        </w:rPr>
      </w:pPr>
      <w:r>
        <w:rPr>
          <w:b/>
          <w:rtl/>
          <w:rFonts w:cs="Arial"/>
          <w:lang w:bidi="he-IL"/>
        </w:rPr>
        <w:t>פערים פרמטריים</w:t>
      </w:r>
      <w:r>
        <w:rPr>
          <w:rtl/>
          <w:rFonts w:cs="Arial"/>
          <w:lang w:bidi="he-IL"/>
        </w:rPr>
        <w:t>: תוצרי-ביניים של ריקבון (ethene/ethane/methane/Dehalococcoides) אינם נמדדים — אי-אפשר לקבוע אם ריקבון ה-CVOC מגיע לאתֵן; ספציאציית Cr(VI)/Cr(III) ו-As(III)/As(V) חסרות, וקריטיות לרעילות ולמקור.</w:t>
      </w:r>
    </w:p>
    <w:p>
      <w:pPr>
        <w:bidi/>
        <w:jc w:val="both"/>
        <w:rPr>
          <w:rtl/>
        </w:rPr>
      </w:pPr>
      <w:r>
        <w:rPr>
          <w:rtl/>
          <w:rFonts w:cs="Arial"/>
          <w:lang w:bidi="he-IL"/>
        </w:rPr>
        <w:t>──────────────────────────────────────────────────</w:t>
      </w:r>
    </w:p>
    <w:p>
      <w:pPr>
        <w:bidi/>
        <w:pStyle w:val="Heading2"/>
        <w:jc w:val="both"/>
        <w:rPr>
          <w:rtl/>
        </w:rPr>
      </w:pPr>
      <w:r>
        <w:rPr>
          <w:rtl/>
          <w:rFonts w:cs="Arial"/>
          <w:lang w:bidi="he-IL"/>
        </w:rPr>
        <w:t>4. מגמות, החמרה ופערי ניטור</w:t>
      </w:r>
    </w:p>
    <w:p>
      <w:pPr>
        <w:bidi/>
        <w:jc w:val="both"/>
        <w:rPr>
          <w:rtl/>
        </w:rPr>
      </w:pPr>
      <w:r>
        <w:rPr>
          <w:b/>
          <w:rtl/>
          <w:rFonts w:cs="Arial"/>
          <w:lang w:bidi="he-IL"/>
        </w:rPr>
        <w:t>מגמות מובהקות (p&lt;0.05, יחס אות/רעש מעל סף הסינון)</w:t>
      </w:r>
      <w:r>
        <w:rPr>
          <w:rtl/>
          <w:rFonts w:cs="Arial"/>
          <w:lang w:bidi="he-IL"/>
        </w:rPr>
        <w:t>. בחלון 5 השנים בלטו מספר מגמות עלייה מובהקות לצד מגמות ירידה. עליות: MTBE ב-נד אגד אזור 6 (Z=2.31, p=0.021, יחס אות/רעש 1.06); טולואן ב-נד אגד אזור 1 (Z=2.10, p=0.036, יחס אות/רעש 1.04); בנזן ב-נד פז סיירים 3 (Z=2.03, p=0.043, יחס אות/רעש 1.11); כלוריד ב-מק חולון 12 (Z=2.20, p=0.027). ירידות מובהקות מרוכזות באשכול אגד (בנזן ו-MTBE יורדים במספר קידוחים) ובפז צבר — המעידות שחלקי פלומה מתכווצים. הערה: אשכול עליות חמצן-מומס/עכירות (נד אגד אזור 4/6/7, פז סיירים 2/3) חשוד כתוצר שיטת-דיגום, ולא כשינוי גאוכימי אמיתי — יש לבצע בדיקת-איכות לפני פרשנות סביבתית.</w:t>
      </w:r>
    </w:p>
    <w:p>
      <w:pPr>
        <w:bidi/>
        <w:jc w:val="both"/>
        <w:rPr>
          <w:rtl/>
        </w:rPr>
      </w:pPr>
      <w:r>
        <w:rPr>
          <w:b/>
          <w:rtl/>
          <w:rFonts w:cs="Arial"/>
          <w:lang w:bidi="he-IL"/>
        </w:rPr>
        <w:t>קידוחים סגורים / שתיקה</w:t>
      </w:r>
      <w:r>
        <w:rPr>
          <w:rtl/>
          <w:rFonts w:cs="Arial"/>
          <w:lang w:bidi="he-IL"/>
        </w:rPr>
        <w:t>. נמנו לעיל (§3.7): כל אשכול תדירגן (עשרה קידוחים, ריקה מ-2011–2013), נת אלביט חולון 1 (אחרון 2018), נד נובר מרכבה (2020), נד המרכבה ק2/ק3 (2021), ואשכול נת חולון 2/5/7/14/25/26 (הפסקה מתואמת 2022–2023). זהו פער מהמדרגה הראשונה: שלוש מהפלומות החמורות אינן ניתנות להערכת-מצב.</w:t>
      </w:r>
    </w:p>
    <w:p>
      <w:pPr>
        <w:bidi/>
        <w:jc w:val="both"/>
        <w:rPr>
          <w:rtl/>
        </w:rPr>
      </w:pPr>
      <w:r>
        <w:rPr>
          <w:b/>
          <w:rtl/>
          <w:rFonts w:cs="Arial"/>
          <w:lang w:bidi="he-IL"/>
        </w:rPr>
        <w:t>דיגום דליל / מדידות בודדות</w:t>
      </w:r>
      <w:r>
        <w:rPr>
          <w:rtl/>
          <w:rFonts w:cs="Arial"/>
          <w:lang w:bidi="he-IL"/>
        </w:rPr>
        <w:t>. ערכים קיצוניים המבוססים על מעט מדידות ומחייבים אימות לפני שישמשו בסיס להחלטה: נת חולון 26 (כרום, n=3); נת חווה חקלאית א (דיאוקסן, n=1); נת חולון 14 (כרום, n=2).</w:t>
      </w:r>
    </w:p>
    <w:p>
      <w:pPr>
        <w:bidi/>
        <w:jc w:val="both"/>
        <w:rPr>
          <w:rtl/>
        </w:rPr>
      </w:pPr>
      <w:r>
        <w:rPr>
          <w:b/>
          <w:rtl/>
          <w:rFonts w:cs="Arial"/>
          <w:lang w:bidi="he-IL"/>
        </w:rPr>
        <w:t>הטיית-בחירה (הסתייגות מהותית)</w:t>
      </w:r>
      <w:r>
        <w:rPr>
          <w:rtl/>
          <w:rFonts w:cs="Arial"/>
          <w:lang w:bidi="he-IL"/>
        </w:rPr>
        <w:t>. קידוחי הניטור באזה"ת חולון הוצבו במכוון בסמוך למקורות חשודים. לפיכך הריכוזים הגבוהים אינם מדגם מייצג של איכות מי התהום באזור כולו, אלא תמונה ממוקדת-מקור. כל מסקנה כמותית בדוח כפופה למגבלה זו, ואין להסיק ממנה על מצב האקוויפר מחוץ לרדיוס המוקדים.</w:t>
      </w:r>
    </w:p>
    <w:p>
      <w:pPr>
        <w:bidi/>
        <w:jc w:val="both"/>
        <w:rPr>
          <w:rtl/>
        </w:rPr>
      </w:pPr>
      <w:r>
        <w:rPr>
          <w:rtl/>
          <w:rFonts w:cs="Arial"/>
          <w:lang w:bidi="he-IL"/>
        </w:rPr>
        <w:t>![](Holon/charts/fig_06_monitoring_gaps.png)</w:t>
      </w:r>
    </w:p>
    <w:p>
      <w:pPr>
        <w:bidi/>
        <w:jc w:val="both"/>
        <w:rPr>
          <w:rtl/>
        </w:rPr>
      </w:pPr>
      <w:r>
        <w:rPr>
          <w:b/>
          <w:rtl/>
          <w:rFonts w:cs="Arial"/>
          <w:lang w:bidi="he-IL"/>
        </w:rPr>
        <w:t>איור 5</w:t>
      </w:r>
      <w:r>
        <w:rPr>
          <w:rtl/>
          <w:rFonts w:cs="Arial"/>
          <w:lang w:bidi="he-IL"/>
        </w:rPr>
        <w:t>: ציר זמן דיגום לקידוחים הקריטיים — מדגיש את דפוס "שיא ואז שתיקה" (תדירגן, אלביט, אשכול נת חולון 2/5/7) ואת פערי הכיסוי של PFAS ושל CVOC באשכול אגד.</w:t>
      </w:r>
    </w:p>
    <w:p>
      <w:pPr>
        <w:bidi/>
        <w:jc w:val="both"/>
        <w:rPr>
          <w:rtl/>
        </w:rPr>
      </w:pPr>
      <w:r>
        <w:rPr>
          <w:rtl/>
          <w:rFonts w:cs="Arial"/>
          <w:lang w:bidi="he-IL"/>
        </w:rPr>
        <w:t>──────────────────────────────────────────────────</w:t>
      </w:r>
    </w:p>
    <w:p>
      <w:pPr>
        <w:bidi/>
        <w:pStyle w:val="Heading2"/>
        <w:jc w:val="both"/>
        <w:rPr>
          <w:rtl/>
        </w:rPr>
      </w:pPr>
      <w:r>
        <w:rPr>
          <w:rtl/>
          <w:rFonts w:cs="Arial"/>
          <w:lang w:bidi="he-IL"/>
        </w:rPr>
        <w:t>5. מקורות זיהום אפשריים</w:t>
      </w:r>
    </w:p>
    <w:p>
      <w:pPr>
        <w:bidi/>
        <w:jc w:val="both"/>
        <w:rPr>
          <w:rtl/>
        </w:rPr>
      </w:pPr>
      <w:r>
        <w:rPr>
          <w:rtl/>
          <w:rFonts w:cs="Arial"/>
          <w:lang w:bidi="he-IL"/>
        </w:rPr>
        <w:t>כל השיוכים פרשניים — חשד מבוסס-ראיות, לא ייחוס סופי. נדרשים: אימות כיוון-זרימה, התאמת חתימה כימית, ניתוח-מגמות, ואישור הידרולוג.</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מוקד</w:t>
            </w:r>
          </w:p>
        </w:tc>
        <w:tc>
          <w:tcPr>
            <w:tcW w:type="dxa" w:w="2160"/>
          </w:tcPr>
          <w:p>
            <w:pPr>
              <w:bidi/>
              <w:jc w:val="both"/>
              <w:rPr>
                <w:rtl/>
              </w:rPr>
            </w:pPr>
            <w:r>
              <w:rPr>
                <w:b/>
                <w:rtl/>
                <w:rFonts w:cs="Arial"/>
                <w:lang w:bidi="he-IL"/>
              </w:rPr>
            </w:r>
            <w:r>
              <w:rPr>
                <w:b/>
                <w:rtl/>
                <w:rFonts w:cs="Arial"/>
                <w:lang w:bidi="he-IL"/>
              </w:rPr>
              <w:t>מזהם מוביל</w:t>
            </w:r>
          </w:p>
        </w:tc>
        <w:tc>
          <w:tcPr>
            <w:tcW w:type="dxa" w:w="2160"/>
          </w:tcPr>
          <w:p>
            <w:pPr>
              <w:bidi/>
              <w:jc w:val="both"/>
              <w:rPr>
                <w:rtl/>
              </w:rPr>
            </w:pPr>
            <w:r>
              <w:rPr>
                <w:b/>
                <w:rtl/>
                <w:rFonts w:cs="Arial"/>
                <w:lang w:bidi="he-IL"/>
              </w:rPr>
            </w:r>
            <w:r>
              <w:rPr>
                <w:b/>
                <w:rtl/>
                <w:rFonts w:cs="Arial"/>
                <w:lang w:bidi="he-IL"/>
              </w:rPr>
              <w:t>מפעל חשוד</w:t>
            </w:r>
          </w:p>
        </w:tc>
        <w:tc>
          <w:tcPr>
            <w:tcW w:type="dxa" w:w="2160"/>
          </w:tcPr>
          <w:p>
            <w:pPr>
              <w:bidi/>
              <w:jc w:val="both"/>
              <w:rPr>
                <w:rtl/>
              </w:rPr>
            </w:pPr>
            <w:r>
              <w:rPr>
                <w:b/>
                <w:rtl/>
                <w:rFonts w:cs="Arial"/>
                <w:lang w:bidi="he-IL"/>
              </w:rPr>
            </w:r>
            <w:r>
              <w:rPr>
                <w:b/>
                <w:rtl/>
                <w:rFonts w:cs="Arial"/>
                <w:lang w:bidi="he-IL"/>
              </w:rPr>
              <w:t>רמת ביטחון</w:t>
            </w:r>
          </w:p>
        </w:tc>
      </w:tr>
      <w:tr>
        <w:tc>
          <w:tcPr>
            <w:tcW w:type="dxa" w:w="2160"/>
          </w:tcPr>
          <w:p>
            <w:pPr>
              <w:bidi/>
              <w:jc w:val="both"/>
              <w:rPr>
                <w:rtl/>
              </w:rPr>
            </w:pPr>
            <w:r>
              <w:rPr>
                <w:rtl/>
                <w:rFonts w:cs="Arial"/>
                <w:lang w:bidi="he-IL"/>
              </w:rPr>
            </w:r>
            <w:r>
              <w:rPr>
                <w:rtl/>
                <w:rFonts w:cs="Arial"/>
                <w:lang w:bidi="he-IL"/>
              </w:rPr>
              <w:t>הליבה התעשייתית</w:t>
            </w:r>
          </w:p>
        </w:tc>
        <w:tc>
          <w:tcPr>
            <w:tcW w:type="dxa" w:w="2160"/>
          </w:tcPr>
          <w:p>
            <w:pPr>
              <w:bidi/>
              <w:jc w:val="both"/>
              <w:rPr>
                <w:rtl/>
              </w:rPr>
            </w:pPr>
            <w:r>
              <w:rPr>
                <w:rtl/>
                <w:rFonts w:cs="Arial"/>
                <w:lang w:bidi="he-IL"/>
              </w:rPr>
            </w:r>
            <w:r>
              <w:rPr>
                <w:rtl/>
                <w:rFonts w:cs="Arial"/>
                <w:lang w:bidi="he-IL"/>
              </w:rPr>
              <w:t>TCE / 1,1-DCE</w:t>
            </w:r>
          </w:p>
        </w:tc>
        <w:tc>
          <w:tcPr>
            <w:tcW w:type="dxa" w:w="2160"/>
          </w:tcPr>
          <w:p>
            <w:pPr>
              <w:bidi/>
              <w:jc w:val="both"/>
              <w:rPr>
                <w:rtl/>
              </w:rPr>
            </w:pPr>
            <w:r>
              <w:rPr>
                <w:rtl/>
                <w:rFonts w:cs="Arial"/>
                <w:lang w:bidi="he-IL"/>
              </w:rPr>
            </w:r>
            <w:r>
              <w:rPr>
                <w:rtl/>
                <w:rFonts w:cs="Arial"/>
                <w:lang w:bidi="he-IL"/>
              </w:rPr>
              <w:t>תדיראן-קשר/אלביט (היסטורי)</w:t>
            </w:r>
          </w:p>
        </w:tc>
        <w:tc>
          <w:tcPr>
            <w:tcW w:type="dxa" w:w="2160"/>
          </w:tcPr>
          <w:p>
            <w:pPr>
              <w:bidi/>
              <w:jc w:val="both"/>
              <w:rPr>
                <w:rtl/>
              </w:rPr>
            </w:pPr>
            <w:r>
              <w:rPr>
                <w:rtl/>
                <w:rFonts w:cs="Arial"/>
                <w:lang w:bidi="he-IL"/>
              </w:rPr>
            </w:r>
            <w:r>
              <w:rPr>
                <w:rtl/>
                <w:rFonts w:cs="Arial"/>
                <w:lang w:bidi="he-IL"/>
              </w:rPr>
              <w:t>HIGH</w:t>
            </w:r>
          </w:p>
        </w:tc>
      </w:tr>
      <w:tr>
        <w:tc>
          <w:tcPr>
            <w:tcW w:type="dxa" w:w="2160"/>
          </w:tcPr>
          <w:p>
            <w:pPr>
              <w:bidi/>
              <w:jc w:val="both"/>
              <w:rPr>
                <w:rtl/>
              </w:rPr>
            </w:pPr>
            <w:r>
              <w:rPr>
                <w:rtl/>
                <w:rFonts w:cs="Arial"/>
                <w:lang w:bidi="he-IL"/>
              </w:rPr>
            </w:r>
            <w:r>
              <w:rPr>
                <w:rtl/>
                <w:rFonts w:cs="Arial"/>
                <w:lang w:bidi="he-IL"/>
              </w:rPr>
              <w:t>הליבה התעשייתית</w:t>
            </w:r>
          </w:p>
        </w:tc>
        <w:tc>
          <w:tcPr>
            <w:tcW w:type="dxa" w:w="2160"/>
          </w:tcPr>
          <w:p>
            <w:pPr>
              <w:bidi/>
              <w:jc w:val="both"/>
              <w:rPr>
                <w:rtl/>
              </w:rPr>
            </w:pPr>
            <w:r>
              <w:rPr>
                <w:rtl/>
                <w:rFonts w:cs="Arial"/>
                <w:lang w:bidi="he-IL"/>
              </w:rPr>
            </w:r>
            <w:r>
              <w:rPr>
                <w:rtl/>
                <w:rFonts w:cs="Arial"/>
                <w:lang w:bidi="he-IL"/>
              </w:rPr>
              <w:t>TCE</w:t>
            </w:r>
          </w:p>
        </w:tc>
        <w:tc>
          <w:tcPr>
            <w:tcW w:type="dxa" w:w="2160"/>
          </w:tcPr>
          <w:p>
            <w:pPr>
              <w:bidi/>
              <w:jc w:val="both"/>
              <w:rPr>
                <w:rtl/>
              </w:rPr>
            </w:pPr>
            <w:r>
              <w:rPr>
                <w:rtl/>
                <w:rFonts w:cs="Arial"/>
                <w:lang w:bidi="he-IL"/>
              </w:rPr>
            </w:r>
            <w:r>
              <w:rPr>
                <w:rtl/>
                <w:rFonts w:cs="Arial"/>
                <w:lang w:bidi="he-IL"/>
              </w:rPr>
              <w:t>תדירגן (שוקם 2013–2020)</w:t>
            </w:r>
          </w:p>
        </w:tc>
        <w:tc>
          <w:tcPr>
            <w:tcW w:type="dxa" w:w="2160"/>
          </w:tcPr>
          <w:p>
            <w:pPr>
              <w:bidi/>
              <w:jc w:val="both"/>
              <w:rPr>
                <w:rtl/>
              </w:rPr>
            </w:pPr>
            <w:r>
              <w:rPr>
                <w:rtl/>
                <w:rFonts w:cs="Arial"/>
                <w:lang w:bidi="he-IL"/>
              </w:rPr>
            </w:r>
            <w:r>
              <w:rPr>
                <w:rtl/>
                <w:rFonts w:cs="Arial"/>
                <w:lang w:bidi="he-IL"/>
              </w:rPr>
              <w:t>HIGH</w:t>
            </w:r>
          </w:p>
        </w:tc>
      </w:tr>
      <w:tr>
        <w:tc>
          <w:tcPr>
            <w:tcW w:type="dxa" w:w="2160"/>
          </w:tcPr>
          <w:p>
            <w:pPr>
              <w:bidi/>
              <w:jc w:val="both"/>
              <w:rPr>
                <w:rtl/>
              </w:rPr>
            </w:pPr>
            <w:r>
              <w:rPr>
                <w:rtl/>
                <w:rFonts w:cs="Arial"/>
                <w:lang w:bidi="he-IL"/>
              </w:rPr>
            </w:r>
            <w:r>
              <w:rPr>
                <w:rtl/>
                <w:rFonts w:cs="Arial"/>
                <w:lang w:bidi="he-IL"/>
              </w:rPr>
              <w:t>המתכות (נת חולון 3)</w:t>
            </w:r>
          </w:p>
        </w:tc>
        <w:tc>
          <w:tcPr>
            <w:tcW w:type="dxa" w:w="2160"/>
          </w:tcPr>
          <w:p>
            <w:pPr>
              <w:bidi/>
              <w:jc w:val="both"/>
              <w:rPr>
                <w:rtl/>
              </w:rPr>
            </w:pPr>
            <w:r>
              <w:rPr>
                <w:rtl/>
                <w:rFonts w:cs="Arial"/>
                <w:lang w:bidi="he-IL"/>
              </w:rPr>
            </w:r>
            <w:r>
              <w:rPr>
                <w:rtl/>
                <w:rFonts w:cs="Arial"/>
                <w:lang w:bidi="he-IL"/>
              </w:rPr>
              <w:t>כרום</w:t>
            </w:r>
          </w:p>
        </w:tc>
        <w:tc>
          <w:tcPr>
            <w:tcW w:type="dxa" w:w="2160"/>
          </w:tcPr>
          <w:p>
            <w:pPr>
              <w:bidi/>
              <w:jc w:val="both"/>
              <w:rPr>
                <w:rtl/>
              </w:rPr>
            </w:pPr>
            <w:r>
              <w:rPr>
                <w:rtl/>
                <w:rFonts w:cs="Arial"/>
                <w:lang w:bidi="he-IL"/>
              </w:rPr>
            </w:r>
            <w:r>
              <w:rPr>
                <w:rtl/>
                <w:rFonts w:cs="Arial"/>
                <w:lang w:bidi="he-IL"/>
              </w:rPr>
              <w:t>תרשיש</w:t>
            </w:r>
          </w:p>
        </w:tc>
        <w:tc>
          <w:tcPr>
            <w:tcW w:type="dxa" w:w="2160"/>
          </w:tcPr>
          <w:p>
            <w:pPr>
              <w:bidi/>
              <w:jc w:val="both"/>
              <w:rPr>
                <w:rtl/>
              </w:rPr>
            </w:pPr>
            <w:r>
              <w:rPr>
                <w:rtl/>
                <w:rFonts w:cs="Arial"/>
                <w:lang w:bidi="he-IL"/>
              </w:rPr>
            </w:r>
            <w:r>
              <w:rPr>
                <w:rtl/>
                <w:rFonts w:cs="Arial"/>
                <w:lang w:bidi="he-IL"/>
              </w:rPr>
              <w:t>HIGH</w:t>
            </w:r>
          </w:p>
        </w:tc>
      </w:tr>
      <w:tr>
        <w:tc>
          <w:tcPr>
            <w:tcW w:type="dxa" w:w="2160"/>
          </w:tcPr>
          <w:p>
            <w:pPr>
              <w:bidi/>
              <w:jc w:val="both"/>
              <w:rPr>
                <w:rtl/>
              </w:rPr>
            </w:pPr>
            <w:r>
              <w:rPr>
                <w:rtl/>
                <w:rFonts w:cs="Arial"/>
                <w:lang w:bidi="he-IL"/>
              </w:rPr>
            </w:r>
            <w:r>
              <w:rPr>
                <w:rtl/>
                <w:rFonts w:cs="Arial"/>
                <w:lang w:bidi="he-IL"/>
              </w:rPr>
              <w:t>המתכות (רימטל)</w:t>
            </w:r>
          </w:p>
        </w:tc>
        <w:tc>
          <w:tcPr>
            <w:tcW w:type="dxa" w:w="2160"/>
          </w:tcPr>
          <w:p>
            <w:pPr>
              <w:bidi/>
              <w:jc w:val="both"/>
              <w:rPr>
                <w:rtl/>
              </w:rPr>
            </w:pPr>
            <w:r>
              <w:rPr>
                <w:rtl/>
                <w:rFonts w:cs="Arial"/>
                <w:lang w:bidi="he-IL"/>
              </w:rPr>
            </w:r>
            <w:r>
              <w:rPr>
                <w:rtl/>
                <w:rFonts w:cs="Arial"/>
                <w:lang w:bidi="he-IL"/>
              </w:rPr>
              <w:t>ניקל</w:t>
            </w:r>
          </w:p>
        </w:tc>
        <w:tc>
          <w:tcPr>
            <w:tcW w:type="dxa" w:w="2160"/>
          </w:tcPr>
          <w:p>
            <w:pPr>
              <w:bidi/>
              <w:jc w:val="both"/>
              <w:rPr>
                <w:rtl/>
              </w:rPr>
            </w:pPr>
            <w:r>
              <w:rPr>
                <w:rtl/>
                <w:rFonts w:cs="Arial"/>
                <w:lang w:bidi="he-IL"/>
              </w:rPr>
            </w:r>
            <w:r>
              <w:rPr>
                <w:rtl/>
                <w:rFonts w:cs="Arial"/>
                <w:lang w:bidi="he-IL"/>
              </w:rPr>
              <w:t>רימטל/ארן-מטל (התמתן)</w:t>
            </w:r>
          </w:p>
        </w:tc>
        <w:tc>
          <w:tcPr>
            <w:tcW w:type="dxa" w:w="2160"/>
          </w:tcPr>
          <w:p>
            <w:pPr>
              <w:bidi/>
              <w:jc w:val="both"/>
              <w:rPr>
                <w:rtl/>
              </w:rPr>
            </w:pPr>
            <w:r>
              <w:rPr>
                <w:rtl/>
                <w:rFonts w:cs="Arial"/>
                <w:lang w:bidi="he-IL"/>
              </w:rPr>
            </w:r>
            <w:r>
              <w:rPr>
                <w:rtl/>
                <w:rFonts w:cs="Arial"/>
                <w:lang w:bidi="he-IL"/>
              </w:rPr>
              <w:t>HIGH</w:t>
            </w:r>
          </w:p>
        </w:tc>
      </w:tr>
      <w:tr>
        <w:tc>
          <w:tcPr>
            <w:tcW w:type="dxa" w:w="2160"/>
          </w:tcPr>
          <w:p>
            <w:pPr>
              <w:bidi/>
              <w:jc w:val="both"/>
              <w:rPr>
                <w:rtl/>
              </w:rPr>
            </w:pPr>
            <w:r>
              <w:rPr>
                <w:rtl/>
                <w:rFonts w:cs="Arial"/>
                <w:lang w:bidi="he-IL"/>
              </w:rPr>
            </w:r>
            <w:r>
              <w:rPr>
                <w:rtl/>
                <w:rFonts w:cs="Arial"/>
                <w:lang w:bidi="he-IL"/>
              </w:rPr>
              <w:t>הליבה (נת חולון 1)</w:t>
            </w:r>
          </w:p>
        </w:tc>
        <w:tc>
          <w:tcPr>
            <w:tcW w:type="dxa" w:w="2160"/>
          </w:tcPr>
          <w:p>
            <w:pPr>
              <w:bidi/>
              <w:jc w:val="both"/>
              <w:rPr>
                <w:rtl/>
              </w:rPr>
            </w:pPr>
            <w:r>
              <w:rPr>
                <w:rtl/>
                <w:rFonts w:cs="Arial"/>
                <w:lang w:bidi="he-IL"/>
              </w:rPr>
            </w:r>
            <w:r>
              <w:rPr>
                <w:rtl/>
                <w:rFonts w:cs="Arial"/>
                <w:lang w:bidi="he-IL"/>
              </w:rPr>
              <w:t>כרום/CVOC</w:t>
            </w:r>
          </w:p>
        </w:tc>
        <w:tc>
          <w:tcPr>
            <w:tcW w:type="dxa" w:w="2160"/>
          </w:tcPr>
          <w:p>
            <w:pPr>
              <w:bidi/>
              <w:jc w:val="both"/>
              <w:rPr>
                <w:rtl/>
              </w:rPr>
            </w:pPr>
            <w:r>
              <w:rPr>
                <w:rtl/>
                <w:rFonts w:cs="Arial"/>
                <w:lang w:bidi="he-IL"/>
              </w:rPr>
            </w:r>
            <w:r>
              <w:rPr>
                <w:rtl/>
                <w:rFonts w:cs="Arial"/>
                <w:lang w:bidi="he-IL"/>
              </w:rPr>
              <w:t xml:space="preserve">כור מתכת </w:t>
            </w:r>
            <w:r>
              <w:rPr>
                <w:b/>
                <w:rtl/>
                <w:rFonts w:cs="Arial"/>
                <w:lang w:bidi="he-IL"/>
              </w:rPr>
              <w:t>או</w:t>
            </w:r>
            <w:r>
              <w:rPr>
                <w:rtl/>
                <w:rFonts w:cs="Arial"/>
                <w:lang w:bidi="he-IL"/>
              </w:rPr>
              <w:t xml:space="preserve"> כרומט</w:t>
            </w:r>
          </w:p>
        </w:tc>
        <w:tc>
          <w:tcPr>
            <w:tcW w:type="dxa" w:w="2160"/>
          </w:tcPr>
          <w:p>
            <w:pPr>
              <w:bidi/>
              <w:jc w:val="both"/>
              <w:rPr>
                <w:rtl/>
              </w:rPr>
            </w:pPr>
            <w:r>
              <w:rPr>
                <w:rtl/>
                <w:rFonts w:cs="Arial"/>
                <w:lang w:bidi="he-IL"/>
              </w:rPr>
            </w:r>
            <w:r>
              <w:rPr>
                <w:rtl/>
                <w:rFonts w:cs="Arial"/>
                <w:lang w:bidi="he-IL"/>
              </w:rPr>
              <w:t>MEDIUM</w:t>
            </w:r>
          </w:p>
        </w:tc>
      </w:tr>
      <w:tr>
        <w:tc>
          <w:tcPr>
            <w:tcW w:type="dxa" w:w="2160"/>
          </w:tcPr>
          <w:p>
            <w:pPr>
              <w:bidi/>
              <w:jc w:val="both"/>
              <w:rPr>
                <w:rtl/>
              </w:rPr>
            </w:pPr>
            <w:r>
              <w:rPr>
                <w:rtl/>
                <w:rFonts w:cs="Arial"/>
                <w:lang w:bidi="he-IL"/>
              </w:rPr>
            </w:r>
            <w:r>
              <w:rPr>
                <w:rtl/>
                <w:rFonts w:cs="Arial"/>
                <w:lang w:bidi="he-IL"/>
              </w:rPr>
              <w:t>המתכות (נת חולון 14)</w:t>
            </w:r>
          </w:p>
        </w:tc>
        <w:tc>
          <w:tcPr>
            <w:tcW w:type="dxa" w:w="2160"/>
          </w:tcPr>
          <w:p>
            <w:pPr>
              <w:bidi/>
              <w:jc w:val="both"/>
              <w:rPr>
                <w:rtl/>
              </w:rPr>
            </w:pPr>
            <w:r>
              <w:rPr>
                <w:rtl/>
                <w:rFonts w:cs="Arial"/>
                <w:lang w:bidi="he-IL"/>
              </w:rPr>
            </w:r>
            <w:r>
              <w:rPr>
                <w:rtl/>
                <w:rFonts w:cs="Arial"/>
                <w:lang w:bidi="he-IL"/>
              </w:rPr>
              <w:t>כרום</w:t>
            </w:r>
          </w:p>
        </w:tc>
        <w:tc>
          <w:tcPr>
            <w:tcW w:type="dxa" w:w="2160"/>
          </w:tcPr>
          <w:p>
            <w:pPr>
              <w:bidi/>
              <w:jc w:val="both"/>
              <w:rPr>
                <w:rtl/>
              </w:rPr>
            </w:pPr>
            <w:r>
              <w:rPr>
                <w:rtl/>
                <w:rFonts w:cs="Arial"/>
                <w:lang w:bidi="he-IL"/>
              </w:rPr>
            </w:r>
            <w:r>
              <w:rPr>
                <w:rtl/>
                <w:rFonts w:cs="Arial"/>
                <w:lang w:bidi="he-IL"/>
              </w:rPr>
              <w:t>המלבין/סופר-כרום/אמקור (לא ניתן לבודד)</w:t>
            </w:r>
          </w:p>
        </w:tc>
        <w:tc>
          <w:tcPr>
            <w:tcW w:type="dxa" w:w="2160"/>
          </w:tcPr>
          <w:p>
            <w:pPr>
              <w:bidi/>
              <w:jc w:val="both"/>
              <w:rPr>
                <w:rtl/>
              </w:rPr>
            </w:pPr>
            <w:r>
              <w:rPr>
                <w:rtl/>
                <w:rFonts w:cs="Arial"/>
                <w:lang w:bidi="he-IL"/>
              </w:rPr>
            </w:r>
            <w:r>
              <w:rPr>
                <w:rtl/>
                <w:rFonts w:cs="Arial"/>
                <w:lang w:bidi="he-IL"/>
              </w:rPr>
              <w:t>MEDIUM</w:t>
            </w:r>
          </w:p>
        </w:tc>
      </w:tr>
      <w:tr>
        <w:tc>
          <w:tcPr>
            <w:tcW w:type="dxa" w:w="2160"/>
          </w:tcPr>
          <w:p>
            <w:pPr>
              <w:bidi/>
              <w:jc w:val="both"/>
              <w:rPr>
                <w:rtl/>
              </w:rPr>
            </w:pPr>
            <w:r>
              <w:rPr>
                <w:rtl/>
                <w:rFonts w:cs="Arial"/>
                <w:lang w:bidi="he-IL"/>
              </w:rPr>
            </w:r>
            <w:r>
              <w:rPr>
                <w:rtl/>
                <w:rFonts w:cs="Arial"/>
                <w:lang w:bidi="he-IL"/>
              </w:rPr>
              <w:t>הדלק המערבי</w:t>
            </w:r>
          </w:p>
        </w:tc>
        <w:tc>
          <w:tcPr>
            <w:tcW w:type="dxa" w:w="2160"/>
          </w:tcPr>
          <w:p>
            <w:pPr>
              <w:bidi/>
              <w:jc w:val="both"/>
              <w:rPr>
                <w:rtl/>
              </w:rPr>
            </w:pPr>
            <w:r>
              <w:rPr>
                <w:rtl/>
                <w:rFonts w:cs="Arial"/>
                <w:lang w:bidi="he-IL"/>
              </w:rPr>
            </w:r>
            <w:r>
              <w:rPr>
                <w:rtl/>
                <w:rFonts w:cs="Arial"/>
                <w:lang w:bidi="he-IL"/>
              </w:rPr>
              <w:t>BTEX/MTBE</w:t>
            </w:r>
          </w:p>
        </w:tc>
        <w:tc>
          <w:tcPr>
            <w:tcW w:type="dxa" w:w="2160"/>
          </w:tcPr>
          <w:p>
            <w:pPr>
              <w:bidi/>
              <w:jc w:val="both"/>
              <w:rPr>
                <w:rtl/>
              </w:rPr>
            </w:pPr>
            <w:r>
              <w:rPr>
                <w:rtl/>
                <w:rFonts w:cs="Arial"/>
                <w:lang w:bidi="he-IL"/>
              </w:rPr>
            </w:r>
            <w:r>
              <w:rPr>
                <w:rtl/>
                <w:rFonts w:cs="Arial"/>
                <w:lang w:bidi="he-IL"/>
              </w:rPr>
              <w:t>מחניון אגד</w:t>
            </w:r>
          </w:p>
        </w:tc>
        <w:tc>
          <w:tcPr>
            <w:tcW w:type="dxa" w:w="2160"/>
          </w:tcPr>
          <w:p>
            <w:pPr>
              <w:bidi/>
              <w:jc w:val="both"/>
              <w:rPr>
                <w:rtl/>
              </w:rPr>
            </w:pPr>
            <w:r>
              <w:rPr>
                <w:rtl/>
                <w:rFonts w:cs="Arial"/>
                <w:lang w:bidi="he-IL"/>
              </w:rPr>
            </w:r>
            <w:r>
              <w:rPr>
                <w:rtl/>
                <w:rFonts w:cs="Arial"/>
                <w:lang w:bidi="he-IL"/>
              </w:rPr>
              <w:t>HIGH</w:t>
            </w:r>
          </w:p>
        </w:tc>
      </w:tr>
      <w:tr>
        <w:tc>
          <w:tcPr>
            <w:tcW w:type="dxa" w:w="2160"/>
          </w:tcPr>
          <w:p>
            <w:pPr>
              <w:bidi/>
              <w:jc w:val="both"/>
              <w:rPr>
                <w:rtl/>
              </w:rPr>
            </w:pPr>
            <w:r>
              <w:rPr>
                <w:rtl/>
                <w:rFonts w:cs="Arial"/>
                <w:lang w:bidi="he-IL"/>
              </w:rPr>
            </w:r>
            <w:r>
              <w:rPr>
                <w:rtl/>
                <w:rFonts w:cs="Arial"/>
                <w:lang w:bidi="he-IL"/>
              </w:rPr>
              <w:t>התדלוק הדרומי</w:t>
            </w:r>
          </w:p>
        </w:tc>
        <w:tc>
          <w:tcPr>
            <w:tcW w:type="dxa" w:w="2160"/>
          </w:tcPr>
          <w:p>
            <w:pPr>
              <w:bidi/>
              <w:jc w:val="both"/>
              <w:rPr>
                <w:rtl/>
              </w:rPr>
            </w:pPr>
            <w:r>
              <w:rPr>
                <w:rtl/>
                <w:rFonts w:cs="Arial"/>
                <w:lang w:bidi="he-IL"/>
              </w:rPr>
            </w:r>
            <w:r>
              <w:rPr>
                <w:rtl/>
                <w:rFonts w:cs="Arial"/>
                <w:lang w:bidi="he-IL"/>
              </w:rPr>
              <w:t>בנזן/MTBE</w:t>
            </w:r>
          </w:p>
        </w:tc>
        <w:tc>
          <w:tcPr>
            <w:tcW w:type="dxa" w:w="2160"/>
          </w:tcPr>
          <w:p>
            <w:pPr>
              <w:bidi/>
              <w:jc w:val="both"/>
              <w:rPr>
                <w:rtl/>
              </w:rPr>
            </w:pPr>
            <w:r>
              <w:rPr>
                <w:rtl/>
                <w:rFonts w:cs="Arial"/>
                <w:lang w:bidi="he-IL"/>
              </w:rPr>
            </w:r>
            <w:r>
              <w:rPr>
                <w:rtl/>
                <w:rFonts w:cs="Arial"/>
                <w:lang w:bidi="he-IL"/>
              </w:rPr>
              <w:t>פז סיירים / פז צבר</w:t>
            </w:r>
          </w:p>
        </w:tc>
        <w:tc>
          <w:tcPr>
            <w:tcW w:type="dxa" w:w="2160"/>
          </w:tcPr>
          <w:p>
            <w:pPr>
              <w:bidi/>
              <w:jc w:val="both"/>
              <w:rPr>
                <w:rtl/>
              </w:rPr>
            </w:pPr>
            <w:r>
              <w:rPr>
                <w:rtl/>
                <w:rFonts w:cs="Arial"/>
                <w:lang w:bidi="he-IL"/>
              </w:rPr>
            </w:r>
            <w:r>
              <w:rPr>
                <w:rtl/>
                <w:rFonts w:cs="Arial"/>
                <w:lang w:bidi="he-IL"/>
              </w:rPr>
              <w:t>MEDIUM</w:t>
            </w:r>
          </w:p>
        </w:tc>
      </w:tr>
    </w:tbl>
    <w:p>
      <w:pPr>
        <w:bidi/>
        <w:jc w:val="both"/>
        <w:rPr>
          <w:rtl/>
        </w:rPr>
      </w:pPr>
      <w:r>
        <w:rPr>
          <w:b/>
          <w:rtl/>
          <w:rFonts w:cs="Arial"/>
          <w:lang w:bidi="he-IL"/>
        </w:rPr>
        <w:t>ייחוסים בביטחון HIGH — נרטיב קצר</w:t>
      </w:r>
      <w:r>
        <w:rPr>
          <w:rtl/>
          <w:rFonts w:cs="Arial"/>
          <w:lang w:bidi="he-IL"/>
        </w:rPr>
        <w:t>. תדיראן-קשר/אלביט: TCE היסטורי 12,982 µg/L "בצמוד למפעל"; הסתייגות — אלביט הנוכחי ברחוב המרכבה 29 הוא אתר שונה (מועמד נפרד בביטחון נמוך-בינוני שאינו מוכיח זיהום מהאתר ההיסטורי). תדירגן: מקור התדירגן + 3 מפעלים סמוכים, שוקם 2013–2020. תרשיש: כרום 2,424 µg/L "בסמוך לתרשיש". מחניון אגד: index דלק עד 8, פלומת BTEX/MTBE מתועדת בדוח 2021 (עמ' 32).</w:t>
      </w:r>
    </w:p>
    <w:p>
      <w:pPr>
        <w:bidi/>
        <w:jc w:val="both"/>
        <w:rPr>
          <w:rtl/>
        </w:rPr>
      </w:pPr>
      <w:r>
        <w:rPr>
          <w:b/>
          <w:rtl/>
          <w:rFonts w:cs="Arial"/>
          <w:lang w:bidi="he-IL"/>
        </w:rPr>
        <w:t>ראיות פורנזיות</w:t>
      </w:r>
      <w:r>
        <w:rPr>
          <w:rtl/>
          <w:rFonts w:cs="Arial"/>
          <w:lang w:bidi="he-IL"/>
        </w:rPr>
        <w:t>. שתי חתימות CVOC נפרדות באזור: באשכול נת חולון יחס 1,1-DCE/cis-DCE הרבה מעל 1 (חתימה לא-ביוטית / מקור ישיר), בעוד באשכול אגד היחס הפוך עם VC מצטבר (ריקבון ביוטי מתקדם TCE→cis-DCE→VC). co-occurrence חוצה-משפחות בנד אגד אזור 1 (BTEX+MTBE עם VC) מעיד על פלומה משולבת. חתימה גלוונית Cr+Ni באשכול נת חולון 22/23.</w:t>
      </w:r>
    </w:p>
    <w:p>
      <w:pPr>
        <w:bidi/>
        <w:jc w:val="both"/>
        <w:rPr>
          <w:rtl/>
        </w:rPr>
      </w:pPr>
      <w:r>
        <w:rPr>
          <w:b/>
          <w:rtl/>
          <w:rFonts w:cs="Arial"/>
          <w:lang w:bidi="he-IL"/>
        </w:rPr>
        <w:t>עיקרון-על</w:t>
      </w:r>
      <w:r>
        <w:rPr>
          <w:rtl/>
          <w:rFonts w:cs="Arial"/>
          <w:lang w:bidi="he-IL"/>
        </w:rPr>
        <w:t>: באזור עם 30+ מפעלים היסטוריים חופפים, חתימה כימית זהה אינה מוכיחה מקור יחיד. יש לשמר רב-השערתיות לאורך כל הייחוס. מועמדי רקע (סגירת מפעל נירוסטה מ-Web 2023; אתרים צבאיים ללא ניטור; מקווה ישראל) מובאים בנספח ג ואינם מובילים שיוך.</w:t>
      </w:r>
    </w:p>
    <w:p>
      <w:pPr>
        <w:bidi/>
        <w:jc w:val="both"/>
        <w:rPr>
          <w:rtl/>
        </w:rPr>
      </w:pPr>
      <w:r>
        <w:rPr>
          <w:rtl/>
          <w:rFonts w:cs="Arial"/>
          <w:lang w:bidi="he-IL"/>
        </w:rPr>
        <w:t>──────────────────────────────────────────────────</w:t>
      </w:r>
    </w:p>
    <w:p>
      <w:pPr>
        <w:bidi/>
        <w:pStyle w:val="Heading2"/>
        <w:jc w:val="both"/>
        <w:rPr>
          <w:rtl/>
        </w:rPr>
      </w:pPr>
      <w:r>
        <w:rPr>
          <w:rtl/>
          <w:rFonts w:cs="Arial"/>
          <w:lang w:bidi="he-IL"/>
        </w:rPr>
        <w:t>6. המלצות</w:t>
      </w:r>
    </w:p>
    <w:p>
      <w:pPr>
        <w:bidi/>
        <w:jc w:val="both"/>
        <w:rPr>
          <w:rtl/>
        </w:rPr>
      </w:pPr>
      <w:r>
        <w:rPr>
          <w:rtl/>
          <w:rFonts w:cs="Arial"/>
          <w:lang w:bidi="he-IL"/>
        </w:rPr>
        <w:t>ההמלצות מאורגנות סביב ארבעה תחומי-החלטה. כל שורה קשורה לממצא ב-§2–5; הדחיפות משוקעת בניסוח.</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both"/>
              <w:rPr>
                <w:rtl/>
              </w:rPr>
            </w:pPr>
            <w:r>
              <w:rPr>
                <w:b/>
                <w:rtl/>
                <w:rFonts w:cs="Arial"/>
                <w:lang w:bidi="he-IL"/>
              </w:rPr>
            </w:r>
            <w:r>
              <w:rPr>
                <w:b/>
                <w:rtl/>
                <w:rFonts w:cs="Arial"/>
                <w:lang w:bidi="he-IL"/>
              </w:rPr>
              <w:t>תחום החלטה</w:t>
            </w:r>
          </w:p>
        </w:tc>
        <w:tc>
          <w:tcPr>
            <w:tcW w:type="dxa" w:w="2160"/>
          </w:tcPr>
          <w:p>
            <w:pPr>
              <w:bidi/>
              <w:jc w:val="both"/>
              <w:rPr>
                <w:rtl/>
              </w:rPr>
            </w:pPr>
            <w:r>
              <w:rPr>
                <w:b/>
                <w:rtl/>
                <w:rFonts w:cs="Arial"/>
                <w:lang w:bidi="he-IL"/>
              </w:rPr>
            </w:r>
            <w:r>
              <w:rPr>
                <w:b/>
                <w:rtl/>
                <w:rFonts w:cs="Arial"/>
                <w:lang w:bidi="he-IL"/>
              </w:rPr>
              <w:t>פעולה</w:t>
            </w:r>
          </w:p>
        </w:tc>
        <w:tc>
          <w:tcPr>
            <w:tcW w:type="dxa" w:w="2160"/>
          </w:tcPr>
          <w:p>
            <w:pPr>
              <w:bidi/>
              <w:jc w:val="both"/>
              <w:rPr>
                <w:rtl/>
              </w:rPr>
            </w:pPr>
            <w:r>
              <w:rPr>
                <w:b/>
                <w:rtl/>
                <w:rFonts w:cs="Arial"/>
                <w:lang w:bidi="he-IL"/>
              </w:rPr>
            </w:r>
            <w:r>
              <w:rPr>
                <w:b/>
                <w:rtl/>
                <w:rFonts w:cs="Arial"/>
                <w:lang w:bidi="he-IL"/>
              </w:rPr>
              <w:t>מה נדרש (משפט אחד)</w:t>
            </w:r>
          </w:p>
        </w:tc>
        <w:tc>
          <w:tcPr>
            <w:tcW w:type="dxa" w:w="2160"/>
          </w:tcPr>
          <w:p>
            <w:pPr>
              <w:bidi/>
              <w:jc w:val="both"/>
              <w:rPr>
                <w:rtl/>
              </w:rPr>
            </w:pPr>
            <w:r>
              <w:rPr>
                <w:b/>
                <w:rtl/>
                <w:rFonts w:cs="Arial"/>
                <w:lang w:bidi="he-IL"/>
              </w:rPr>
            </w:r>
            <w:r>
              <w:rPr>
                <w:b/>
                <w:rtl/>
                <w:rFonts w:cs="Arial"/>
                <w:lang w:bidi="he-IL"/>
              </w:rPr>
              <w:t>הערות</w:t>
            </w:r>
          </w:p>
        </w:tc>
      </w:tr>
      <w:tr>
        <w:tc>
          <w:tcPr>
            <w:tcW w:type="dxa" w:w="2160"/>
          </w:tcPr>
          <w:p>
            <w:pPr>
              <w:bidi/>
              <w:jc w:val="both"/>
              <w:rPr>
                <w:rtl/>
              </w:rPr>
            </w:pPr>
            <w:r>
              <w:rPr>
                <w:rtl/>
                <w:rFonts w:cs="Arial"/>
                <w:lang w:bidi="he-IL"/>
              </w:rPr>
            </w:r>
            <w:r>
              <w:rPr>
                <w:b/>
                <w:rtl/>
                <w:rFonts w:cs="Arial"/>
                <w:lang w:bidi="he-IL"/>
              </w:rPr>
              <w:t>עדכון תכנית הניטור</w:t>
            </w:r>
          </w:p>
        </w:tc>
        <w:tc>
          <w:tcPr>
            <w:tcW w:type="dxa" w:w="2160"/>
          </w:tcPr>
          <w:p>
            <w:pPr>
              <w:bidi/>
              <w:jc w:val="both"/>
              <w:rPr>
                <w:rtl/>
              </w:rPr>
            </w:pPr>
            <w:r>
              <w:rPr>
                <w:rtl/>
                <w:rFonts w:cs="Arial"/>
                <w:lang w:bidi="he-IL"/>
              </w:rPr>
            </w:r>
            <w:r>
              <w:rPr>
                <w:rtl/>
                <w:rFonts w:cs="Arial"/>
                <w:lang w:bidi="he-IL"/>
              </w:rPr>
              <w:t>1.1 חידוש ניטור באשכול השיא</w:t>
            </w:r>
          </w:p>
        </w:tc>
        <w:tc>
          <w:tcPr>
            <w:tcW w:type="dxa" w:w="2160"/>
          </w:tcPr>
          <w:p>
            <w:pPr>
              <w:bidi/>
              <w:jc w:val="both"/>
              <w:rPr>
                <w:rtl/>
              </w:rPr>
            </w:pPr>
            <w:r>
              <w:rPr>
                <w:rtl/>
                <w:rFonts w:cs="Arial"/>
                <w:lang w:bidi="he-IL"/>
              </w:rPr>
            </w:r>
            <w:r>
              <w:rPr>
                <w:rtl/>
                <w:rFonts w:cs="Arial"/>
                <w:lang w:bidi="he-IL"/>
              </w:rPr>
              <w:t>לחדש מיידית דיגום TCE/1,1-DCE/cis-DCE/VC באשכול נת חולון 2/5/7/14/25/26, שהפסיק לדווח ב-2022–2023 בשיא ובמגמת עלייה</w:t>
            </w:r>
          </w:p>
        </w:tc>
        <w:tc>
          <w:tcPr>
            <w:tcW w:type="dxa" w:w="2160"/>
          </w:tcPr>
          <w:p>
            <w:pPr>
              <w:bidi/>
              <w:jc w:val="both"/>
              <w:rPr>
                <w:rtl/>
              </w:rPr>
            </w:pPr>
            <w:r>
              <w:rPr>
                <w:rtl/>
                <w:rFonts w:cs="Arial"/>
                <w:lang w:bidi="he-IL"/>
              </w:rPr>
            </w:r>
            <w:r>
              <w:rPr>
                <w:rtl/>
                <w:rFonts w:cs="Arial"/>
                <w:lang w:bidi="he-IL"/>
              </w:rPr>
              <w:t>דחיפות גבוהה; שלוש פלומות חמורות בלתי-ניתנות להערכה</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1.2 הוספת פאנל דיאוקסן ואינטנסיפיקציה</w:t>
            </w:r>
          </w:p>
        </w:tc>
        <w:tc>
          <w:tcPr>
            <w:tcW w:type="dxa" w:w="2160"/>
          </w:tcPr>
          <w:p>
            <w:pPr>
              <w:bidi/>
              <w:jc w:val="both"/>
              <w:rPr>
                <w:rtl/>
              </w:rPr>
            </w:pPr>
            <w:r>
              <w:rPr>
                <w:rtl/>
                <w:rFonts w:cs="Arial"/>
                <w:lang w:bidi="he-IL"/>
              </w:rPr>
            </w:r>
            <w:r>
              <w:rPr>
                <w:rtl/>
                <w:rFonts w:cs="Arial"/>
                <w:lang w:bidi="he-IL"/>
              </w:rPr>
              <w:t>מעבר לדיגום רבעוני של 1,4-dioxane ב-נת חולון 11 ובחזית הדרומית-חקלאית, לאחר הקפיצה ל-1,036 µg/L</w:t>
            </w:r>
          </w:p>
        </w:tc>
        <w:tc>
          <w:tcPr>
            <w:tcW w:type="dxa" w:w="2160"/>
          </w:tcPr>
          <w:p>
            <w:pPr>
              <w:bidi/>
              <w:jc w:val="both"/>
              <w:rPr>
                <w:rtl/>
              </w:rPr>
            </w:pPr>
            <w:r>
              <w:rPr>
                <w:rtl/>
                <w:rFonts w:cs="Arial"/>
                <w:lang w:bidi="he-IL"/>
              </w:rPr>
            </w:r>
            <w:r>
              <w:rPr>
                <w:rtl/>
                <w:rFonts w:cs="Arial"/>
                <w:lang w:bidi="he-IL"/>
              </w:rPr>
              <w:t>קישור לממצא §3.1 / §3.6</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1.3 ניטור מוצר-חופשי באגד</w:t>
            </w:r>
          </w:p>
        </w:tc>
        <w:tc>
          <w:tcPr>
            <w:tcW w:type="dxa" w:w="2160"/>
          </w:tcPr>
          <w:p>
            <w:pPr>
              <w:bidi/>
              <w:jc w:val="both"/>
              <w:rPr>
                <w:rtl/>
              </w:rPr>
            </w:pPr>
            <w:r>
              <w:rPr>
                <w:rtl/>
                <w:rFonts w:cs="Arial"/>
                <w:lang w:bidi="he-IL"/>
              </w:rPr>
            </w:r>
            <w:r>
              <w:rPr>
                <w:rtl/>
                <w:rFonts w:cs="Arial"/>
                <w:lang w:bidi="he-IL"/>
              </w:rPr>
              <w:t>להוסיף gauging תקופתי ל-LNAPL ויחס B:T:X לאורך זמן בנד אגד אזור 1</w:t>
            </w:r>
          </w:p>
        </w:tc>
        <w:tc>
          <w:tcPr>
            <w:tcW w:type="dxa" w:w="2160"/>
          </w:tcPr>
          <w:p>
            <w:pPr>
              <w:bidi/>
              <w:jc w:val="both"/>
              <w:rPr>
                <w:rtl/>
              </w:rPr>
            </w:pPr>
            <w:r>
              <w:rPr>
                <w:rtl/>
                <w:rFonts w:cs="Arial"/>
                <w:lang w:bidi="he-IL"/>
              </w:rPr>
            </w:r>
            <w:r>
              <w:rPr>
                <w:rtl/>
                <w:rFonts w:cs="Arial"/>
                <w:lang w:bidi="he-IL"/>
              </w:rPr>
              <w:t>בנזן 4,250 µg/L; חשד מוצר-חופשי פעיל</w:t>
            </w:r>
          </w:p>
        </w:tc>
      </w:tr>
      <w:tr>
        <w:tc>
          <w:tcPr>
            <w:tcW w:type="dxa" w:w="2160"/>
          </w:tcPr>
          <w:p>
            <w:pPr>
              <w:bidi/>
              <w:jc w:val="both"/>
              <w:rPr>
                <w:rtl/>
              </w:rPr>
            </w:pPr>
            <w:r>
              <w:rPr>
                <w:rtl/>
                <w:rFonts w:cs="Arial"/>
                <w:lang w:bidi="he-IL"/>
              </w:rPr>
            </w:r>
            <w:r>
              <w:rPr>
                <w:b/>
                <w:rtl/>
                <w:rFonts w:cs="Arial"/>
                <w:lang w:bidi="he-IL"/>
              </w:rPr>
              <w:t>קידוחי ניטור חדשים/חלופיים</w:t>
            </w:r>
          </w:p>
        </w:tc>
        <w:tc>
          <w:tcPr>
            <w:tcW w:type="dxa" w:w="2160"/>
          </w:tcPr>
          <w:p>
            <w:pPr>
              <w:bidi/>
              <w:jc w:val="both"/>
              <w:rPr>
                <w:rtl/>
              </w:rPr>
            </w:pPr>
            <w:r>
              <w:rPr>
                <w:rtl/>
                <w:rFonts w:cs="Arial"/>
                <w:lang w:bidi="he-IL"/>
              </w:rPr>
            </w:r>
            <w:r>
              <w:rPr>
                <w:rtl/>
                <w:rFonts w:cs="Arial"/>
                <w:lang w:bidi="he-IL"/>
              </w:rPr>
              <w:t>2.1 קמפיין PFAS ממוקד</w:t>
            </w:r>
          </w:p>
        </w:tc>
        <w:tc>
          <w:tcPr>
            <w:tcW w:type="dxa" w:w="2160"/>
          </w:tcPr>
          <w:p>
            <w:pPr>
              <w:bidi/>
              <w:jc w:val="both"/>
              <w:rPr>
                <w:rtl/>
              </w:rPr>
            </w:pPr>
            <w:r>
              <w:rPr>
                <w:rtl/>
                <w:rFonts w:cs="Arial"/>
                <w:lang w:bidi="he-IL"/>
              </w:rPr>
            </w:r>
            <w:r>
              <w:rPr>
                <w:rtl/>
                <w:rFonts w:cs="Arial"/>
                <w:lang w:bidi="he-IL"/>
              </w:rPr>
              <w:t>לבצע מינימום 8 קידוחי PFAS: דיפו מרכבות האש, מורד כל תת-אשכול תעשייתי, מורד מקורות הדלק הגדולים, וקידוח-רקע במעלה-הגרדיאנט</w:t>
            </w:r>
          </w:p>
        </w:tc>
        <w:tc>
          <w:tcPr>
            <w:tcW w:type="dxa" w:w="2160"/>
          </w:tcPr>
          <w:p>
            <w:pPr>
              <w:bidi/>
              <w:jc w:val="both"/>
              <w:rPr>
                <w:rtl/>
              </w:rPr>
            </w:pPr>
            <w:r>
              <w:rPr>
                <w:rtl/>
                <w:rFonts w:cs="Arial"/>
                <w:lang w:bidi="he-IL"/>
              </w:rPr>
            </w:r>
            <w:r>
              <w:rPr>
                <w:rtl/>
                <w:rFonts w:cs="Arial"/>
                <w:lang w:bidi="he-IL"/>
              </w:rPr>
              <w:t>פער מבני; 3.6% כיסוי בלבד</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2.2 ניטור חלופי לתדירגן</w:t>
            </w:r>
          </w:p>
        </w:tc>
        <w:tc>
          <w:tcPr>
            <w:tcW w:type="dxa" w:w="2160"/>
          </w:tcPr>
          <w:p>
            <w:pPr>
              <w:bidi/>
              <w:jc w:val="both"/>
              <w:rPr>
                <w:rtl/>
              </w:rPr>
            </w:pPr>
            <w:r>
              <w:rPr>
                <w:rtl/>
                <w:rFonts w:cs="Arial"/>
                <w:lang w:bidi="he-IL"/>
              </w:rPr>
            </w:r>
            <w:r>
              <w:rPr>
                <w:rtl/>
                <w:rFonts w:cs="Arial"/>
                <w:lang w:bidi="he-IL"/>
              </w:rPr>
              <w:t>להקים/לאתר קידוח ניטור חלופי במוקד תדירגן, שריק מ-2013</w:t>
            </w:r>
          </w:p>
        </w:tc>
        <w:tc>
          <w:tcPr>
            <w:tcW w:type="dxa" w:w="2160"/>
          </w:tcPr>
          <w:p>
            <w:pPr>
              <w:bidi/>
              <w:jc w:val="both"/>
              <w:rPr>
                <w:rtl/>
              </w:rPr>
            </w:pPr>
            <w:r>
              <w:rPr>
                <w:rtl/>
                <w:rFonts w:cs="Arial"/>
                <w:lang w:bidi="he-IL"/>
              </w:rPr>
            </w:r>
            <w:r>
              <w:rPr>
                <w:rtl/>
                <w:rFonts w:cs="Arial"/>
                <w:lang w:bidi="he-IL"/>
              </w:rPr>
              <w:t>המוקד ההיסטורי המרכזי; "הצלחת שיקום" לא מוכחת</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2.3 קידוח-זקיף בציר המתכות</w:t>
            </w:r>
          </w:p>
        </w:tc>
        <w:tc>
          <w:tcPr>
            <w:tcW w:type="dxa" w:w="2160"/>
          </w:tcPr>
          <w:p>
            <w:pPr>
              <w:bidi/>
              <w:jc w:val="both"/>
              <w:rPr>
                <w:rtl/>
              </w:rPr>
            </w:pPr>
            <w:r>
              <w:rPr>
                <w:rtl/>
                <w:rFonts w:cs="Arial"/>
                <w:lang w:bidi="he-IL"/>
              </w:rPr>
            </w:r>
            <w:r>
              <w:rPr>
                <w:rtl/>
                <w:rFonts w:cs="Arial"/>
                <w:lang w:bidi="he-IL"/>
              </w:rPr>
              <w:t>קידוח-זקיף בין נת חולון 14 ל-26 לבחינת מקור-יחיד מול שני-מקורות</w:t>
            </w:r>
          </w:p>
        </w:tc>
        <w:tc>
          <w:tcPr>
            <w:tcW w:type="dxa" w:w="2160"/>
          </w:tcPr>
          <w:p>
            <w:pPr>
              <w:bidi/>
              <w:jc w:val="both"/>
              <w:rPr>
                <w:rtl/>
              </w:rPr>
            </w:pPr>
            <w:r>
              <w:rPr>
                <w:rtl/>
                <w:rFonts w:cs="Arial"/>
                <w:lang w:bidi="he-IL"/>
              </w:rPr>
            </w:r>
            <w:r>
              <w:rPr>
                <w:rtl/>
                <w:rFonts w:cs="Arial"/>
                <w:lang w:bidi="he-IL"/>
              </w:rPr>
              <w:t>קפיצת כרום פי-12 על מרחק קצר</w:t>
            </w:r>
          </w:p>
        </w:tc>
      </w:tr>
      <w:tr>
        <w:tc>
          <w:tcPr>
            <w:tcW w:type="dxa" w:w="2160"/>
          </w:tcPr>
          <w:p>
            <w:pPr>
              <w:bidi/>
              <w:jc w:val="both"/>
              <w:rPr>
                <w:rtl/>
              </w:rPr>
            </w:pPr>
            <w:r>
              <w:rPr>
                <w:rtl/>
                <w:rFonts w:cs="Arial"/>
                <w:lang w:bidi="he-IL"/>
              </w:rPr>
            </w:r>
            <w:r>
              <w:rPr>
                <w:b/>
                <w:rtl/>
                <w:rFonts w:cs="Arial"/>
                <w:lang w:bidi="he-IL"/>
              </w:rPr>
              <w:t>חקירת מקורות זיהום</w:t>
            </w:r>
          </w:p>
        </w:tc>
        <w:tc>
          <w:tcPr>
            <w:tcW w:type="dxa" w:w="2160"/>
          </w:tcPr>
          <w:p>
            <w:pPr>
              <w:bidi/>
              <w:jc w:val="both"/>
              <w:rPr>
                <w:rtl/>
              </w:rPr>
            </w:pPr>
            <w:r>
              <w:rPr>
                <w:rtl/>
                <w:rFonts w:cs="Arial"/>
                <w:lang w:bidi="he-IL"/>
              </w:rPr>
            </w:r>
            <w:r>
              <w:rPr>
                <w:rtl/>
                <w:rFonts w:cs="Arial"/>
                <w:lang w:bidi="he-IL"/>
              </w:rPr>
              <w:t>3.1 ספציאציית מתכות</w:t>
            </w:r>
          </w:p>
        </w:tc>
        <w:tc>
          <w:tcPr>
            <w:tcW w:type="dxa" w:w="2160"/>
          </w:tcPr>
          <w:p>
            <w:pPr>
              <w:bidi/>
              <w:jc w:val="both"/>
              <w:rPr>
                <w:rtl/>
              </w:rPr>
            </w:pPr>
            <w:r>
              <w:rPr>
                <w:rtl/>
                <w:rFonts w:cs="Arial"/>
                <w:lang w:bidi="he-IL"/>
              </w:rPr>
            </w:r>
            <w:r>
              <w:rPr>
                <w:rtl/>
                <w:rFonts w:cs="Arial"/>
                <w:lang w:bidi="he-IL"/>
              </w:rPr>
              <w:t>ספציאציה Cr(VI)/Cr(III) בנת חולון 26 ו-As(III)/As(V) בנת חולון 5/6/7 — קובעת רעילות ומקור</w:t>
            </w:r>
          </w:p>
        </w:tc>
        <w:tc>
          <w:tcPr>
            <w:tcW w:type="dxa" w:w="2160"/>
          </w:tcPr>
          <w:p>
            <w:pPr>
              <w:bidi/>
              <w:jc w:val="both"/>
              <w:rPr>
                <w:rtl/>
              </w:rPr>
            </w:pPr>
            <w:r>
              <w:rPr>
                <w:rtl/>
                <w:rFonts w:cs="Arial"/>
                <w:lang w:bidi="he-IL"/>
              </w:rPr>
            </w:r>
            <w:r>
              <w:rPr>
                <w:rtl/>
                <w:rFonts w:cs="Arial"/>
                <w:lang w:bidi="he-IL"/>
              </w:rPr>
              <w:t>דיגום-חוזר הארסן = ההשקעה האנליטית בעלת המנוף הגבוה ביותר</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3.2 מאזן-מסה TCA ו-CSIA</w:t>
            </w:r>
          </w:p>
        </w:tc>
        <w:tc>
          <w:tcPr>
            <w:tcW w:type="dxa" w:w="2160"/>
          </w:tcPr>
          <w:p>
            <w:pPr>
              <w:bidi/>
              <w:jc w:val="both"/>
              <w:rPr>
                <w:rtl/>
              </w:rPr>
            </w:pPr>
            <w:r>
              <w:rPr>
                <w:rtl/>
                <w:rFonts w:cs="Arial"/>
                <w:lang w:bidi="he-IL"/>
              </w:rPr>
            </w:r>
            <w:r>
              <w:rPr>
                <w:rtl/>
                <w:rFonts w:cs="Arial"/>
                <w:lang w:bidi="he-IL"/>
              </w:rPr>
              <w:t>חישוב מאזן-מסה 1,1,1-TCA→1,1-DCE וניתוח איזוטופי (δ¹³C) להבחנת מקורות CVOC בליבה</w:t>
            </w:r>
          </w:p>
        </w:tc>
        <w:tc>
          <w:tcPr>
            <w:tcW w:type="dxa" w:w="2160"/>
          </w:tcPr>
          <w:p>
            <w:pPr>
              <w:bidi/>
              <w:jc w:val="both"/>
              <w:rPr>
                <w:rtl/>
              </w:rPr>
            </w:pPr>
            <w:r>
              <w:rPr>
                <w:rtl/>
                <w:rFonts w:cs="Arial"/>
                <w:lang w:bidi="he-IL"/>
              </w:rPr>
            </w:r>
            <w:r>
              <w:rPr>
                <w:rtl/>
                <w:rFonts w:cs="Arial"/>
                <w:lang w:bidi="he-IL"/>
              </w:rPr>
              <w:t>מכריע בין מקור-PVDC ישיר לתוצר-TCA</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3.3 בדיקת תקינות מכלים</w:t>
            </w:r>
          </w:p>
        </w:tc>
        <w:tc>
          <w:tcPr>
            <w:tcW w:type="dxa" w:w="2160"/>
          </w:tcPr>
          <w:p>
            <w:pPr>
              <w:bidi/>
              <w:jc w:val="both"/>
              <w:rPr>
                <w:rtl/>
              </w:rPr>
            </w:pPr>
            <w:r>
              <w:rPr>
                <w:rtl/>
                <w:rFonts w:cs="Arial"/>
                <w:lang w:bidi="he-IL"/>
              </w:rPr>
            </w:r>
            <w:r>
              <w:rPr>
                <w:rtl/>
                <w:rFonts w:cs="Arial"/>
                <w:lang w:bidi="he-IL"/>
              </w:rPr>
              <w:t>בדיקת תקינות מכלים תת-קרקעיים בפז סיירים ובמחניון אגד; ניטור ethene/ethane לבחינת גורל ה-VC</w:t>
            </w:r>
          </w:p>
        </w:tc>
        <w:tc>
          <w:tcPr>
            <w:tcW w:type="dxa" w:w="2160"/>
          </w:tcPr>
          <w:p>
            <w:pPr>
              <w:bidi/>
              <w:jc w:val="both"/>
              <w:rPr>
                <w:rtl/>
              </w:rPr>
            </w:pPr>
            <w:r>
              <w:rPr>
                <w:rtl/>
                <w:rFonts w:cs="Arial"/>
                <w:lang w:bidi="he-IL"/>
              </w:rPr>
            </w:r>
            <w:r>
              <w:rPr>
                <w:rtl/>
                <w:rFonts w:cs="Arial"/>
                <w:lang w:bidi="he-IL"/>
              </w:rPr>
              <w:t>קישור לשחרור-טרי §3.3 ולמצב VC §3.2</w:t>
            </w:r>
          </w:p>
        </w:tc>
      </w:tr>
      <w:tr>
        <w:tc>
          <w:tcPr>
            <w:tcW w:type="dxa" w:w="2160"/>
          </w:tcPr>
          <w:p>
            <w:pPr>
              <w:bidi/>
              <w:jc w:val="both"/>
              <w:rPr>
                <w:rtl/>
              </w:rPr>
            </w:pPr>
            <w:r>
              <w:rPr>
                <w:rtl/>
                <w:rFonts w:cs="Arial"/>
                <w:lang w:bidi="he-IL"/>
              </w:rPr>
            </w:r>
            <w:r>
              <w:rPr>
                <w:b/>
                <w:rtl/>
                <w:rFonts w:cs="Arial"/>
                <w:lang w:bidi="he-IL"/>
              </w:rPr>
              <w:t>השפעה על הפקה/מדיניות</w:t>
            </w:r>
          </w:p>
        </w:tc>
        <w:tc>
          <w:tcPr>
            <w:tcW w:type="dxa" w:w="2160"/>
          </w:tcPr>
          <w:p>
            <w:pPr>
              <w:bidi/>
              <w:jc w:val="both"/>
              <w:rPr>
                <w:rtl/>
              </w:rPr>
            </w:pPr>
            <w:r>
              <w:rPr>
                <w:rtl/>
                <w:rFonts w:cs="Arial"/>
                <w:lang w:bidi="he-IL"/>
              </w:rPr>
            </w:r>
            <w:r>
              <w:rPr>
                <w:rtl/>
                <w:rFonts w:cs="Arial"/>
                <w:lang w:bidi="he-IL"/>
              </w:rPr>
              <w:t>4.1 הערכת מסלול-קולטן לקידוחי ההפקה</w:t>
            </w:r>
          </w:p>
        </w:tc>
        <w:tc>
          <w:tcPr>
            <w:tcW w:type="dxa" w:w="2160"/>
          </w:tcPr>
          <w:p>
            <w:pPr>
              <w:bidi/>
              <w:jc w:val="both"/>
              <w:rPr>
                <w:rtl/>
              </w:rPr>
            </w:pPr>
            <w:r>
              <w:rPr>
                <w:rtl/>
                <w:rFonts w:cs="Arial"/>
                <w:lang w:bidi="he-IL"/>
              </w:rPr>
            </w:r>
            <w:r>
              <w:rPr>
                <w:rtl/>
                <w:rFonts w:cs="Arial"/>
                <w:lang w:bidi="he-IL"/>
              </w:rPr>
              <w:t>להעריך את מסלול הזרימה מהליבה לקידוחי מק חולון, לאור הזרימה הדרום-מערבית והגעת הדיאוקסן לשוליים</w:t>
            </w:r>
          </w:p>
        </w:tc>
        <w:tc>
          <w:tcPr>
            <w:tcW w:type="dxa" w:w="2160"/>
          </w:tcPr>
          <w:p>
            <w:pPr>
              <w:bidi/>
              <w:jc w:val="both"/>
              <w:rPr>
                <w:rtl/>
              </w:rPr>
            </w:pPr>
            <w:r>
              <w:rPr>
                <w:rtl/>
                <w:rFonts w:cs="Arial"/>
                <w:lang w:bidi="he-IL"/>
              </w:rPr>
            </w:r>
            <w:r>
              <w:rPr>
                <w:rtl/>
                <w:rFonts w:cs="Arial"/>
                <w:lang w:bidi="he-IL"/>
              </w:rPr>
              <w:t>חוצה-תחום: קשור גם ל-3.2; דחיפות גבוהה</w:t>
            </w:r>
          </w:p>
        </w:tc>
      </w:tr>
      <w:tr>
        <w:tc>
          <w:tcPr>
            <w:tcW w:type="dxa" w:w="2160"/>
          </w:tcPr>
          <w:p>
            <w:pPr>
              <w:bidi/>
              <w:jc w:val="both"/>
              <w:rPr>
                <w:rtl/>
              </w:rPr>
            </w:pPr>
            <w:r>
              <w:rPr>
                <w:rtl/>
                <w:rFonts w:cs="Arial"/>
                <w:lang w:bidi="he-IL"/>
              </w:rPr>
            </w:r>
          </w:p>
        </w:tc>
        <w:tc>
          <w:tcPr>
            <w:tcW w:type="dxa" w:w="2160"/>
          </w:tcPr>
          <w:p>
            <w:pPr>
              <w:bidi/>
              <w:jc w:val="both"/>
              <w:rPr>
                <w:rtl/>
              </w:rPr>
            </w:pPr>
            <w:r>
              <w:rPr>
                <w:rtl/>
                <w:rFonts w:cs="Arial"/>
                <w:lang w:bidi="he-IL"/>
              </w:rPr>
            </w:r>
            <w:r>
              <w:rPr>
                <w:rtl/>
                <w:rFonts w:cs="Arial"/>
                <w:lang w:bidi="he-IL"/>
              </w:rPr>
              <w:t>4.2 בחינת פרופיל השאיבה</w:t>
            </w:r>
          </w:p>
        </w:tc>
        <w:tc>
          <w:tcPr>
            <w:tcW w:type="dxa" w:w="2160"/>
          </w:tcPr>
          <w:p>
            <w:pPr>
              <w:bidi/>
              <w:jc w:val="both"/>
              <w:rPr>
                <w:rtl/>
              </w:rPr>
            </w:pPr>
            <w:r>
              <w:rPr>
                <w:rtl/>
                <w:rFonts w:cs="Arial"/>
                <w:lang w:bidi="he-IL"/>
              </w:rPr>
            </w:r>
            <w:r>
              <w:rPr>
                <w:rtl/>
                <w:rFonts w:cs="Arial"/>
                <w:lang w:bidi="he-IL"/>
              </w:rPr>
              <w:t>לבדוק אם תרחיש השאיבה (אקולוג 2012) יושם והאם הוא משנה את תנועת הפלומה</w:t>
            </w:r>
          </w:p>
        </w:tc>
        <w:tc>
          <w:tcPr>
            <w:tcW w:type="dxa" w:w="2160"/>
          </w:tcPr>
          <w:p>
            <w:pPr>
              <w:bidi/>
              <w:jc w:val="both"/>
              <w:rPr>
                <w:rtl/>
              </w:rPr>
            </w:pPr>
            <w:r>
              <w:rPr>
                <w:rtl/>
                <w:rFonts w:cs="Arial"/>
                <w:lang w:bidi="he-IL"/>
              </w:rPr>
            </w:r>
            <w:r>
              <w:rPr>
                <w:rtl/>
                <w:rFonts w:cs="Arial"/>
                <w:lang w:bidi="he-IL"/>
              </w:rPr>
              <w:t>משפיע על תנועת פלומת ה-CVOC לעבר ההפקה</w:t>
            </w:r>
          </w:p>
        </w:tc>
      </w:tr>
    </w:tbl>
    <w:p>
      <w:pPr>
        <w:bidi/>
        <w:jc w:val="both"/>
        <w:rPr>
          <w:rtl/>
        </w:rPr>
      </w:pPr>
      <w:r>
        <w:rPr>
          <w:rtl/>
          <w:rFonts w:cs="Arial"/>
          <w:lang w:bidi="he-IL"/>
        </w:rPr>
        <w:t>──────────────────────────────────────────────────</w:t>
      </w:r>
    </w:p>
    <w:p>
      <w:pPr>
        <w:bidi/>
        <w:pStyle w:val="Heading2"/>
        <w:jc w:val="both"/>
        <w:rPr>
          <w:rtl/>
        </w:rPr>
      </w:pPr>
      <w:r>
        <w:rPr>
          <w:rtl/>
          <w:rFonts w:cs="Arial"/>
          <w:lang w:bidi="he-IL"/>
        </w:rPr>
        <w:t>7. מתודולוגיה</w:t>
      </w:r>
    </w:p>
    <w:p>
      <w:pPr>
        <w:bidi/>
        <w:jc w:val="both"/>
        <w:rPr>
          <w:rtl/>
        </w:rPr>
      </w:pPr>
      <w:r>
        <w:rPr>
          <w:rtl/>
          <w:rFonts w:cs="Arial"/>
          <w:lang w:bidi="he-IL"/>
        </w:rPr>
        <w:t>אינדקס החומרה מחושב כיחס בין הריכוז המרבי בחלון חמש השנים לבין תקן מי השתייה, כפול 100 (C_max_5y / DWS × 100), ומתורגם לסולם בן 9 רמות (0–8); לפירוט הסולם המלא ראה מסמכי המתודולוגיה הכלליים. חלון הניתוח: חמש שנים (2021–2026). מערך הניטור מונה בסך הכול 111 קידוחים — מהם 46 לניטור כללי ו-63 לדלק. ניתוח המגמות מבוסס על Mann-Kendall (שונות מתוקנת-קשרים, סטטיסטי Z עם תיקון-רציפות, וסינון יחס אות/רעש), עם טריגר רך המוגדר כשני ערכים עולים רצופים בחלון — אין שימוש ברגרסיה לינארית. מזהמי PFAS מצרפיים (TPFAS) ו-BETK הוחרגו מהניתוח כסכומים מחושבים; המינים הבודדים הם הייצוג הקנוני. ערך עדכני-אחרון מוצג בנפרד משיא-החלון כדי להבחין בין מצב נוכחי לבין שיא היסטורי.</w:t>
      </w:r>
    </w:p>
    <w:p>
      <w:pPr>
        <w:bidi/>
        <w:jc w:val="both"/>
        <w:rPr>
          <w:rtl/>
        </w:rPr>
      </w:pPr>
      <w:r>
        <w:rPr>
          <w:rtl/>
          <w:rFonts w:cs="Arial"/>
          <w:lang w:bidi="he-IL"/>
        </w:rPr>
        <w:t>──────────────────────────────────────────────────</w:t>
      </w:r>
    </w:p>
    <w:p>
      <w:pPr>
        <w:bidi/>
        <w:pStyle w:val="Heading2"/>
        <w:jc w:val="both"/>
        <w:rPr>
          <w:rtl/>
        </w:rPr>
      </w:pPr>
      <w:r>
        <w:rPr>
          <w:rtl/>
          <w:rFonts w:cs="Arial"/>
          <w:lang w:bidi="he-IL"/>
        </w:rPr>
        <w:t>8. מגבלות</w:t>
      </w:r>
    </w:p>
    <w:p>
      <w:pPr>
        <w:bidi/>
        <w:jc w:val="both"/>
        <w:rPr>
          <w:rtl/>
        </w:rPr>
      </w:pPr>
      <w:r>
        <w:rPr>
          <w:b/>
          <w:rtl/>
          <w:rFonts w:cs="Arial"/>
          <w:lang w:bidi="he-IL"/>
        </w:rPr>
        <w:t>פערי נתונים</w:t>
      </w:r>
      <w:r>
        <w:rPr>
          <w:rtl/>
          <w:rFonts w:cs="Arial"/>
          <w:lang w:bidi="he-IL"/>
        </w:rPr>
        <w:t>. כיסוי PFAS עומד על 4 מתוך 111 הקידוחים בלבד — אין אפשרות לקבוע היעדר PFAS באזור. שלוש פלומות חמורות (תדירגן, אלביט, אשכול נת חולון 2/5/7) אינן ניתנות להערכת-מצב נוכחית עקב הפסקות ניטור. ערכים קיצוניים בעלי מעט מדידות (כרום בנת חולון 26 ב-n=3; דיאוקסן בחווה חקלאית א ב-n=1) דורשים אימות. חסרים פרמטרים אבחוניים: תוצרי-ביניים של ריקבון CVOC, וספציאציית מתכות.</w:t>
      </w:r>
    </w:p>
    <w:p>
      <w:pPr>
        <w:bidi/>
        <w:jc w:val="both"/>
        <w:rPr>
          <w:rtl/>
        </w:rPr>
      </w:pPr>
      <w:r>
        <w:rPr>
          <w:b/>
          <w:rtl/>
          <w:rFonts w:cs="Arial"/>
          <w:lang w:bidi="he-IL"/>
        </w:rPr>
        <w:t>הנחות</w:t>
      </w:r>
      <w:r>
        <w:rPr>
          <w:rtl/>
          <w:rFonts w:cs="Arial"/>
          <w:lang w:bidi="he-IL"/>
        </w:rPr>
        <w:t>. ערכי תקן מי השתייה (DWS) ננקטו לפי ההגדרות הרגולטוריות הנהוגות; עבור מזהמים ללא תקן ישראלי מפורש (דיאוקסן, VC) נעשה שימוש בערכי-ייחוס של US EPA, המסומנים ככאלה. אשכול עליות חמצן-מומס/עכירות סומן כחשוד-איכות ולא כממצא גאוכימי.</w:t>
      </w:r>
    </w:p>
    <w:p>
      <w:pPr>
        <w:bidi/>
        <w:jc w:val="both"/>
        <w:rPr>
          <w:rtl/>
        </w:rPr>
      </w:pPr>
      <w:r>
        <w:rPr>
          <w:b/>
          <w:rtl/>
          <w:rFonts w:cs="Arial"/>
          <w:lang w:bidi="he-IL"/>
        </w:rPr>
        <w:t>הטיית-בחירה</w:t>
      </w:r>
      <w:r>
        <w:rPr>
          <w:rtl/>
          <w:rFonts w:cs="Arial"/>
          <w:lang w:bidi="he-IL"/>
        </w:rPr>
        <w:t>. קידוחי הניטור הוצבו במכוון בסמוך למקורות חשודים, ולכן אינם מדגם מייצג של האזור — הם נועדו ללכוד פלומות, לא לאפיין רקע אזורי. כל מסקנה כמותית כפופה למגבלה זו. דוח זה אינו תחליף להערכת סיכון רשמית או לבדיקת הידרולוג מוסמך.</w:t>
      </w:r>
    </w:p>
    <w:p>
      <w:pPr>
        <w:bidi/>
        <w:jc w:val="both"/>
        <w:rPr>
          <w:rtl/>
        </w:rPr>
      </w:pPr>
      <w:r>
        <w:rPr>
          <w:rtl/>
          <w:rFonts w:cs="Arial"/>
          <w:lang w:bidi="he-IL"/>
        </w:rPr>
        <w:t>──────────────────────────────────────────────────</w:t>
      </w:r>
    </w:p>
    <w:p>
      <w:pPr>
        <w:bidi/>
        <w:pStyle w:val="Heading2"/>
        <w:jc w:val="both"/>
        <w:rPr>
          <w:rtl/>
        </w:rPr>
      </w:pPr>
      <w:r>
        <w:rPr>
          <w:rtl/>
          <w:rFonts w:cs="Arial"/>
          <w:lang w:bidi="he-IL"/>
        </w:rPr>
        <w:t>נספחים</w:t>
      </w:r>
    </w:p>
    <w:p>
      <w:pPr>
        <w:bidi/>
        <w:pStyle w:val="Heading3"/>
        <w:jc w:val="both"/>
        <w:rPr>
          <w:rtl/>
        </w:rPr>
      </w:pPr>
      <w:r>
        <w:rPr>
          <w:rtl/>
          <w:rFonts w:cs="Arial"/>
          <w:lang w:bidi="he-IL"/>
        </w:rPr>
        <w:t>נספח א: סיווג קידוחים מובילים (אינדקס מירבי לפי משפחה)</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אינדקס מירבי</w:t>
            </w:r>
          </w:p>
        </w:tc>
        <w:tc>
          <w:tcPr>
            <w:tcW w:type="dxa" w:w="1728"/>
          </w:tcPr>
          <w:p>
            <w:pPr>
              <w:bidi/>
              <w:jc w:val="both"/>
              <w:rPr>
                <w:rtl/>
              </w:rPr>
            </w:pPr>
            <w:r>
              <w:rPr>
                <w:b/>
                <w:rtl/>
                <w:rFonts w:cs="Arial"/>
                <w:lang w:bidi="he-IL"/>
              </w:rPr>
            </w:r>
            <w:r>
              <w:rPr>
                <w:b/>
                <w:rtl/>
                <w:rFonts w:cs="Arial"/>
                <w:lang w:bidi="he-IL"/>
              </w:rPr>
              <w:t>משפחה מובילה</w:t>
            </w:r>
          </w:p>
        </w:tc>
        <w:tc>
          <w:tcPr>
            <w:tcW w:type="dxa" w:w="1728"/>
          </w:tcPr>
          <w:p>
            <w:pPr>
              <w:bidi/>
              <w:jc w:val="both"/>
              <w:rPr>
                <w:rtl/>
              </w:rPr>
            </w:pPr>
            <w:r>
              <w:rPr>
                <w:b/>
                <w:rtl/>
                <w:rFonts w:cs="Arial"/>
                <w:lang w:bidi="he-IL"/>
              </w:rPr>
            </w:r>
            <w:r>
              <w:rPr>
                <w:b/>
                <w:rtl/>
                <w:rFonts w:cs="Arial"/>
                <w:lang w:bidi="he-IL"/>
              </w:rPr>
              <w:t>סטטוס</w:t>
            </w:r>
          </w:p>
        </w:tc>
        <w:tc>
          <w:tcPr>
            <w:tcW w:type="dxa" w:w="1728"/>
          </w:tcPr>
          <w:p>
            <w:pPr>
              <w:bidi/>
              <w:jc w:val="both"/>
              <w:rPr>
                <w:rtl/>
              </w:rPr>
            </w:pPr>
            <w:r>
              <w:rPr>
                <w:b/>
                <w:rtl/>
                <w:rFonts w:cs="Arial"/>
                <w:lang w:bidi="he-IL"/>
              </w:rPr>
            </w:r>
            <w:r>
              <w:rPr>
                <w:b/>
                <w:rtl/>
                <w:rFonts w:cs="Arial"/>
                <w:lang w:bidi="he-IL"/>
              </w:rPr>
              <w:t>הערות</w:t>
            </w:r>
          </w:p>
        </w:tc>
      </w:tr>
      <w:tr>
        <w:tc>
          <w:tcPr>
            <w:tcW w:type="dxa" w:w="1728"/>
          </w:tcPr>
          <w:p>
            <w:pPr>
              <w:bidi/>
              <w:jc w:val="both"/>
              <w:rPr>
                <w:rtl/>
              </w:rPr>
            </w:pPr>
            <w:r>
              <w:rPr>
                <w:rtl/>
                <w:rFonts w:cs="Arial"/>
                <w:lang w:bidi="he-IL"/>
              </w:rPr>
            </w:r>
            <w:r>
              <w:rPr>
                <w:rtl/>
                <w:rFonts w:cs="Arial"/>
                <w:lang w:bidi="he-IL"/>
              </w:rPr>
              <w:t>נת חולון 11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TCE 68,660%; דיאוקסן מתפרץ 1,036 µg/L</w:t>
            </w:r>
          </w:p>
        </w:tc>
      </w:tr>
      <w:tr>
        <w:tc>
          <w:tcPr>
            <w:tcW w:type="dxa" w:w="1728"/>
          </w:tcPr>
          <w:p>
            <w:pPr>
              <w:bidi/>
              <w:jc w:val="both"/>
              <w:rPr>
                <w:rtl/>
              </w:rPr>
            </w:pPr>
            <w:r>
              <w:rPr>
                <w:rtl/>
                <w:rFonts w:cs="Arial"/>
                <w:lang w:bidi="he-IL"/>
              </w:rPr>
            </w:r>
            <w:r>
              <w:rPr>
                <w:rtl/>
                <w:rFonts w:cs="Arial"/>
                <w:lang w:bidi="he-IL"/>
              </w:rPr>
              <w:t>נד סונול המלאכה מ-1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הדגימה העדכנית באזור (2026)</w:t>
            </w:r>
          </w:p>
        </w:tc>
      </w:tr>
      <w:tr>
        <w:tc>
          <w:tcPr>
            <w:tcW w:type="dxa" w:w="1728"/>
          </w:tcPr>
          <w:p>
            <w:pPr>
              <w:bidi/>
              <w:jc w:val="both"/>
              <w:rPr>
                <w:rtl/>
              </w:rPr>
            </w:pPr>
            <w:r>
              <w:rPr>
                <w:rtl/>
                <w:rFonts w:cs="Arial"/>
                <w:lang w:bidi="he-IL"/>
              </w:rPr>
            </w:r>
            <w:r>
              <w:rPr>
                <w:rtl/>
                <w:rFonts w:cs="Arial"/>
                <w:lang w:bidi="he-IL"/>
              </w:rPr>
              <w:t>נד אגד אזור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בנזן 4,250 µg/L (2025); פלומה משולבת</w:t>
            </w:r>
          </w:p>
        </w:tc>
      </w:tr>
      <w:tr>
        <w:tc>
          <w:tcPr>
            <w:tcW w:type="dxa" w:w="1728"/>
          </w:tcPr>
          <w:p>
            <w:pPr>
              <w:bidi/>
              <w:jc w:val="both"/>
              <w:rPr>
                <w:rtl/>
              </w:rPr>
            </w:pPr>
            <w:r>
              <w:rPr>
                <w:rtl/>
                <w:rFonts w:cs="Arial"/>
                <w:lang w:bidi="he-IL"/>
              </w:rPr>
            </w:r>
            <w:r>
              <w:rPr>
                <w:rtl/>
                <w:rFonts w:cs="Arial"/>
                <w:lang w:bidi="he-IL"/>
              </w:rPr>
              <w:t>נד אגד אזור 6</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MTBE 41,500%</w:t>
            </w:r>
          </w:p>
        </w:tc>
      </w:tr>
      <w:tr>
        <w:tc>
          <w:tcPr>
            <w:tcW w:type="dxa" w:w="1728"/>
          </w:tcPr>
          <w:p>
            <w:pPr>
              <w:bidi/>
              <w:jc w:val="both"/>
              <w:rPr>
                <w:rtl/>
              </w:rPr>
            </w:pPr>
            <w:r>
              <w:rPr>
                <w:rtl/>
                <w:rFonts w:cs="Arial"/>
                <w:lang w:bidi="he-IL"/>
              </w:rPr>
            </w:r>
            <w:r>
              <w:rPr>
                <w:rtl/>
                <w:rFonts w:cs="Arial"/>
                <w:lang w:bidi="he-IL"/>
              </w:rPr>
              <w:t>נד פז צבר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בנזן 14,860% היסטורי</w:t>
            </w:r>
          </w:p>
        </w:tc>
      </w:tr>
      <w:tr>
        <w:tc>
          <w:tcPr>
            <w:tcW w:type="dxa" w:w="1728"/>
          </w:tcPr>
          <w:p>
            <w:pPr>
              <w:bidi/>
              <w:jc w:val="both"/>
              <w:rPr>
                <w:rtl/>
              </w:rPr>
            </w:pPr>
            <w:r>
              <w:rPr>
                <w:rtl/>
                <w:rFonts w:cs="Arial"/>
                <w:lang w:bidi="he-IL"/>
              </w:rPr>
            </w:r>
            <w:r>
              <w:rPr>
                <w:rtl/>
                <w:rFonts w:cs="Arial"/>
                <w:lang w:bidi="he-IL"/>
              </w:rPr>
              <w:t>נד פז סיירים 3</w:t>
            </w:r>
          </w:p>
        </w:tc>
        <w:tc>
          <w:tcPr>
            <w:tcW w:type="dxa" w:w="1728"/>
          </w:tcPr>
          <w:p>
            <w:pPr>
              <w:bidi/>
              <w:jc w:val="both"/>
              <w:rPr>
                <w:rtl/>
              </w:rPr>
            </w:pPr>
            <w:r>
              <w:rPr>
                <w:rtl/>
                <w:rFonts w:cs="Arial"/>
                <w:lang w:bidi="he-IL"/>
              </w:rPr>
            </w:r>
            <w:r>
              <w:rPr>
                <w:rtl/>
                <w:rFonts w:cs="Arial"/>
                <w:lang w:bidi="he-IL"/>
              </w:rPr>
              <w:t>3</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חתימת שחרור-טרי (בנזן עולה)</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פעיל (n=3)</w:t>
            </w:r>
          </w:p>
        </w:tc>
        <w:tc>
          <w:tcPr>
            <w:tcW w:type="dxa" w:w="1728"/>
          </w:tcPr>
          <w:p>
            <w:pPr>
              <w:bidi/>
              <w:jc w:val="both"/>
              <w:rPr>
                <w:rtl/>
              </w:rPr>
            </w:pPr>
            <w:r>
              <w:rPr>
                <w:rtl/>
                <w:rFonts w:cs="Arial"/>
                <w:lang w:bidi="he-IL"/>
              </w:rPr>
            </w:r>
            <w:r>
              <w:rPr>
                <w:rtl/>
                <w:rFonts w:cs="Arial"/>
                <w:lang w:bidi="he-IL"/>
              </w:rPr>
              <w:t>כרום 8,072% — נקודתי</w:t>
            </w:r>
          </w:p>
        </w:tc>
      </w:tr>
      <w:tr>
        <w:tc>
          <w:tcPr>
            <w:tcW w:type="dxa" w:w="1728"/>
          </w:tcPr>
          <w:p>
            <w:pPr>
              <w:bidi/>
              <w:jc w:val="both"/>
              <w:rPr>
                <w:rtl/>
              </w:rPr>
            </w:pPr>
            <w:r>
              <w:rPr>
                <w:rtl/>
                <w:rFonts w:cs="Arial"/>
                <w:lang w:bidi="he-IL"/>
              </w:rPr>
            </w:r>
            <w:r>
              <w:rPr>
                <w:rtl/>
                <w:rFonts w:cs="Arial"/>
                <w:lang w:bidi="he-IL"/>
              </w:rPr>
              <w:t>נת חולון 22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חתימה גלוונית Cr+Ni+Mn</w:t>
            </w:r>
          </w:p>
        </w:tc>
      </w:tr>
      <w:tr>
        <w:tc>
          <w:tcPr>
            <w:tcW w:type="dxa" w:w="1728"/>
          </w:tcPr>
          <w:p>
            <w:pPr>
              <w:bidi/>
              <w:jc w:val="both"/>
              <w:rPr>
                <w:rtl/>
              </w:rPr>
            </w:pPr>
            <w:r>
              <w:rPr>
                <w:rtl/>
                <w:rFonts w:cs="Arial"/>
                <w:lang w:bidi="he-IL"/>
              </w:rPr>
            </w:r>
            <w:r>
              <w:rPr>
                <w:rtl/>
                <w:rFonts w:cs="Arial"/>
                <w:lang w:bidi="he-IL"/>
              </w:rPr>
              <w:t>נד דלק מרכבות האש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TBA 120,000 µg/L היסטורי</w:t>
            </w:r>
          </w:p>
        </w:tc>
      </w:tr>
      <w:tr>
        <w:tc>
          <w:tcPr>
            <w:tcW w:type="dxa" w:w="1728"/>
          </w:tcPr>
          <w:p>
            <w:pPr>
              <w:bidi/>
              <w:jc w:val="both"/>
              <w:rPr>
                <w:rtl/>
              </w:rPr>
            </w:pPr>
            <w:r>
              <w:rPr>
                <w:rtl/>
                <w:rFonts w:cs="Arial"/>
                <w:lang w:bidi="he-IL"/>
              </w:rPr>
            </w:r>
            <w:r>
              <w:rPr>
                <w:rtl/>
                <w:rFonts w:cs="Arial"/>
                <w:lang w:bidi="he-IL"/>
              </w:rPr>
              <w:t>נת חווה חקלאית א</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 (דיאוקסן)</w:t>
            </w:r>
          </w:p>
        </w:tc>
        <w:tc>
          <w:tcPr>
            <w:tcW w:type="dxa" w:w="1728"/>
          </w:tcPr>
          <w:p>
            <w:pPr>
              <w:bidi/>
              <w:jc w:val="both"/>
              <w:rPr>
                <w:rtl/>
              </w:rPr>
            </w:pPr>
            <w:r>
              <w:rPr>
                <w:rtl/>
                <w:rFonts w:cs="Arial"/>
                <w:lang w:bidi="he-IL"/>
              </w:rPr>
            </w:r>
            <w:r>
              <w:rPr>
                <w:rtl/>
                <w:rFonts w:cs="Arial"/>
                <w:lang w:bidi="he-IL"/>
              </w:rPr>
              <w:t>פעיל (n=1)</w:t>
            </w:r>
          </w:p>
        </w:tc>
        <w:tc>
          <w:tcPr>
            <w:tcW w:type="dxa" w:w="1728"/>
          </w:tcPr>
          <w:p>
            <w:pPr>
              <w:bidi/>
              <w:jc w:val="both"/>
              <w:rPr>
                <w:rtl/>
              </w:rPr>
            </w:pPr>
            <w:r>
              <w:rPr>
                <w:rtl/>
                <w:rFonts w:cs="Arial"/>
                <w:lang w:bidi="he-IL"/>
              </w:rPr>
            </w:r>
            <w:r>
              <w:rPr>
                <w:rtl/>
                <w:rFonts w:cs="Arial"/>
                <w:lang w:bidi="he-IL"/>
              </w:rPr>
              <w:t>חזית דיאוקסן 1,293%</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סגור (2022)</w:t>
            </w:r>
          </w:p>
        </w:tc>
        <w:tc>
          <w:tcPr>
            <w:tcW w:type="dxa" w:w="1728"/>
          </w:tcPr>
          <w:p>
            <w:pPr>
              <w:bidi/>
              <w:jc w:val="both"/>
              <w:rPr>
                <w:rtl/>
              </w:rPr>
            </w:pPr>
            <w:r>
              <w:rPr>
                <w:rtl/>
                <w:rFonts w:cs="Arial"/>
                <w:lang w:bidi="he-IL"/>
              </w:rPr>
            </w:r>
            <w:r>
              <w:rPr>
                <w:rtl/>
                <w:rFonts w:cs="Arial"/>
                <w:lang w:bidi="he-IL"/>
              </w:rPr>
              <w:t>בשיא בעת ההפסקה</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סגור (2018)</w:t>
            </w:r>
          </w:p>
        </w:tc>
        <w:tc>
          <w:tcPr>
            <w:tcW w:type="dxa" w:w="1728"/>
          </w:tcPr>
          <w:p>
            <w:pPr>
              <w:bidi/>
              <w:jc w:val="both"/>
              <w:rPr>
                <w:rtl/>
              </w:rPr>
            </w:pPr>
            <w:r>
              <w:rPr>
                <w:rtl/>
                <w:rFonts w:cs="Arial"/>
                <w:lang w:bidi="he-IL"/>
              </w:rPr>
            </w:r>
            <w:r>
              <w:rPr>
                <w:rtl/>
                <w:rFonts w:cs="Arial"/>
                <w:lang w:bidi="he-IL"/>
              </w:rPr>
              <w:t>TCE 35,573%</w:t>
            </w:r>
          </w:p>
        </w:tc>
      </w:tr>
      <w:tr>
        <w:tc>
          <w:tcPr>
            <w:tcW w:type="dxa" w:w="1728"/>
          </w:tcPr>
          <w:p>
            <w:pPr>
              <w:bidi/>
              <w:jc w:val="both"/>
              <w:rPr>
                <w:rtl/>
              </w:rPr>
            </w:pPr>
            <w:r>
              <w:rPr>
                <w:rtl/>
                <w:rFonts w:cs="Arial"/>
                <w:lang w:bidi="he-IL"/>
              </w:rPr>
            </w:r>
            <w:r>
              <w:rPr>
                <w:rtl/>
                <w:rFonts w:cs="Arial"/>
                <w:lang w:bidi="he-IL"/>
              </w:rPr>
              <w:t>נד נובר מרכבה</w:t>
            </w:r>
          </w:p>
        </w:tc>
        <w:tc>
          <w:tcPr>
            <w:tcW w:type="dxa" w:w="1728"/>
          </w:tcPr>
          <w:p>
            <w:pPr>
              <w:bidi/>
              <w:jc w:val="both"/>
              <w:rPr>
                <w:rtl/>
              </w:rPr>
            </w:pPr>
            <w:r>
              <w:rPr>
                <w:rtl/>
                <w:rFonts w:cs="Arial"/>
                <w:lang w:bidi="he-IL"/>
              </w:rPr>
            </w:r>
            <w:r>
              <w:rPr>
                <w:rtl/>
                <w:rFonts w:cs="Arial"/>
                <w:lang w:bidi="he-IL"/>
              </w:rPr>
              <w:t>—</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סגור (2020)</w:t>
            </w:r>
          </w:p>
        </w:tc>
        <w:tc>
          <w:tcPr>
            <w:tcW w:type="dxa" w:w="1728"/>
          </w:tcPr>
          <w:p>
            <w:pPr>
              <w:bidi/>
              <w:jc w:val="both"/>
              <w:rPr>
                <w:rtl/>
              </w:rPr>
            </w:pPr>
            <w:r>
              <w:rPr>
                <w:rtl/>
                <w:rFonts w:cs="Arial"/>
                <w:lang w:bidi="he-IL"/>
              </w:rPr>
            </w:r>
            <w:r>
              <w:rPr>
                <w:rtl/>
                <w:rFonts w:cs="Arial"/>
                <w:lang w:bidi="he-IL"/>
              </w:rPr>
              <w:t>MTBE 2,250%</w:t>
            </w:r>
          </w:p>
        </w:tc>
      </w:tr>
      <w:tr>
        <w:tc>
          <w:tcPr>
            <w:tcW w:type="dxa" w:w="1728"/>
          </w:tcPr>
          <w:p>
            <w:pPr>
              <w:bidi/>
              <w:jc w:val="both"/>
              <w:rPr>
                <w:rtl/>
              </w:rPr>
            </w:pPr>
            <w:r>
              <w:rPr>
                <w:rtl/>
                <w:rFonts w:cs="Arial"/>
                <w:lang w:bidi="he-IL"/>
              </w:rPr>
            </w:r>
            <w:r>
              <w:rPr>
                <w:rtl/>
                <w:rFonts w:cs="Arial"/>
                <w:lang w:bidi="he-IL"/>
              </w:rPr>
              <w:t>אשכול תדירגן (עשרה קידוחים)</w:t>
            </w:r>
          </w:p>
        </w:tc>
        <w:tc>
          <w:tcPr>
            <w:tcW w:type="dxa" w:w="1728"/>
          </w:tcPr>
          <w:p>
            <w:pPr>
              <w:bidi/>
              <w:jc w:val="both"/>
              <w:rPr>
                <w:rtl/>
              </w:rPr>
            </w:pPr>
            <w:r>
              <w:rPr>
                <w:rtl/>
                <w:rFonts w:cs="Arial"/>
                <w:lang w:bidi="he-IL"/>
              </w:rPr>
            </w:r>
            <w:r>
              <w:rPr>
                <w:rtl/>
                <w:rFonts w:cs="Arial"/>
                <w:lang w:bidi="he-IL"/>
              </w:rPr>
              <w:t>—</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סגור (2011–2013)</w:t>
            </w:r>
          </w:p>
        </w:tc>
        <w:tc>
          <w:tcPr>
            <w:tcW w:type="dxa" w:w="1728"/>
          </w:tcPr>
          <w:p>
            <w:pPr>
              <w:bidi/>
              <w:jc w:val="both"/>
              <w:rPr>
                <w:rtl/>
              </w:rPr>
            </w:pPr>
            <w:r>
              <w:rPr>
                <w:rtl/>
                <w:rFonts w:cs="Arial"/>
                <w:lang w:bidi="he-IL"/>
              </w:rPr>
            </w:r>
            <w:r>
              <w:rPr>
                <w:rtl/>
                <w:rFonts w:cs="Arial"/>
                <w:lang w:bidi="he-IL"/>
              </w:rPr>
              <w:t>שיא TCE אזורי 6,457 µg/L (2005)</w:t>
            </w:r>
          </w:p>
        </w:tc>
      </w:tr>
    </w:tbl>
    <w:p>
      <w:pPr>
        <w:bidi/>
        <w:pStyle w:val="Heading3"/>
        <w:jc w:val="both"/>
        <w:rPr>
          <w:rtl/>
        </w:rPr>
      </w:pPr>
      <w:r>
        <w:rPr>
          <w:rtl/>
          <w:rFonts w:cs="Arial"/>
          <w:lang w:bidi="he-IL"/>
        </w:rPr>
        <w:t>נספח ב: מקורות חיצוניים שנסקרו</w:t>
      </w:r>
    </w:p>
    <w:p>
      <w:pPr>
        <w:bidi/>
        <w:pStyle w:val="ListBullet"/>
        <w:jc w:val="both"/>
        <w:rPr>
          <w:rtl/>
        </w:rPr>
      </w:pPr>
      <w:r>
        <w:rPr>
          <w:rtl/>
          <w:rFonts w:cs="Arial"/>
          <w:lang w:bidi="he-IL"/>
        </w:rPr>
        <w:t>דוח רשות המים 2021 — דירוג מערכתי, גרדיאנט זרימה, אי-ודאות מקור נת חולון 1 (עמ' 32 ואילך).</w:t>
      </w:r>
    </w:p>
    <w:p>
      <w:pPr>
        <w:bidi/>
        <w:pStyle w:val="ListBullet"/>
        <w:jc w:val="both"/>
        <w:rPr>
          <w:rtl/>
        </w:rPr>
      </w:pPr>
      <w:r>
        <w:rPr>
          <w:rtl/>
          <w:rFonts w:cs="Arial"/>
          <w:lang w:bidi="he-IL"/>
        </w:rPr>
        <w:t>סקר היסטורי (TAHAL 2007, Ecolog 2009–2017) — מסלול ניקל רימטל, שיא TCE תדירגן, תרחישי שאיבה.</w:t>
      </w:r>
    </w:p>
    <w:p>
      <w:pPr>
        <w:bidi/>
        <w:pStyle w:val="ListBullet"/>
        <w:jc w:val="both"/>
        <w:rPr>
          <w:rtl/>
        </w:rPr>
      </w:pPr>
      <w:r>
        <w:rPr>
          <w:rtl/>
          <w:rFonts w:cs="Arial"/>
          <w:lang w:bidi="he-IL"/>
        </w:rPr>
        <w:t>חיפוש Web (2026) — סגירת/הסבת מפעל נירוסטה (2023); אימות אתר אלביט הנוכחי כשונה מההיסטורי.</w:t>
      </w:r>
    </w:p>
    <w:p>
      <w:pPr>
        <w:bidi/>
        <w:pStyle w:val="ListBullet"/>
        <w:jc w:val="both"/>
        <w:rPr>
          <w:rtl/>
        </w:rPr>
      </w:pPr>
      <w:r>
        <w:rPr>
          <w:rtl/>
          <w:rFonts w:cs="Arial"/>
          <w:lang w:bidi="he-IL"/>
        </w:rPr>
        <w:t>מאגרי PRTR / B144 — נבדקו לאיתור דיווחי פליטות.</w:t>
      </w:r>
    </w:p>
    <w:p>
      <w:pPr>
        <w:bidi/>
        <w:pStyle w:val="ListBullet"/>
        <w:jc w:val="both"/>
        <w:rPr>
          <w:rtl/>
        </w:rPr>
      </w:pPr>
      <w:r>
        <w:rPr>
          <w:rtl/>
          <w:rFonts w:cs="Arial"/>
          <w:lang w:bidi="he-IL"/>
        </w:rPr>
        <w:t>שני קבצי TAHAL מוקדמים (פרה-1990) לא נחלצו — פער היסטורי קדום.</w:t>
      </w:r>
    </w:p>
    <w:p>
      <w:pPr>
        <w:bidi/>
        <w:pStyle w:val="Heading3"/>
        <w:jc w:val="both"/>
        <w:rPr>
          <w:rtl/>
        </w:rPr>
      </w:pPr>
      <w:r>
        <w:rPr>
          <w:rtl/>
          <w:rFonts w:cs="Arial"/>
          <w:lang w:bidi="he-IL"/>
        </w:rPr>
        <w:t>נספח ג: מדד מועמדי מקור (רמת ביטחון)</w:t>
      </w:r>
    </w:p>
    <w:p>
      <w:pPr>
        <w:bidi/>
        <w:pStyle w:val="ListBullet"/>
        <w:jc w:val="both"/>
        <w:rPr>
          <w:rtl/>
        </w:rPr>
      </w:pPr>
      <w:r>
        <w:rPr>
          <w:b/>
          <w:rtl/>
          <w:rFonts w:cs="Arial"/>
          <w:lang w:bidi="he-IL"/>
        </w:rPr>
        <w:t>HIGH</w:t>
      </w:r>
      <w:r>
        <w:rPr>
          <w:rtl/>
          <w:rFonts w:cs="Arial"/>
          <w:lang w:bidi="he-IL"/>
        </w:rPr>
        <w:t>: תדיראן-קשר/אלביט, תדירגן, תרשיש, רימטל/ארן-מטל, מחניון אגד.</w:t>
      </w:r>
    </w:p>
    <w:p>
      <w:pPr>
        <w:bidi/>
        <w:pStyle w:val="ListBullet"/>
        <w:jc w:val="both"/>
        <w:rPr>
          <w:rtl/>
        </w:rPr>
      </w:pPr>
      <w:r>
        <w:rPr>
          <w:b/>
          <w:rtl/>
          <w:rFonts w:cs="Arial"/>
          <w:lang w:bidi="he-IL"/>
        </w:rPr>
        <w:t>MEDIUM</w:t>
      </w:r>
      <w:r>
        <w:rPr>
          <w:rtl/>
          <w:rFonts w:cs="Arial"/>
          <w:lang w:bidi="he-IL"/>
        </w:rPr>
        <w:t>: כור מתכת/כרומט (נת חולון 1), המלבין/סופר-כרום/אמקור (נת חולון 14), פז סיירים/פז צבר, אמינוגרף, אמקור פליז.</w:t>
      </w:r>
    </w:p>
    <w:p>
      <w:pPr>
        <w:bidi/>
        <w:pStyle w:val="ListBullet"/>
        <w:jc w:val="both"/>
        <w:rPr>
          <w:rtl/>
        </w:rPr>
      </w:pPr>
      <w:r>
        <w:rPr>
          <w:b/>
          <w:rtl/>
          <w:rFonts w:cs="Arial"/>
          <w:lang w:bidi="he-IL"/>
        </w:rPr>
        <w:t>רקע בלבד (לא מוביל שיוך)</w:t>
      </w:r>
      <w:r>
        <w:rPr>
          <w:rtl/>
          <w:rFonts w:cs="Arial"/>
          <w:lang w:bidi="he-IL"/>
        </w:rPr>
        <w:t>: מפעל נירוסטה (סגירה מ-Web בלבד), אתרים צבאיים (סדנת נגמשים, מחנה דלק לוי אשכול — מועמדי-PFAS פוטנציאליים), מקווה ישראל, פרוון/בורסקאות.</w:t>
      </w:r>
    </w:p>
    <w:p>
      <w:pPr>
        <w:bidi/>
        <w:pStyle w:val="Heading3"/>
        <w:jc w:val="both"/>
        <w:rPr>
          <w:rtl/>
        </w:rPr>
      </w:pPr>
      <w:r>
        <w:rPr>
          <w:rtl/>
          <w:rFonts w:cs="Arial"/>
          <w:lang w:bidi="he-IL"/>
        </w:rPr>
        <w:t>נספח ד: קיצורים ומונחים</w:t>
      </w:r>
    </w:p>
    <w:p>
      <w:pPr>
        <w:bidi/>
        <w:pStyle w:val="ListBullet"/>
        <w:jc w:val="both"/>
        <w:rPr>
          <w:rtl/>
        </w:rPr>
      </w:pPr>
      <w:r>
        <w:rPr>
          <w:b/>
          <w:rtl/>
          <w:rFonts w:cs="Arial"/>
          <w:lang w:bidi="he-IL"/>
        </w:rPr>
        <w:t>CVOC</w:t>
      </w:r>
      <w:r>
        <w:rPr>
          <w:rtl/>
          <w:rFonts w:cs="Arial"/>
          <w:lang w:bidi="he-IL"/>
        </w:rPr>
        <w:t xml:space="preserve"> — תרכובות אורגניות נדיפות מוכלרות (TCE, PCE, 1,1-DCE, cis-DCE, VC).</w:t>
      </w:r>
    </w:p>
    <w:p>
      <w:pPr>
        <w:bidi/>
        <w:pStyle w:val="ListBullet"/>
        <w:jc w:val="both"/>
        <w:rPr>
          <w:rtl/>
        </w:rPr>
      </w:pPr>
      <w:r>
        <w:rPr>
          <w:b/>
          <w:rtl/>
          <w:rFonts w:cs="Arial"/>
          <w:lang w:bidi="he-IL"/>
        </w:rPr>
        <w:t>TCE / PCE</w:t>
      </w:r>
      <w:r>
        <w:rPr>
          <w:rtl/>
          <w:rFonts w:cs="Arial"/>
          <w:lang w:bidi="he-IL"/>
        </w:rPr>
        <w:t xml:space="preserve"> — טריכלורואתילן / טטראכלורואתילן.</w:t>
      </w:r>
    </w:p>
    <w:p>
      <w:pPr>
        <w:bidi/>
        <w:pStyle w:val="ListBullet"/>
        <w:jc w:val="both"/>
        <w:rPr>
          <w:rtl/>
        </w:rPr>
      </w:pPr>
      <w:r>
        <w:rPr>
          <w:b/>
          <w:rtl/>
          <w:rFonts w:cs="Arial"/>
          <w:lang w:bidi="he-IL"/>
        </w:rPr>
        <w:t>MTBE / TBA / BTEX</w:t>
      </w:r>
      <w:r>
        <w:rPr>
          <w:rtl/>
          <w:rFonts w:cs="Arial"/>
          <w:lang w:bidi="he-IL"/>
        </w:rPr>
        <w:t xml:space="preserve"> — מתיל-טרט-בוטיל-אתר / טרט-בוטיל-אלכוהול / בנזן-טולואן-אתיל-בנזן-קסילן.</w:t>
      </w:r>
    </w:p>
    <w:p>
      <w:pPr>
        <w:bidi/>
        <w:pStyle w:val="ListBullet"/>
        <w:jc w:val="both"/>
        <w:rPr>
          <w:rtl/>
        </w:rPr>
      </w:pPr>
      <w:r>
        <w:rPr>
          <w:b/>
          <w:rtl/>
          <w:rFonts w:cs="Arial"/>
          <w:lang w:bidi="he-IL"/>
        </w:rPr>
        <w:t>DNAPL / LNAPL</w:t>
      </w:r>
      <w:r>
        <w:rPr>
          <w:rtl/>
          <w:rFonts w:cs="Arial"/>
          <w:lang w:bidi="he-IL"/>
        </w:rPr>
        <w:t xml:space="preserve"> — נוזל לא-מימי כבד / קל מהמים (מוצר חופשי).</w:t>
      </w:r>
    </w:p>
    <w:p>
      <w:pPr>
        <w:bidi/>
        <w:pStyle w:val="ListBullet"/>
        <w:jc w:val="both"/>
        <w:rPr>
          <w:rtl/>
        </w:rPr>
      </w:pPr>
      <w:r>
        <w:rPr>
          <w:b/>
          <w:rtl/>
          <w:rFonts w:cs="Arial"/>
          <w:lang w:bidi="he-IL"/>
        </w:rPr>
        <w:t>PFAS</w:t>
      </w:r>
      <w:r>
        <w:rPr>
          <w:rtl/>
          <w:rFonts w:cs="Arial"/>
          <w:lang w:bidi="he-IL"/>
        </w:rPr>
        <w:t xml:space="preserve"> — חומרים פר-ופוליפלואוריים; </w:t>
      </w:r>
      <w:r>
        <w:rPr>
          <w:b/>
          <w:rtl/>
          <w:rFonts w:cs="Arial"/>
          <w:lang w:bidi="he-IL"/>
        </w:rPr>
        <w:t>AFFF</w:t>
      </w:r>
      <w:r>
        <w:rPr>
          <w:rtl/>
          <w:rFonts w:cs="Arial"/>
          <w:lang w:bidi="he-IL"/>
        </w:rPr>
        <w:t xml:space="preserve"> — קצף כיבוי אש פלואורי.</w:t>
      </w:r>
    </w:p>
    <w:p>
      <w:pPr>
        <w:bidi/>
        <w:pStyle w:val="ListBullet"/>
        <w:jc w:val="both"/>
        <w:rPr>
          <w:rtl/>
        </w:rPr>
      </w:pPr>
      <w:r>
        <w:rPr>
          <w:b/>
          <w:rtl/>
          <w:rFonts w:cs="Arial"/>
          <w:lang w:bidi="he-IL"/>
        </w:rPr>
        <w:t>DWS</w:t>
      </w:r>
      <w:r>
        <w:rPr>
          <w:rtl/>
          <w:rFonts w:cs="Arial"/>
          <w:lang w:bidi="he-IL"/>
        </w:rPr>
        <w:t xml:space="preserve"> — תקן מי שתייה; </w:t>
      </w:r>
      <w:r>
        <w:rPr>
          <w:b/>
          <w:rtl/>
          <w:rFonts w:cs="Arial"/>
          <w:lang w:bidi="he-IL"/>
        </w:rPr>
        <w:t>ITM</w:t>
      </w:r>
      <w:r>
        <w:rPr>
          <w:rtl/>
          <w:rFonts w:cs="Arial"/>
          <w:lang w:bidi="he-IL"/>
        </w:rPr>
        <w:t xml:space="preserve"> — רשת קואורדינטות ישראל החדשה.</w:t>
      </w:r>
    </w:p>
    <w:p>
      <w:pPr>
        <w:bidi/>
        <w:pStyle w:val="ListBullet"/>
        <w:jc w:val="both"/>
        <w:rPr>
          <w:rtl/>
        </w:rPr>
      </w:pPr>
      <w:r>
        <w:rPr>
          <w:b/>
          <w:rtl/>
          <w:rFonts w:cs="Arial"/>
          <w:lang w:bidi="he-IL"/>
        </w:rPr>
        <w:t>אינדקס חומרה</w:t>
      </w:r>
      <w:r>
        <w:rPr>
          <w:rtl/>
          <w:rFonts w:cs="Arial"/>
          <w:lang w:bidi="he-IL"/>
        </w:rPr>
        <w:t xml:space="preserve"> — C_max_5y / DWS × 100, סולם 0–8.</w:t>
      </w:r>
    </w:p>
    <w:p>
      <w:pPr>
        <w:bidi/>
        <w:pStyle w:val="ListBullet"/>
        <w:jc w:val="both"/>
        <w:rPr>
          <w:rtl/>
        </w:rPr>
      </w:pPr>
      <w:r>
        <w:rPr>
          <w:b/>
          <w:rtl/>
          <w:rFonts w:cs="Arial"/>
          <w:lang w:bidi="he-IL"/>
        </w:rPr>
        <w:t>רמות ביטחון</w:t>
      </w:r>
      <w:r>
        <w:rPr>
          <w:rtl/>
          <w:rFonts w:cs="Arial"/>
          <w:lang w:bidi="he-IL"/>
        </w:rPr>
        <w:t xml:space="preserve"> — HIGH / MEDIUM / LOW לייחוס מקור.</w:t>
      </w:r>
    </w:p>
    <w:p>
      <w:pPr>
        <w:jc w:val="center"/>
      </w:pPr>
      <w:r>
        <w:drawing>
          <wp:inline xmlns:a="http://schemas.openxmlformats.org/drawingml/2006/main" xmlns:pic="http://schemas.openxmlformats.org/drawingml/2006/picture">
            <wp:extent cx="5029200" cy="32689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68980"/>
                    </a:xfrm>
                    <a:prstGeom prst="rect"/>
                  </pic:spPr>
                </pic:pic>
              </a:graphicData>
            </a:graphic>
          </wp:inline>
        </w:drawing>
      </w:r>
    </w:p>
    <w:p>
      <w:pPr>
        <w:bidi/>
        <w:spacing w:before="120" w:after="240"/>
        <w:jc w:val="center"/>
      </w:pPr>
      <w:r>
        <w:rPr>
          <w:i/>
          <w:sz w:val="20"/>
          <w:rtl/>
        </w:rPr>
        <w:t>איור 4: תרשים ניתוח זיהום</w:t>
      </w:r>
    </w:p>
    <w:p>
      <w:pPr>
        <w:jc w:val="center"/>
      </w:pPr>
      <w:r>
        <w:drawing>
          <wp:inline xmlns:a="http://schemas.openxmlformats.org/drawingml/2006/main" xmlns:pic="http://schemas.openxmlformats.org/drawingml/2006/picture">
            <wp:extent cx="5029200" cy="3086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086100"/>
                    </a:xfrm>
                    <a:prstGeom prst="rect"/>
                  </pic:spPr>
                </pic:pic>
              </a:graphicData>
            </a:graphic>
          </wp:inline>
        </w:drawing>
      </w:r>
    </w:p>
    <w:p>
      <w:pPr>
        <w:bidi/>
        <w:spacing w:before="120" w:after="240"/>
        <w:jc w:val="center"/>
      </w:pPr>
      <w:r>
        <w:rPr>
          <w:i/>
          <w:sz w:val="20"/>
          <w:rtl/>
        </w:rPr>
        <w:t>איור 3: תרשים ניתוח זיהום</w:t>
      </w:r>
    </w:p>
    <w:p>
      <w:pPr>
        <w:jc w:val="center"/>
      </w:pPr>
      <w:r>
        <w:drawing>
          <wp:inline xmlns:a="http://schemas.openxmlformats.org/drawingml/2006/main" xmlns:pic="http://schemas.openxmlformats.org/drawingml/2006/picture">
            <wp:extent cx="5029200" cy="32689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268980"/>
                    </a:xfrm>
                    <a:prstGeom prst="rect"/>
                  </pic:spPr>
                </pic:pic>
              </a:graphicData>
            </a:graphic>
          </wp:inline>
        </w:drawing>
      </w:r>
    </w:p>
    <w:p>
      <w:pPr>
        <w:bidi/>
        <w:spacing w:before="120" w:after="240"/>
        <w:jc w:val="center"/>
      </w:pPr>
      <w:r>
        <w:rPr>
          <w:i/>
          <w:sz w:val="20"/>
          <w:rtl/>
        </w:rPr>
        <w:t>איור 2: תרשים ניתוח זיהום</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771900"/>
                    </a:xfrm>
                    <a:prstGeom prst="rect"/>
                  </pic:spPr>
                </pic:pic>
              </a:graphicData>
            </a:graphic>
          </wp:inline>
        </w:drawing>
      </w:r>
    </w:p>
    <w:p>
      <w:pPr>
        <w:bidi/>
        <w:spacing w:before="120" w:after="240"/>
        <w:jc w:val="center"/>
      </w:pPr>
      <w:r>
        <w:rPr>
          <w:i/>
          <w:sz w:val="20"/>
          <w:rtl/>
        </w:rPr>
        <w:t>איור 1: תרשים ניתוח זיהום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tl/>
      <w:lang w:val="en-US" w:bidi="he-IL"/>
    </w:rPr>
    <w:pPr>
      <w:bidi/>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