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Style w:val="Heading1"/>
        <w:jc w:val="both"/>
        <w:rPr>
          <w:rtl/>
        </w:rPr>
      </w:pPr>
      <w:r>
        <w:rPr>
          <w:rtl/>
          <w:rFonts w:cs="Arial"/>
          <w:lang w:bidi="he-IL"/>
        </w:rPr>
        <w:t>דוח איכות מי תהום — אזה"ת חולון</w:t>
      </w:r>
    </w:p>
    <w:p>
      <w:pPr>
        <w:bidi/>
        <w:pStyle w:val="Heading2"/>
        <w:jc w:val="both"/>
        <w:rPr>
          <w:rtl/>
        </w:rPr>
      </w:pPr>
      <w:r>
        <w:rPr>
          <w:rtl/>
          <w:rFonts w:cs="Arial"/>
          <w:lang w:bidi="he-IL"/>
        </w:rPr>
        <w:t>גרסה V5 | מאי 2026</w:t>
      </w:r>
    </w:p>
    <w:p>
      <w:pPr>
        <w:bidi/>
        <w:pStyle w:val="IntenseQuote"/>
        <w:jc w:val="both"/>
        <w:rPr>
          <w:rtl/>
        </w:rPr>
      </w:pPr>
      <w:r>
        <w:rPr>
          <w:rtl/>
          <w:rFonts w:cs="Arial"/>
          <w:lang w:bidi="he-IL"/>
        </w:rPr>
        <w:t>דוח זה הופק במסגרת ה-V5 Hybrid Pipeline. הוא מבוסס על חבילת הנתונים הדטרמיניסטית (</w:t>
      </w:r>
      <w:r>
        <w:rPr>
          <w:rFonts w:ascii="Courier New" w:hAnsi="Courier New" w:cs="Arial"/>
          <w:color w:val="800000"/>
          <w:rtl/>
          <w:lang w:bidi="he-IL"/>
        </w:rPr>
        <w:t>Holon/02_data/</w:t>
      </w:r>
      <w:r>
        <w:rPr>
          <w:rtl/>
          <w:rFonts w:cs="Arial"/>
          <w:lang w:bidi="he-IL"/>
        </w:rPr>
        <w:t>, 6 קבצי CSV, נכון ל-2026-02-15), על אבחנה אזורית מקצועית (Zone Diagnosis, 2026-05-19), על עוגנים סטטיסטיים ופורנזיים (31 + 27 עוגנים), ועל חבילת ההקשר ההיסטורי (דוחות תה"ל 2007, אקולוג 2009–2017, רשות המים 2021). מוקדי הזיהום מוצגים לפי משפחת מזהמים (CVOC → METALS → PFAS → FUEL). כל ייחוס מקור הוא פרשני בלבד עד לאישור הידרולוג מוסמך, ואין בדוח תחליף להערכת סיכון רשמית.</w:t>
      </w:r>
    </w:p>
    <w:p>
      <w:pPr>
        <w:bidi/>
        <w:jc w:val="both"/>
        <w:rPr>
          <w:rtl/>
        </w:rPr>
      </w:pPr>
      <w:r>
        <w:rPr>
          <w:rtl/>
          <w:rFonts w:cs="Arial"/>
          <w:lang w:bidi="he-IL"/>
        </w:rPr>
        <w:t>──────────────────────────────────────────────────</w:t>
      </w:r>
    </w:p>
    <w:p>
      <w:pPr>
        <w:bidi/>
        <w:pStyle w:val="Heading2"/>
        <w:jc w:val="both"/>
        <w:rPr>
          <w:rtl/>
        </w:rPr>
      </w:pPr>
      <w:r>
        <w:rPr>
          <w:rtl/>
          <w:rFonts w:cs="Arial"/>
          <w:lang w:bidi="he-IL"/>
        </w:rPr>
        <w:t>1. תקציר מקצועי</w:t>
      </w:r>
    </w:p>
    <w:p>
      <w:pPr>
        <w:bidi/>
        <w:jc w:val="both"/>
        <w:rPr>
          <w:rtl/>
        </w:rPr>
      </w:pPr>
      <w:r>
        <w:rPr>
          <w:rtl/>
          <w:rFonts w:cs="Arial"/>
          <w:lang w:bidi="he-IL"/>
        </w:rPr>
        <w:t xml:space="preserve">אזה"ת חולון הוא אחד מאזורי הניטור המורכבים ביותר במערך הארצי — מקרה של זיהום מי תהום מצטבר לאורך כחמישה עשורים של פעילות תעשייתית (ציפוי מתכות, אלקטרוניקה, מחזור מתכות ותדלוק). מערך הניטור מונה </w:t>
      </w:r>
      <w:r>
        <w:rPr>
          <w:b/>
          <w:rtl/>
          <w:rFonts w:cs="Arial"/>
          <w:lang w:bidi="he-IL"/>
        </w:rPr>
        <w:t>111 קידוחים פעילים</w:t>
      </w:r>
      <w:r>
        <w:rPr>
          <w:rtl/>
          <w:rFonts w:cs="Arial"/>
          <w:lang w:bidi="he-IL"/>
        </w:rPr>
        <w:t xml:space="preserve"> (47 קידוחי ניטור כלליים, תעשייה והפקה + 64 קידוחי ניטור דלק; </w:t>
      </w:r>
      <w:r>
        <w:rPr>
          <w:rFonts w:ascii="Courier New" w:hAnsi="Courier New" w:cs="Arial"/>
          <w:color w:val="800000"/>
          <w:rtl/>
          <w:lang w:bidi="he-IL"/>
        </w:rPr>
        <w:t>zone_wells.csv</w:t>
      </w:r>
      <w:r>
        <w:rPr>
          <w:rtl/>
          <w:rFonts w:cs="Arial"/>
          <w:lang w:bidi="he-IL"/>
        </w:rPr>
        <w:t xml:space="preserve">) עם </w:t>
      </w:r>
      <w:r>
        <w:rPr>
          <w:b/>
          <w:rtl/>
          <w:rFonts w:cs="Arial"/>
          <w:lang w:bidi="he-IL"/>
        </w:rPr>
        <w:t>20,613 מדידות</w:t>
      </w:r>
      <w:r>
        <w:rPr>
          <w:rtl/>
          <w:rFonts w:cs="Arial"/>
          <w:lang w:bidi="he-IL"/>
        </w:rPr>
        <w:t xml:space="preserve"> בטווח 2010–2026 (</w:t>
      </w:r>
      <w:r>
        <w:rPr>
          <w:rFonts w:ascii="Courier New" w:hAnsi="Courier New" w:cs="Arial"/>
          <w:color w:val="800000"/>
          <w:rtl/>
          <w:lang w:bidi="he-IL"/>
        </w:rPr>
        <w:t>measurements_scoped.csv</w:t>
      </w:r>
      <w:r>
        <w:rPr>
          <w:rtl/>
          <w:rFonts w:cs="Arial"/>
          <w:lang w:bidi="he-IL"/>
        </w:rPr>
        <w:t>). הזיהום מתפלג לשלושה רובדי מקור החופפים גיאוגרפית אך נפרדים גנטית: ממסים מוכלרים (CVOC) ממפעלי אלקטרוניקה וציפוי; דלקים (BTEX, MTBE, TBA) מחניון אגד וממתחמי תדלוק; ומתכות כבדות (כרום, ניקל) ממפעלי ציפוי ומחזור. שכבה רביעית — PFAS — נדגמה ב-4 קידוחים בלבד מתוך 111 (כיסוי כ-3.6%), כך שמצב ה-PFAS באזור אינו בגדר "אי-זיהום" אלא "אי-בחינה".</w:t>
      </w:r>
    </w:p>
    <w:p>
      <w:pPr>
        <w:bidi/>
        <w:jc w:val="both"/>
        <w:rPr>
          <w:rtl/>
        </w:rPr>
      </w:pPr>
      <w:r>
        <w:rPr>
          <w:rtl/>
          <w:rFonts w:cs="Arial"/>
          <w:lang w:bidi="he-IL"/>
        </w:rPr>
        <w:t xml:space="preserve">שלושה ממצאים מחייבים תשומת לב רגולטורית מיידית, מעבר לתמונה ההיסטורית. ראשית, </w:t>
      </w:r>
      <w:r>
        <w:rPr>
          <w:b/>
          <w:rtl/>
          <w:rFonts w:cs="Arial"/>
          <w:lang w:bidi="he-IL"/>
        </w:rPr>
        <w:t>חציית תקן השתייה ב-TCE בקידוח ההפקה מק חולון 14</w:t>
      </w:r>
      <w:r>
        <w:rPr>
          <w:rtl/>
          <w:rFonts w:cs="Arial"/>
          <w:lang w:bidi="he-IL"/>
        </w:rPr>
        <w:t xml:space="preserve"> במדידת 04/2025 (7.59 µg/L, 101% מהתקן; </w:t>
      </w:r>
      <w:r>
        <w:rPr>
          <w:rFonts w:ascii="Courier New" w:hAnsi="Courier New" w:cs="Arial"/>
          <w:color w:val="800000"/>
          <w:rtl/>
          <w:lang w:bidi="he-IL"/>
        </w:rPr>
        <w:t>figure_ready_series.csv</w:t>
      </w:r>
      <w:r>
        <w:rPr>
          <w:rtl/>
          <w:rFonts w:cs="Arial"/>
          <w:lang w:bidi="he-IL"/>
        </w:rPr>
        <w:t xml:space="preserve">) — לראשונה לאחר כעשור של ריכוזים יציבים סביב 80–90% — ממצא ברמת חשיפה ציבורית אפשרית. שנית, </w:t>
      </w:r>
      <w:r>
        <w:rPr>
          <w:b/>
          <w:rtl/>
          <w:rFonts w:cs="Arial"/>
          <w:lang w:bidi="he-IL"/>
        </w:rPr>
        <w:t>TCE יציב בריכוז קיצוני בנד סונול המלאכה מ-1</w:t>
      </w:r>
      <w:r>
        <w:rPr>
          <w:rtl/>
          <w:rFonts w:cs="Arial"/>
          <w:lang w:bidi="he-IL"/>
        </w:rPr>
        <w:t xml:space="preserve"> (2,789 µg/L בחלון, 37,188% מהתקן, </w:t>
      </w:r>
      <w:r>
        <w:rPr>
          <w:rFonts w:ascii="Courier New" w:hAnsi="Courier New" w:cs="Arial"/>
          <w:color w:val="800000"/>
          <w:rtl/>
          <w:lang w:bidi="he-IL"/>
        </w:rPr>
        <w:t>severity_by_well_family.csv</w:t>
      </w:r>
      <w:r>
        <w:rPr>
          <w:rtl/>
          <w:rFonts w:cs="Arial"/>
          <w:lang w:bidi="he-IL"/>
        </w:rPr>
        <w:t xml:space="preserve">; 2,722 µg/L במדידת 01/2026) באזור שעבר שיקום ISCO ב-2013–2020 (היסטורי 2021, עמ' 31) — דפוס המעיד על מקור עמוק פעיל מתמשך ולא על פלאום מתפוגג. שלישית, </w:t>
      </w:r>
      <w:r>
        <w:rPr>
          <w:b/>
          <w:rtl/>
          <w:rFonts w:cs="Arial"/>
          <w:lang w:bidi="he-IL"/>
        </w:rPr>
        <w:t>הופעת 1,4-dioxane בקידוח חקלאי</w:t>
      </w:r>
      <w:r>
        <w:rPr>
          <w:rtl/>
          <w:rFonts w:cs="Arial"/>
          <w:lang w:bidi="he-IL"/>
        </w:rPr>
        <w:t xml:space="preserve"> (נת חווה חקלאית א, 38.8 µg/L, 1,293% מתקן EPA הלא-רשמי, מדידת 02/2026; </w:t>
      </w:r>
      <w:r>
        <w:rPr>
          <w:rFonts w:ascii="Courier New" w:hAnsi="Courier New" w:cs="Arial"/>
          <w:color w:val="800000"/>
          <w:rtl/>
          <w:lang w:bidi="he-IL"/>
        </w:rPr>
        <w:t>severity_by_well_family.csv</w:t>
      </w:r>
      <w:r>
        <w:rPr>
          <w:rtl/>
          <w:rFonts w:cs="Arial"/>
          <w:lang w:bidi="he-IL"/>
        </w:rPr>
        <w:t>) — הפעם הראשונה שפלאום מסוג זה נצפה בקידוח חקלאי באזור.</w:t>
      </w:r>
    </w:p>
    <w:p>
      <w:pPr>
        <w:bidi/>
        <w:jc w:val="both"/>
        <w:rPr>
          <w:rtl/>
        </w:rPr>
      </w:pPr>
      <w:r>
        <w:rPr>
          <w:rtl/>
          <w:rFonts w:cs="Arial"/>
          <w:lang w:bidi="he-IL"/>
        </w:rPr>
        <w:t xml:space="preserve">מאפיין מבני של הניטור בחולון הוא </w:t>
      </w:r>
      <w:r>
        <w:rPr>
          <w:b/>
          <w:rtl/>
          <w:rFonts w:cs="Arial"/>
          <w:lang w:bidi="he-IL"/>
        </w:rPr>
        <w:t>דפוס "שיא ואז שתיקה"</w:t>
      </w:r>
      <w:r>
        <w:rPr>
          <w:rtl/>
          <w:rFonts w:cs="Arial"/>
          <w:lang w:bidi="he-IL"/>
        </w:rPr>
        <w:t xml:space="preserve">: מספר קידוחים בעלי הזיהום החמור ביותר הפסיקו להידגם בערכי שיא היסטוריים — נת אלביט חולון 1 (TCE 35,573% מהתקן, מדידה אחרונה 03/2018), נד אגד אזור 7 (Benzene 71,000% מהתקן, 04/2022), ונת חולון 2 (TCE 16,751% מהתקן, 06/2022; </w:t>
      </w:r>
      <w:r>
        <w:rPr>
          <w:rFonts w:ascii="Courier New" w:hAnsi="Courier New" w:cs="Arial"/>
          <w:color w:val="800000"/>
          <w:rtl/>
          <w:lang w:bidi="he-IL"/>
        </w:rPr>
        <w:t>monitoring_gaps.csv</w:t>
      </w:r>
      <w:r>
        <w:rPr>
          <w:rtl/>
          <w:rFonts w:cs="Arial"/>
          <w:lang w:bidi="he-IL"/>
        </w:rPr>
        <w:t>). מצב הזיהום העכשווי בנקודות אלה אינו ידוע, ואין להציג היעדר נתונים כהיעדר זיהום. רמת הדחיפות הכוללת מוערכת כ</w:t>
      </w:r>
      <w:r>
        <w:rPr>
          <w:b/>
          <w:rtl/>
          <w:rFonts w:cs="Arial"/>
          <w:lang w:bidi="he-IL"/>
        </w:rPr>
        <w:t>גבוהה</w:t>
      </w:r>
      <w:r>
        <w:rPr>
          <w:rtl/>
          <w:rFonts w:cs="Arial"/>
          <w:lang w:bidi="he-IL"/>
        </w:rPr>
        <w:t>: נדרשים חידוש ניטור בקידוחי השיא, קמפיין דיגום PFAS ממוקד, ומעקב מוגבר על קידוחי ההפקה. דוח זה אינו תחליף להערכת סיכון רשמית של הידרולוג מוסמך.</w:t>
      </w:r>
    </w:p>
    <w:p>
      <w:pPr>
        <w:bidi/>
        <w:jc w:val="both"/>
        <w:rPr>
          <w:rtl/>
        </w:rPr>
      </w:pPr>
      <w:r>
        <w:rPr>
          <w:rtl/>
          <w:rFonts w:cs="Arial"/>
          <w:lang w:bidi="he-IL"/>
        </w:rPr>
        <w:t>──────────────────────────────────────────────────</w:t>
      </w:r>
    </w:p>
    <w:p>
      <w:pPr>
        <w:bidi/>
        <w:pStyle w:val="Heading2"/>
        <w:jc w:val="both"/>
        <w:rPr>
          <w:rtl/>
        </w:rPr>
      </w:pPr>
      <w:r>
        <w:rPr>
          <w:rtl/>
          <w:rFonts w:cs="Arial"/>
          <w:lang w:bidi="he-IL"/>
        </w:rPr>
        <w:t>2. תמונת מצב אזורית ומערך הניטור</w:t>
      </w:r>
    </w:p>
    <w:p>
      <w:pPr>
        <w:bidi/>
        <w:jc w:val="both"/>
        <w:rPr>
          <w:rtl/>
        </w:rPr>
      </w:pPr>
      <w:r>
        <w:rPr>
          <w:rtl/>
          <w:rFonts w:cs="Arial"/>
          <w:lang w:bidi="he-IL"/>
        </w:rPr>
        <w:t>אזה"ת חולון ממוקם בחלקה הדרומי של גוש דן, באקוויפר החוף. תחום הקידוחים נפרש על קואורדינטות ITM שבין מזרח 180,192 ל-182,615 ובין צפון 656,455 ל-660,280 (</w:t>
      </w:r>
      <w:r>
        <w:rPr>
          <w:rFonts w:ascii="Courier New" w:hAnsi="Courier New" w:cs="Arial"/>
          <w:color w:val="800000"/>
          <w:rtl/>
          <w:lang w:bidi="he-IL"/>
        </w:rPr>
        <w:t>zone_wells.csv</w:t>
      </w:r>
      <w:r>
        <w:rPr>
          <w:rtl/>
          <w:rFonts w:cs="Arial"/>
          <w:lang w:bidi="he-IL"/>
        </w:rPr>
        <w:t>) — שטח של כ-2.4 ק"מ (מזרח-מערב) על כ-3.8 ק"מ (צפון-דרום). אקוויפר החוף באזור הוא שכבת חול-חמרה פריאטית בעלת פגיעות גבוהה, עם מפלס מי תהום בעומק כ-40 מ' מפני הקרקע; כיוון הזרימה הכללי הוא דרום-מערב — מהמתחם התעשייתי ההיסטורי במרכז האזור לעבר קידוחי ההפקה שמדרום-מערב, עם שקע הידרולוגי שנוצר עקב שאיבה (היסטורי 2007; היסטורי 2021, פרק חולון). הממסים המוכלרים (PCE/TCE) נוטים לחדור לעומק האקוויפר עקב צפיפותם (התנהגות DNAPL), ולהגיע לבארות עמוקות.</w:t>
      </w:r>
    </w:p>
    <w:p>
      <w:pPr>
        <w:bidi/>
        <w:jc w:val="both"/>
        <w:rPr>
          <w:rtl/>
        </w:rPr>
      </w:pPr>
      <w:r>
        <w:rPr>
          <w:rtl/>
          <w:rFonts w:cs="Arial"/>
          <w:lang w:bidi="he-IL"/>
        </w:rPr>
        <w:t>מערך הניטור מונה 111 קידוחים: 64 קידוחי ניטור דלק (סיומת "נד"), 40 קידוחי ניטור תעשייה (סיומת "נת"), 6 קידוחי ניטור כלליים, ו-2 קידוחי הפקה פרטיים (</w:t>
      </w:r>
      <w:r>
        <w:rPr>
          <w:rFonts w:ascii="Courier New" w:hAnsi="Courier New" w:cs="Arial"/>
          <w:color w:val="800000"/>
          <w:rtl/>
          <w:lang w:bidi="he-IL"/>
        </w:rPr>
        <w:t>zone_wells.csv</w:t>
      </w:r>
      <w:r>
        <w:rPr>
          <w:rtl/>
          <w:rFonts w:cs="Arial"/>
          <w:lang w:bidi="he-IL"/>
        </w:rPr>
        <w:t>). יצוין כי קובץ ה-</w:t>
      </w:r>
      <w:r>
        <w:rPr>
          <w:rFonts w:ascii="Courier New" w:hAnsi="Courier New" w:cs="Arial"/>
          <w:color w:val="800000"/>
          <w:rtl/>
          <w:lang w:bidi="he-IL"/>
        </w:rPr>
        <w:t>zone_wells.csv</w:t>
      </w:r>
      <w:r>
        <w:rPr>
          <w:rtl/>
          <w:rFonts w:cs="Arial"/>
          <w:lang w:bidi="he-IL"/>
        </w:rPr>
        <w:t xml:space="preserve"> מכיל 112 רשומות, אך שתיים מהן (נד אגד אזור 7 ו-נד אגד איזור 7) חולקות קואורדינטות ITM זהות (181800, 658234) ופרופיל ריכוזי דלק זהה — קרוב לוודאי כפילות איות של אותו קידוח פיזי. הספירה המקצועית מתייחסת לפיכך ל-111 קידוחים נבדלים, בעקבות האבחנה האזורית (Zone Diagnosis); הפער מסומן כאן לבירור ואימות אצל רשות המים. חמישה קידוחי הפקה ציבוריים (מק חולון 7, 8, 13, 15, 21) כבר נפסלו בעבר לאספקת שתייה בגין VOC, כרום, CCl₄ או דטרגנטים (היסטורי 2021); קידוח ההפקה מק חולון 14 נותר פעיל ונמצא כעת על סף התקן (ראו סעיף 4). הקידוחים פרוסים סביב מספר אשכולות תעשייתיים-תדלוקיים: המתחם התעשייתי ההיסטורי (רחוב הנחושת/השופטים/היוצר), מתחם המלאכה (תדירגן/סונול), חניון אגד במזרח, מתחם מרכבות האש, ומתחם רימטל/ארן-מטל בדרום. ארבעה קידוחים רב-מפלסיים (נת חולון 5, 6, 7, 18) הם המקור היחיד לפרופיל עומק באקוויפר.</w:t>
      </w:r>
    </w:p>
    <w:p>
      <w:pPr>
        <w:bidi/>
        <w:jc w:val="both"/>
        <w:rPr>
          <w:rtl/>
        </w:rPr>
      </w:pPr>
      <w:r>
        <w:rPr>
          <w:rtl/>
          <w:rFonts w:cs="Arial"/>
          <w:lang w:bidi="he-IL"/>
        </w:rPr>
        <w:t>![](Holon/charts/fig_01_zone_map.png)</w:t>
      </w:r>
    </w:p>
    <w:p>
      <w:pPr>
        <w:bidi/>
        <w:jc w:val="both"/>
        <w:rPr>
          <w:rtl/>
        </w:rPr>
      </w:pPr>
      <w:r>
        <w:rPr>
          <w:b/>
          <w:rtl/>
          <w:rFonts w:cs="Arial"/>
          <w:lang w:bidi="he-IL"/>
        </w:rPr>
        <w:t>איור 1</w:t>
      </w:r>
      <w:r>
        <w:rPr>
          <w:rtl/>
          <w:rFonts w:cs="Arial"/>
          <w:lang w:bidi="he-IL"/>
        </w:rPr>
        <w:t>: מפת אזה"ת חולון — קידוחי ניטור והפקה בצבע לפי אינדקס חומרה מירבי, אשכולות מקור פוטנציאליים, וחץ כיוון זרימת מי התהום (דרום-מערב). הקידוחים מתפרשים על תחום ITM 180.2–182.6 מזרח, 656.5–660.3 צפון.</w:t>
      </w:r>
    </w:p>
    <w:p/>
    <w:p>
      <w:pPr>
        <w:bidi/>
        <w:jc w:val="both"/>
        <w:rPr>
          <w:rtl/>
        </w:rPr>
      </w:pPr>
      <w:r>
        <w:rPr>
          <w:rtl/>
          <w:rFonts w:cs="Arial"/>
          <w:lang w:bidi="he-IL"/>
        </w:rPr>
        <w:t>──────────────────────────────────────────────────</w:t>
      </w:r>
    </w:p>
    <w:p>
      <w:pPr>
        <w:bidi/>
        <w:pStyle w:val="Heading2"/>
        <w:jc w:val="both"/>
        <w:rPr>
          <w:rtl/>
        </w:rPr>
      </w:pPr>
      <w:r>
        <w:rPr>
          <w:rtl/>
          <w:rFonts w:cs="Arial"/>
          <w:lang w:bidi="he-IL"/>
        </w:rPr>
        <w:t>3. מוקדי זיהום עיקריים</w:t>
      </w:r>
    </w:p>
    <w:p>
      <w:pPr>
        <w:bidi/>
        <w:jc w:val="both"/>
        <w:rPr>
          <w:rtl/>
        </w:rPr>
      </w:pPr>
      <w:r>
        <w:rPr>
          <w:rtl/>
          <w:rFonts w:cs="Arial"/>
          <w:lang w:bidi="he-IL"/>
        </w:rPr>
        <w:t>הזיהום מוצג להלן לפי משפחת מזהמים. דירוג המשפחות נקבע לפי אינדקס החומרה המירבי בכל משפחה (</w:t>
      </w:r>
      <w:r>
        <w:rPr>
          <w:rFonts w:ascii="Courier New" w:hAnsi="Courier New" w:cs="Arial"/>
          <w:color w:val="800000"/>
          <w:rtl/>
          <w:lang w:bidi="he-IL"/>
        </w:rPr>
        <w:t>severity_by_well_family.csv</w:t>
      </w:r>
      <w:r>
        <w:rPr>
          <w:rtl/>
          <w:rFonts w:cs="Arial"/>
          <w:lang w:bidi="he-IL"/>
        </w:rPr>
        <w:t xml:space="preserve">): CVOC = 8, METALS = 8, PFAS = 0, FUEL = 8; משפחת FUEL מוצגת אחרונה לפי כלל הסדר הקבוע (PROCESS_GUIDE §IV). אינדקס החומרה מחושב לפי </w:t>
      </w:r>
      <w:r>
        <w:rPr>
          <w:rFonts w:ascii="Courier New" w:hAnsi="Courier New" w:cs="Arial"/>
          <w:color w:val="800000"/>
          <w:rtl/>
          <w:lang w:bidi="he-IL"/>
        </w:rPr>
        <w:t>bucket(C_max_5y / DWS × 100)</w:t>
      </w:r>
      <w:r>
        <w:rPr>
          <w:rtl/>
          <w:rFonts w:cs="Arial"/>
          <w:lang w:bidi="he-IL"/>
        </w:rPr>
        <w:t xml:space="preserve"> בסולם 0–8 (ראו סעיף 7); בפרוזה משמש סיכום מילולי (נמוך / בינוני / גבוה / גבוה מאוד), ובטבלאות מופיע האינדקס המספרי.</w:t>
      </w:r>
    </w:p>
    <w:p>
      <w:pPr>
        <w:bidi/>
        <w:pStyle w:val="Heading3"/>
        <w:jc w:val="both"/>
        <w:rPr>
          <w:rtl/>
        </w:rPr>
      </w:pPr>
      <w:r>
        <w:rPr>
          <w:rtl/>
          <w:rFonts w:cs="Arial"/>
          <w:lang w:bidi="he-IL"/>
        </w:rPr>
        <w:t>3.1 ממסים מוכלרים (CVOC) — הפלאום הדומיננטי</w:t>
      </w:r>
    </w:p>
    <w:p>
      <w:pPr>
        <w:bidi/>
        <w:jc w:val="both"/>
        <w:rPr>
          <w:rtl/>
        </w:rPr>
      </w:pPr>
      <w:r>
        <w:rPr>
          <w:rtl/>
          <w:rFonts w:cs="Arial"/>
          <w:lang w:bidi="he-IL"/>
        </w:rPr>
        <w:t>משפחת ה-CVOC היא הרחבה ביותר והחמורה ביותר באזור מבחינת עוצמת החריגה: 18 קידוחים מציגים TCE או 1,4-dioxane בקטגוריה 8, ו-22 קידוחים בקטגוריה 6 ומעלה (</w:t>
      </w:r>
      <w:r>
        <w:rPr>
          <w:rFonts w:ascii="Courier New" w:hAnsi="Courier New" w:cs="Arial"/>
          <w:color w:val="800000"/>
          <w:rtl/>
          <w:lang w:bidi="he-IL"/>
        </w:rPr>
        <w:t>severity_by_well_family.csv</w:t>
      </w:r>
      <w:r>
        <w:rPr>
          <w:rtl/>
          <w:rFonts w:cs="Arial"/>
          <w:lang w:bidi="he-IL"/>
        </w:rPr>
        <w:t>). הקידוחים המובילים והמזהמים העיקריים:</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 מוביל</w:t>
            </w:r>
          </w:p>
        </w:tc>
        <w:tc>
          <w:tcPr>
            <w:tcW w:type="dxa" w:w="1440"/>
          </w:tcPr>
          <w:p>
            <w:pPr>
              <w:bidi/>
              <w:jc w:val="both"/>
              <w:rPr>
                <w:rtl/>
              </w:rPr>
            </w:pPr>
            <w:r>
              <w:rPr>
                <w:b/>
                <w:rtl/>
                <w:rFonts w:cs="Arial"/>
                <w:lang w:bidi="he-IL"/>
              </w:rPr>
            </w:r>
            <w:r>
              <w:rPr>
                <w:b/>
                <w:rtl/>
                <w:rFonts w:cs="Arial"/>
                <w:lang w:bidi="he-IL"/>
              </w:rPr>
              <w:t>C_max (5 שנים)</w:t>
            </w:r>
          </w:p>
        </w:tc>
        <w:tc>
          <w:tcPr>
            <w:tcW w:type="dxa" w:w="1440"/>
          </w:tcPr>
          <w:p>
            <w:pPr>
              <w:bidi/>
              <w:jc w:val="both"/>
              <w:rPr>
                <w:rtl/>
              </w:rPr>
            </w:pPr>
            <w:r>
              <w:rPr>
                <w:b/>
                <w:rtl/>
                <w:rFonts w:cs="Arial"/>
                <w:lang w:bidi="he-IL"/>
              </w:rPr>
            </w:r>
            <w:r>
              <w:rPr>
                <w:b/>
                <w:rtl/>
                <w:rFonts w:cs="Arial"/>
                <w:lang w:bidi="he-IL"/>
              </w:rPr>
              <w:t>אחוז תקן</w:t>
            </w:r>
          </w:p>
        </w:tc>
        <w:tc>
          <w:tcPr>
            <w:tcW w:type="dxa" w:w="1440"/>
          </w:tcPr>
          <w:p>
            <w:pPr>
              <w:bidi/>
              <w:jc w:val="both"/>
              <w:rPr>
                <w:rtl/>
              </w:rPr>
            </w:pPr>
            <w:r>
              <w:rPr>
                <w:b/>
                <w:rtl/>
                <w:rFonts w:cs="Arial"/>
                <w:lang w:bidi="he-IL"/>
              </w:rPr>
            </w:r>
            <w:r>
              <w:rPr>
                <w:b/>
                <w:rtl/>
                <w:rFonts w:cs="Arial"/>
                <w:lang w:bidi="he-IL"/>
              </w:rPr>
              <w:t>תאריך</w:t>
            </w:r>
          </w:p>
        </w:tc>
        <w:tc>
          <w:tcPr>
            <w:tcW w:type="dxa" w:w="1440"/>
          </w:tcPr>
          <w:p>
            <w:pPr>
              <w:bidi/>
              <w:jc w:val="both"/>
              <w:rPr>
                <w:rtl/>
              </w:rPr>
            </w:pPr>
            <w:r>
              <w:rPr>
                <w:b/>
                <w:rtl/>
                <w:rFonts w:cs="Arial"/>
                <w:lang w:bidi="he-IL"/>
              </w:rPr>
            </w:r>
            <w:r>
              <w:rPr>
                <w:b/>
                <w:rtl/>
                <w:rFonts w:cs="Arial"/>
                <w:lang w:bidi="he-IL"/>
              </w:rPr>
              <w:t>אינדקס</w:t>
            </w:r>
          </w:p>
        </w:tc>
      </w:tr>
      <w:tr>
        <w:tc>
          <w:tcPr>
            <w:tcW w:type="dxa" w:w="1440"/>
          </w:tcPr>
          <w:p>
            <w:pPr>
              <w:bidi/>
              <w:jc w:val="both"/>
              <w:rPr>
                <w:rtl/>
              </w:rPr>
            </w:pPr>
            <w:r>
              <w:rPr>
                <w:rtl/>
                <w:rFonts w:cs="Arial"/>
                <w:lang w:bidi="he-IL"/>
              </w:rPr>
            </w:r>
            <w:r>
              <w:rPr>
                <w:rtl/>
                <w:rFonts w:cs="Arial"/>
                <w:lang w:bidi="he-IL"/>
              </w:rPr>
              <w:t>נת חולון 11</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5,149.5 µg/L</w:t>
            </w:r>
          </w:p>
        </w:tc>
        <w:tc>
          <w:tcPr>
            <w:tcW w:type="dxa" w:w="1440"/>
          </w:tcPr>
          <w:p>
            <w:pPr>
              <w:bidi/>
              <w:jc w:val="both"/>
              <w:rPr>
                <w:rtl/>
              </w:rPr>
            </w:pPr>
            <w:r>
              <w:rPr>
                <w:rtl/>
                <w:rFonts w:cs="Arial"/>
                <w:lang w:bidi="he-IL"/>
              </w:rPr>
            </w:r>
            <w:r>
              <w:rPr>
                <w:rtl/>
                <w:rFonts w:cs="Arial"/>
                <w:lang w:bidi="he-IL"/>
              </w:rPr>
              <w:t>68,660%</w:t>
            </w:r>
          </w:p>
        </w:tc>
        <w:tc>
          <w:tcPr>
            <w:tcW w:type="dxa" w:w="1440"/>
          </w:tcPr>
          <w:p>
            <w:pPr>
              <w:bidi/>
              <w:jc w:val="both"/>
              <w:rPr>
                <w:rtl/>
              </w:rPr>
            </w:pPr>
            <w:r>
              <w:rPr>
                <w:rtl/>
                <w:rFonts w:cs="Arial"/>
                <w:lang w:bidi="he-IL"/>
              </w:rPr>
            </w:r>
            <w:r>
              <w:rPr>
                <w:rtl/>
                <w:rFonts w:cs="Arial"/>
                <w:lang w:bidi="he-IL"/>
              </w:rPr>
              <w:t>11/2024</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סונול המלאכה מ-1</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2,789.1 µg/L</w:t>
            </w:r>
          </w:p>
        </w:tc>
        <w:tc>
          <w:tcPr>
            <w:tcW w:type="dxa" w:w="1440"/>
          </w:tcPr>
          <w:p>
            <w:pPr>
              <w:bidi/>
              <w:jc w:val="both"/>
              <w:rPr>
                <w:rtl/>
              </w:rPr>
            </w:pPr>
            <w:r>
              <w:rPr>
                <w:rtl/>
                <w:rFonts w:cs="Arial"/>
                <w:lang w:bidi="he-IL"/>
              </w:rPr>
            </w:r>
            <w:r>
              <w:rPr>
                <w:rtl/>
                <w:rFonts w:cs="Arial"/>
                <w:lang w:bidi="he-IL"/>
              </w:rPr>
              <w:t>37,188%</w:t>
            </w:r>
          </w:p>
        </w:tc>
        <w:tc>
          <w:tcPr>
            <w:tcW w:type="dxa" w:w="1440"/>
          </w:tcPr>
          <w:p>
            <w:pPr>
              <w:bidi/>
              <w:jc w:val="both"/>
              <w:rPr>
                <w:rtl/>
              </w:rPr>
            </w:pPr>
            <w:r>
              <w:rPr>
                <w:rtl/>
                <w:rFonts w:cs="Arial"/>
                <w:lang w:bidi="he-IL"/>
              </w:rPr>
            </w:r>
            <w:r>
              <w:rPr>
                <w:rtl/>
                <w:rFonts w:cs="Arial"/>
                <w:lang w:bidi="he-IL"/>
              </w:rPr>
              <w:t>01/2023</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2</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1,256.3 µg/L</w:t>
            </w:r>
          </w:p>
        </w:tc>
        <w:tc>
          <w:tcPr>
            <w:tcW w:type="dxa" w:w="1440"/>
          </w:tcPr>
          <w:p>
            <w:pPr>
              <w:bidi/>
              <w:jc w:val="both"/>
              <w:rPr>
                <w:rtl/>
              </w:rPr>
            </w:pPr>
            <w:r>
              <w:rPr>
                <w:rtl/>
                <w:rFonts w:cs="Arial"/>
                <w:lang w:bidi="he-IL"/>
              </w:rPr>
            </w:r>
            <w:r>
              <w:rPr>
                <w:rtl/>
                <w:rFonts w:cs="Arial"/>
                <w:lang w:bidi="he-IL"/>
              </w:rPr>
              <w:t>16,751%</w:t>
            </w:r>
          </w:p>
        </w:tc>
        <w:tc>
          <w:tcPr>
            <w:tcW w:type="dxa" w:w="1440"/>
          </w:tcPr>
          <w:p>
            <w:pPr>
              <w:bidi/>
              <w:jc w:val="both"/>
              <w:rPr>
                <w:rtl/>
              </w:rPr>
            </w:pPr>
            <w:r>
              <w:rPr>
                <w:rtl/>
                <w:rFonts w:cs="Arial"/>
                <w:lang w:bidi="he-IL"/>
              </w:rPr>
            </w:r>
            <w:r>
              <w:rPr>
                <w:rtl/>
                <w:rFonts w:cs="Arial"/>
                <w:lang w:bidi="he-IL"/>
              </w:rPr>
              <w:t>06/2022</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5</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634.5 µg/L</w:t>
            </w:r>
          </w:p>
        </w:tc>
        <w:tc>
          <w:tcPr>
            <w:tcW w:type="dxa" w:w="1440"/>
          </w:tcPr>
          <w:p>
            <w:pPr>
              <w:bidi/>
              <w:jc w:val="both"/>
              <w:rPr>
                <w:rtl/>
              </w:rPr>
            </w:pPr>
            <w:r>
              <w:rPr>
                <w:rtl/>
                <w:rFonts w:cs="Arial"/>
                <w:lang w:bidi="he-IL"/>
              </w:rPr>
            </w:r>
            <w:r>
              <w:rPr>
                <w:rtl/>
                <w:rFonts w:cs="Arial"/>
                <w:lang w:bidi="he-IL"/>
              </w:rPr>
              <w:t>8,460%</w:t>
            </w:r>
          </w:p>
        </w:tc>
        <w:tc>
          <w:tcPr>
            <w:tcW w:type="dxa" w:w="1440"/>
          </w:tcPr>
          <w:p>
            <w:pPr>
              <w:bidi/>
              <w:jc w:val="both"/>
              <w:rPr>
                <w:rtl/>
              </w:rPr>
            </w:pPr>
            <w:r>
              <w:rPr>
                <w:rtl/>
                <w:rFonts w:cs="Arial"/>
                <w:lang w:bidi="he-IL"/>
              </w:rPr>
            </w:r>
            <w:r>
              <w:rPr>
                <w:rtl/>
                <w:rFonts w:cs="Arial"/>
                <w:lang w:bidi="he-IL"/>
              </w:rPr>
              <w:t>01/2023</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7</w:t>
            </w:r>
          </w:p>
        </w:tc>
        <w:tc>
          <w:tcPr>
            <w:tcW w:type="dxa" w:w="1440"/>
          </w:tcPr>
          <w:p>
            <w:pPr>
              <w:bidi/>
              <w:jc w:val="both"/>
              <w:rPr>
                <w:rtl/>
              </w:rPr>
            </w:pPr>
            <w:r>
              <w:rPr>
                <w:rtl/>
                <w:rFonts w:cs="Arial"/>
                <w:lang w:bidi="he-IL"/>
              </w:rPr>
            </w:r>
            <w:r>
              <w:rPr>
                <w:rtl/>
                <w:rFonts w:cs="Arial"/>
                <w:lang w:bidi="he-IL"/>
              </w:rPr>
              <w:t>TCE</w:t>
            </w:r>
          </w:p>
        </w:tc>
        <w:tc>
          <w:tcPr>
            <w:tcW w:type="dxa" w:w="1440"/>
          </w:tcPr>
          <w:p>
            <w:pPr>
              <w:bidi/>
              <w:jc w:val="both"/>
              <w:rPr>
                <w:rtl/>
              </w:rPr>
            </w:pPr>
            <w:r>
              <w:rPr>
                <w:rtl/>
                <w:rFonts w:cs="Arial"/>
                <w:lang w:bidi="he-IL"/>
              </w:rPr>
            </w:r>
            <w:r>
              <w:rPr>
                <w:rtl/>
                <w:rFonts w:cs="Arial"/>
                <w:lang w:bidi="he-IL"/>
              </w:rPr>
              <w:t>569.1 µg/L</w:t>
            </w:r>
          </w:p>
        </w:tc>
        <w:tc>
          <w:tcPr>
            <w:tcW w:type="dxa" w:w="1440"/>
          </w:tcPr>
          <w:p>
            <w:pPr>
              <w:bidi/>
              <w:jc w:val="both"/>
              <w:rPr>
                <w:rtl/>
              </w:rPr>
            </w:pPr>
            <w:r>
              <w:rPr>
                <w:rtl/>
                <w:rFonts w:cs="Arial"/>
                <w:lang w:bidi="he-IL"/>
              </w:rPr>
            </w:r>
            <w:r>
              <w:rPr>
                <w:rtl/>
                <w:rFonts w:cs="Arial"/>
                <w:lang w:bidi="he-IL"/>
              </w:rPr>
              <w:t>7,588%</w:t>
            </w:r>
          </w:p>
        </w:tc>
        <w:tc>
          <w:tcPr>
            <w:tcW w:type="dxa" w:w="1440"/>
          </w:tcPr>
          <w:p>
            <w:pPr>
              <w:bidi/>
              <w:jc w:val="both"/>
              <w:rPr>
                <w:rtl/>
              </w:rPr>
            </w:pPr>
            <w:r>
              <w:rPr>
                <w:rtl/>
                <w:rFonts w:cs="Arial"/>
                <w:lang w:bidi="he-IL"/>
              </w:rPr>
            </w:r>
            <w:r>
              <w:rPr>
                <w:rtl/>
                <w:rFonts w:cs="Arial"/>
                <w:lang w:bidi="he-IL"/>
              </w:rPr>
              <w:t>01/2023</w:t>
            </w:r>
          </w:p>
        </w:tc>
        <w:tc>
          <w:tcPr>
            <w:tcW w:type="dxa" w:w="1440"/>
          </w:tcPr>
          <w:p>
            <w:pPr>
              <w:bidi/>
              <w:jc w:val="both"/>
              <w:rPr>
                <w:rtl/>
              </w:rPr>
            </w:pPr>
            <w:r>
              <w:rPr>
                <w:rtl/>
                <w:rFonts w:cs="Arial"/>
                <w:lang w:bidi="he-IL"/>
              </w:rPr>
            </w:r>
            <w:r>
              <w:rPr>
                <w:rtl/>
                <w:rFonts w:cs="Arial"/>
                <w:lang w:bidi="he-IL"/>
              </w:rPr>
              <w:t>8</w:t>
            </w:r>
          </w:p>
        </w:tc>
      </w:tr>
    </w:tbl>
    <w:p>
      <w:pPr>
        <w:bidi/>
        <w:jc w:val="both"/>
        <w:rPr>
          <w:rtl/>
        </w:rPr>
      </w:pPr>
      <w:r>
        <w:rPr>
          <w:rtl/>
          <w:rFonts w:cs="Arial"/>
          <w:lang w:bidi="he-IL"/>
        </w:rPr>
        <w:t>(כל הערכים מ-</w:t>
      </w:r>
      <w:r>
        <w:rPr>
          <w:rFonts w:ascii="Courier New" w:hAnsi="Courier New" w:cs="Arial"/>
          <w:color w:val="800000"/>
          <w:rtl/>
          <w:lang w:bidi="he-IL"/>
        </w:rPr>
        <w:t>severity_by_well_family.csv</w:t>
      </w:r>
      <w:r>
        <w:rPr>
          <w:rtl/>
          <w:rFonts w:cs="Arial"/>
          <w:lang w:bidi="he-IL"/>
        </w:rPr>
        <w:t>.) האפיצנטר ההיסטורי הוא נת חולון 11, סמוך למפעל תדיראן-קשר (אלביט לשעבר) ברחוב הנחושת — בו תיעד היסטורי 2007 (עמ' 6) ריכוז TCE של 12,982 µg/L. הריכוז הנוכחי (5,150 µg/L, 11/2024) נמצא בירידה איטית מהשיא ההיסטורי אך נותר בקטגוריה העליונה. ריכוז זה הוא בטריטוריית DNAPL — רמה שאינה ניתנת להסבר ללא שלב חופשי של ממס מוצק בקרבת הקידוח.</w:t>
      </w:r>
    </w:p>
    <w:p>
      <w:pPr>
        <w:bidi/>
        <w:jc w:val="both"/>
        <w:rPr>
          <w:rtl/>
        </w:rPr>
      </w:pPr>
      <w:r>
        <w:rPr>
          <w:rtl/>
          <w:rFonts w:cs="Arial"/>
          <w:lang w:bidi="he-IL"/>
        </w:rPr>
        <w:t xml:space="preserve">שלוש התפתחויות חדשות מבדילות את התמונה הנוכחית מזו של 2021. ראשית, </w:t>
      </w:r>
      <w:r>
        <w:rPr>
          <w:b/>
          <w:rtl/>
          <w:rFonts w:cs="Arial"/>
          <w:lang w:bidi="he-IL"/>
        </w:rPr>
        <w:t>הופעת ויניל כלוריד (VC) בנת חולון 11</w:t>
      </w:r>
      <w:r>
        <w:rPr>
          <w:rtl/>
          <w:rFonts w:cs="Arial"/>
          <w:lang w:bidi="he-IL"/>
        </w:rPr>
        <w:t xml:space="preserve"> בריכוז 13.8 µg/L (2,767% מתקן EPA) במדידת 11/2024, לאחר שנים של ערכי אפס (עוגן F1_001) — סמן אפשרי לפירוק רדוקטיבי שהתעורר או למקור VC חדש; דורש דיגום-כפיל לאישוש. שנית, </w:t>
      </w:r>
      <w:r>
        <w:rPr>
          <w:b/>
          <w:rtl/>
          <w:rFonts w:cs="Arial"/>
          <w:lang w:bidi="he-IL"/>
        </w:rPr>
        <w:t>יציבות ה-TCE בנד סונול המלאכה מ-1</w:t>
      </w:r>
      <w:r>
        <w:rPr>
          <w:rtl/>
          <w:rFonts w:cs="Arial"/>
          <w:lang w:bidi="he-IL"/>
        </w:rPr>
        <w:t xml:space="preserve"> סביב 2,700–2,800 µg/L לאורך שלוש שנים (2023–2026) — דפוס המעיד על מקור DNAPL פעיל מתמשך באזור רחוב המלאכה, ולא על פלאום היסטורי שמתפזר; אילו היה היסטורי בלבד, היה צפוי להיות בירידה. שלישית, חציית התקן בקידוח ההפקה מק חולון 14 (ראו סעיף 4).</w:t>
      </w:r>
    </w:p>
    <w:p>
      <w:pPr>
        <w:bidi/>
        <w:jc w:val="both"/>
        <w:rPr>
          <w:rtl/>
        </w:rPr>
      </w:pPr>
      <w:r>
        <w:rPr>
          <w:b/>
          <w:rtl/>
          <w:rFonts w:cs="Arial"/>
          <w:lang w:bidi="he-IL"/>
        </w:rPr>
        <w:t>מגמות מובהקות</w:t>
      </w:r>
      <w:r>
        <w:rPr>
          <w:rtl/>
          <w:rFonts w:cs="Arial"/>
          <w:lang w:bidi="he-IL"/>
        </w:rPr>
        <w:t>: בנת חולון 1 נמדדת מגמת עלייה ב-TCE בגבול המובהקות בלבד (Mann-Kendall Z=1.70, p=0.089, SNR=1.32; עוגן S2_001). בנת חולון 2 נמדדו מגמות עלייה מובהקות ב-PCE (Z=2.13, p=0.034) ובכלורופורם (Z=2.06, p=0.039) ברשומה המלאה, טרם הפסקת הניטור (עוגנים S3_001, S3_002). יש לציין שמנוע ה-Mann-Kendall מוגבל ברוב קידוחי ה-CVOC עקב מיעוט מדידות בחלון 5 השנים, ועל כן הערכים הגבוהים משקפים שיאים היסטוריים ולא מגמות מאומתות.</w:t>
      </w:r>
    </w:p>
    <w:p>
      <w:pPr>
        <w:bidi/>
        <w:jc w:val="both"/>
        <w:rPr>
          <w:rtl/>
        </w:rPr>
      </w:pPr>
      <w:r>
        <w:rPr>
          <w:b/>
          <w:rtl/>
          <w:rFonts w:cs="Arial"/>
          <w:lang w:bidi="he-IL"/>
        </w:rPr>
        <w:t>ממצא פורנזי — 1,1-DCE עודף</w:t>
      </w:r>
      <w:r>
        <w:rPr>
          <w:rtl/>
          <w:rFonts w:cs="Arial"/>
          <w:lang w:bidi="he-IL"/>
        </w:rPr>
        <w:t xml:space="preserve">: בחינת מאזן מסה מגלה ש-1,1-DCE מגיע לריכוזים גבוהים בהרבה ממה שניתן להסביר כתוצר פירוק של 1,1,1-TCA. בנת חולון 5 מגיע 1,1-DCE ל-2,903 µg/L — פי 2.7 מ-TCE באותו קידוח — בעוד ש-cis-1,2-DCE נותר נמוך (57 µg/L; עוגן F1_002). יחס 1,1-DCE &gt;&gt; cis-1,2-DCE לאורך 7+ קידוחים תעשייתיים (עוגן F2_001) אינו עקבי עם פירוק ביוטי בלבד. ריכוז 1,1,1-TCA המירבי באזור (כ-37 µg/L) אינו סוגר את מאזן המסה מול כמות ה-1,1-DCE הנצפית. </w:t>
      </w:r>
      <w:r>
        <w:rPr>
          <w:b/>
          <w:rtl/>
          <w:rFonts w:cs="Arial"/>
          <w:lang w:bidi="he-IL"/>
        </w:rPr>
        <w:t>המסקנה הפרשנית</w:t>
      </w:r>
      <w:r>
        <w:rPr>
          <w:rtl/>
          <w:rFonts w:cs="Arial"/>
          <w:lang w:bidi="he-IL"/>
        </w:rPr>
        <w:t>: סביר ש-1,1-DCE באזור הוא מזהם ראשוני בפני עצמו (חומר גלם תעשייתי מסוג vinylidene chloride / PVDC), ולא תוצר נגזר — דבר המרחיב את חיפוש המקור מעבר למשתמשי degreaser בלבד.</w:t>
      </w:r>
    </w:p>
    <w:p>
      <w:pPr>
        <w:bidi/>
        <w:jc w:val="both"/>
        <w:rPr>
          <w:rtl/>
        </w:rPr>
      </w:pPr>
      <w:r>
        <w:rPr>
          <w:b/>
          <w:rtl/>
          <w:rFonts w:cs="Arial"/>
          <w:lang w:bidi="he-IL"/>
        </w:rPr>
        <w:t>1,4-dioxane — תת-מוקד מתפשט</w:t>
      </w:r>
      <w:r>
        <w:rPr>
          <w:rtl/>
          <w:rFonts w:cs="Arial"/>
          <w:lang w:bidi="he-IL"/>
        </w:rPr>
        <w:t xml:space="preserve">: בתוך משפחת ה-CVOC מסתמן פלאום 1,4-dioxane נפרד, המתפזר על פני מרחק קילומטרים: מנת חולון 11 (1,036 µg/L, 34,543% מתקן EPA, 02/2026) ועד נת חווה חקלאית א (38.8 µg/L, 1,293% מתקן EPA, 02/2026 — מדידה ראשונה; </w:t>
      </w:r>
      <w:r>
        <w:rPr>
          <w:rFonts w:ascii="Courier New" w:hAnsi="Courier New" w:cs="Arial"/>
          <w:color w:val="800000"/>
          <w:rtl/>
          <w:lang w:bidi="he-IL"/>
        </w:rPr>
        <w:t>severity_by_well_family.csv</w:t>
      </w:r>
      <w:r>
        <w:rPr>
          <w:rtl/>
          <w:rFonts w:cs="Arial"/>
          <w:lang w:bidi="he-IL"/>
        </w:rPr>
        <w:t>). הריכוז בנת חולון 11 עלה לאורך עשור (כ-150 µg/L ב-2016 → 1,036 ב-2026), דפוס המעיד על מקור פעיל. גם כאן מאזן המסה אינו נסגר עם 1,1,1-TCA כמייצב, כך שסביר שה-1,4-dioxane הוא מזהם ראשי בפני עצמו (תעשיית טקסטיל, פולימרים או חומרי ניקוי).</w:t>
      </w:r>
    </w:p>
    <w:p>
      <w:pPr>
        <w:bidi/>
        <w:jc w:val="both"/>
        <w:rPr>
          <w:rtl/>
        </w:rPr>
      </w:pPr>
      <w:r>
        <w:rPr>
          <w:b/>
          <w:rtl/>
          <w:rFonts w:cs="Arial"/>
          <w:lang w:bidi="he-IL"/>
        </w:rPr>
        <w:t>מקורות אפשריים</w:t>
      </w:r>
      <w:r>
        <w:rPr>
          <w:rtl/>
          <w:rFonts w:cs="Arial"/>
          <w:lang w:bidi="he-IL"/>
        </w:rPr>
        <w:t xml:space="preserve"> (ראו סעיף 5): תדיראן-קשר/אלביט (TCE/PCE/DCE) — HIGH; תדירגן (TCE/PCE/Cr) — HIGH; תרשיש (TCE/Cr) — HIGH; מקור 1,1-DCE/1,4-dioxane תעשייתי בלתי-מזוהה — LOW (יעד חיפוש פתוח).</w:t>
      </w:r>
    </w:p>
    <w:p>
      <w:pPr>
        <w:bidi/>
        <w:jc w:val="both"/>
        <w:rPr>
          <w:rtl/>
        </w:rPr>
      </w:pPr>
      <w:r>
        <w:rPr>
          <w:b/>
          <w:rtl/>
          <w:rFonts w:cs="Arial"/>
          <w:lang w:bidi="he-IL"/>
        </w:rPr>
        <w:t>פערי מידע</w:t>
      </w:r>
      <w:r>
        <w:rPr>
          <w:rtl/>
          <w:rFonts w:cs="Arial"/>
          <w:lang w:bidi="he-IL"/>
        </w:rPr>
        <w:t xml:space="preserve">: נת אלביט חולון 1 — TCE 35,573% מהתקן, ללא מדידה מאז 03/2018 (כ-98 חודשי שתיקה; </w:t>
      </w:r>
      <w:r>
        <w:rPr>
          <w:rFonts w:ascii="Courier New" w:hAnsi="Courier New" w:cs="Arial"/>
          <w:color w:val="800000"/>
          <w:rtl/>
          <w:lang w:bidi="he-IL"/>
        </w:rPr>
        <w:t>monitoring_gaps.csv</w:t>
      </w:r>
      <w:r>
        <w:rPr>
          <w:rtl/>
          <w:rFonts w:cs="Arial"/>
          <w:lang w:bidi="he-IL"/>
        </w:rPr>
        <w:t>). מערך תדירגן (כ-10 קידוחים) — אין נתונים מאז 2011–2013, כולל לאחר השיקום שדווח. תוצרי הסיום ethene/ethane/methane אינם נמדדים, כך שלא ניתן לקבוע אם הפירוק נעצר ב-VC.</w:t>
      </w:r>
    </w:p>
    <w:p>
      <w:pPr>
        <w:bidi/>
        <w:jc w:val="both"/>
        <w:rPr>
          <w:rtl/>
        </w:rPr>
      </w:pPr>
      <w:r>
        <w:rPr>
          <w:rtl/>
          <w:rFonts w:cs="Arial"/>
          <w:lang w:bidi="he-IL"/>
        </w:rPr>
        <w:t>![](Holon/charts/fig_03_cvoc_panels.png)</w:t>
      </w:r>
    </w:p>
    <w:p>
      <w:pPr>
        <w:bidi/>
        <w:jc w:val="both"/>
        <w:rPr>
          <w:rtl/>
        </w:rPr>
      </w:pPr>
      <w:r>
        <w:rPr>
          <w:b/>
          <w:rtl/>
          <w:rFonts w:cs="Arial"/>
          <w:lang w:bidi="he-IL"/>
        </w:rPr>
        <w:t>איור 2</w:t>
      </w:r>
      <w:r>
        <w:rPr>
          <w:rtl/>
          <w:rFonts w:cs="Arial"/>
          <w:lang w:bidi="he-IL"/>
        </w:rPr>
        <w:t>: ריכוזי TCE (אחוז מהתקן) לאורך זמן בקידוחי הליבה של מוקד ה-CVOC — נת חולון 11, 2, 5, 7 ונד סונול המלאכה מ-1. ניכרת יציבות לטווח ארוך בנד סונול המלאכה מ-1 לצד ירידה איטית בנת חולון 11.</w:t>
      </w:r>
    </w:p>
    <w:p/>
    <w:p>
      <w:pPr>
        <w:bidi/>
        <w:pStyle w:val="Heading3"/>
        <w:jc w:val="both"/>
        <w:rPr>
          <w:rtl/>
        </w:rPr>
      </w:pPr>
      <w:r>
        <w:rPr>
          <w:rtl/>
          <w:rFonts w:cs="Arial"/>
          <w:lang w:bidi="he-IL"/>
        </w:rPr>
        <w:t>3.2 מתכות כבדות (METALS)</w:t>
      </w:r>
    </w:p>
    <w:p>
      <w:pPr>
        <w:bidi/>
        <w:jc w:val="both"/>
        <w:rPr>
          <w:rtl/>
        </w:rPr>
      </w:pPr>
      <w:r>
        <w:rPr>
          <w:rtl/>
          <w:rFonts w:cs="Arial"/>
          <w:lang w:bidi="he-IL"/>
        </w:rPr>
        <w:t>משפחת המתכות מציגה שני דפוסים שונים: חריגות כרום נקודתיות, וחתימת ציפוי גלוואני (Cr+Ni) אשכולית. הקידוחים המובילים:</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 מוביל</w:t>
            </w:r>
          </w:p>
        </w:tc>
        <w:tc>
          <w:tcPr>
            <w:tcW w:type="dxa" w:w="1440"/>
          </w:tcPr>
          <w:p>
            <w:pPr>
              <w:bidi/>
              <w:jc w:val="both"/>
              <w:rPr>
                <w:rtl/>
              </w:rPr>
            </w:pPr>
            <w:r>
              <w:rPr>
                <w:b/>
                <w:rtl/>
                <w:rFonts w:cs="Arial"/>
                <w:lang w:bidi="he-IL"/>
              </w:rPr>
            </w:r>
            <w:r>
              <w:rPr>
                <w:b/>
                <w:rtl/>
                <w:rFonts w:cs="Arial"/>
                <w:lang w:bidi="he-IL"/>
              </w:rPr>
              <w:t>C_max (5 שנים)</w:t>
            </w:r>
          </w:p>
        </w:tc>
        <w:tc>
          <w:tcPr>
            <w:tcW w:type="dxa" w:w="1440"/>
          </w:tcPr>
          <w:p>
            <w:pPr>
              <w:bidi/>
              <w:jc w:val="both"/>
              <w:rPr>
                <w:rtl/>
              </w:rPr>
            </w:pPr>
            <w:r>
              <w:rPr>
                <w:b/>
                <w:rtl/>
                <w:rFonts w:cs="Arial"/>
                <w:lang w:bidi="he-IL"/>
              </w:rPr>
            </w:r>
            <w:r>
              <w:rPr>
                <w:b/>
                <w:rtl/>
                <w:rFonts w:cs="Arial"/>
                <w:lang w:bidi="he-IL"/>
              </w:rPr>
              <w:t>אחוז תקן</w:t>
            </w:r>
          </w:p>
        </w:tc>
        <w:tc>
          <w:tcPr>
            <w:tcW w:type="dxa" w:w="1440"/>
          </w:tcPr>
          <w:p>
            <w:pPr>
              <w:bidi/>
              <w:jc w:val="both"/>
              <w:rPr>
                <w:rtl/>
              </w:rPr>
            </w:pPr>
            <w:r>
              <w:rPr>
                <w:b/>
                <w:rtl/>
                <w:rFonts w:cs="Arial"/>
                <w:lang w:bidi="he-IL"/>
              </w:rPr>
            </w:r>
            <w:r>
              <w:rPr>
                <w:b/>
                <w:rtl/>
                <w:rFonts w:cs="Arial"/>
                <w:lang w:bidi="he-IL"/>
              </w:rPr>
              <w:t>תאריך</w:t>
            </w:r>
          </w:p>
        </w:tc>
        <w:tc>
          <w:tcPr>
            <w:tcW w:type="dxa" w:w="1440"/>
          </w:tcPr>
          <w:p>
            <w:pPr>
              <w:bidi/>
              <w:jc w:val="both"/>
              <w:rPr>
                <w:rtl/>
              </w:rPr>
            </w:pPr>
            <w:r>
              <w:rPr>
                <w:b/>
                <w:rtl/>
                <w:rFonts w:cs="Arial"/>
                <w:lang w:bidi="he-IL"/>
              </w:rPr>
            </w:r>
            <w:r>
              <w:rPr>
                <w:b/>
                <w:rtl/>
                <w:rFonts w:cs="Arial"/>
                <w:lang w:bidi="he-IL"/>
              </w:rPr>
              <w:t>אינדקס</w:t>
            </w:r>
          </w:p>
        </w:tc>
      </w:tr>
      <w:tr>
        <w:tc>
          <w:tcPr>
            <w:tcW w:type="dxa" w:w="1440"/>
          </w:tcPr>
          <w:p>
            <w:pPr>
              <w:bidi/>
              <w:jc w:val="both"/>
              <w:rPr>
                <w:rtl/>
              </w:rPr>
            </w:pPr>
            <w:r>
              <w:rPr>
                <w:rtl/>
                <w:rFonts w:cs="Arial"/>
                <w:lang w:bidi="he-IL"/>
              </w:rPr>
            </w:r>
            <w:r>
              <w:rPr>
                <w:rtl/>
                <w:rFonts w:cs="Arial"/>
                <w:lang w:bidi="he-IL"/>
              </w:rPr>
              <w:t>נת חולון 26</w:t>
            </w:r>
          </w:p>
        </w:tc>
        <w:tc>
          <w:tcPr>
            <w:tcW w:type="dxa" w:w="1440"/>
          </w:tcPr>
          <w:p>
            <w:pPr>
              <w:bidi/>
              <w:jc w:val="both"/>
              <w:rPr>
                <w:rtl/>
              </w:rPr>
            </w:pPr>
            <w:r>
              <w:rPr>
                <w:rtl/>
                <w:rFonts w:cs="Arial"/>
                <w:lang w:bidi="he-IL"/>
              </w:rPr>
            </w:r>
            <w:r>
              <w:rPr>
                <w:rtl/>
                <w:rFonts w:cs="Arial"/>
                <w:lang w:bidi="he-IL"/>
              </w:rPr>
              <w:t>Chromium</w:t>
            </w:r>
          </w:p>
        </w:tc>
        <w:tc>
          <w:tcPr>
            <w:tcW w:type="dxa" w:w="1440"/>
          </w:tcPr>
          <w:p>
            <w:pPr>
              <w:bidi/>
              <w:jc w:val="both"/>
              <w:rPr>
                <w:rtl/>
              </w:rPr>
            </w:pPr>
            <w:r>
              <w:rPr>
                <w:rtl/>
                <w:rFonts w:cs="Arial"/>
                <w:lang w:bidi="he-IL"/>
              </w:rPr>
            </w:r>
            <w:r>
              <w:rPr>
                <w:rtl/>
                <w:rFonts w:cs="Arial"/>
                <w:lang w:bidi="he-IL"/>
              </w:rPr>
              <w:t>4,035.9 µg/L</w:t>
            </w:r>
          </w:p>
        </w:tc>
        <w:tc>
          <w:tcPr>
            <w:tcW w:type="dxa" w:w="1440"/>
          </w:tcPr>
          <w:p>
            <w:pPr>
              <w:bidi/>
              <w:jc w:val="both"/>
              <w:rPr>
                <w:rtl/>
              </w:rPr>
            </w:pPr>
            <w:r>
              <w:rPr>
                <w:rtl/>
                <w:rFonts w:cs="Arial"/>
                <w:lang w:bidi="he-IL"/>
              </w:rPr>
            </w:r>
            <w:r>
              <w:rPr>
                <w:rtl/>
                <w:rFonts w:cs="Arial"/>
                <w:lang w:bidi="he-IL"/>
              </w:rPr>
              <w:t>8,072%</w:t>
            </w:r>
          </w:p>
        </w:tc>
        <w:tc>
          <w:tcPr>
            <w:tcW w:type="dxa" w:w="1440"/>
          </w:tcPr>
          <w:p>
            <w:pPr>
              <w:bidi/>
              <w:jc w:val="both"/>
              <w:rPr>
                <w:rtl/>
              </w:rPr>
            </w:pPr>
            <w:r>
              <w:rPr>
                <w:rtl/>
                <w:rFonts w:cs="Arial"/>
                <w:lang w:bidi="he-IL"/>
              </w:rPr>
            </w:r>
            <w:r>
              <w:rPr>
                <w:rtl/>
                <w:rFonts w:cs="Arial"/>
                <w:lang w:bidi="he-IL"/>
              </w:rPr>
              <w:t>02/2023</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נת חולון 22</w:t>
            </w:r>
          </w:p>
        </w:tc>
        <w:tc>
          <w:tcPr>
            <w:tcW w:type="dxa" w:w="1440"/>
          </w:tcPr>
          <w:p>
            <w:pPr>
              <w:bidi/>
              <w:jc w:val="both"/>
              <w:rPr>
                <w:rtl/>
              </w:rPr>
            </w:pPr>
            <w:r>
              <w:rPr>
                <w:rtl/>
                <w:rFonts w:cs="Arial"/>
                <w:lang w:bidi="he-IL"/>
              </w:rPr>
            </w:r>
            <w:r>
              <w:rPr>
                <w:rtl/>
                <w:rFonts w:cs="Arial"/>
                <w:lang w:bidi="he-IL"/>
              </w:rPr>
              <w:t>Manganese</w:t>
            </w:r>
          </w:p>
        </w:tc>
        <w:tc>
          <w:tcPr>
            <w:tcW w:type="dxa" w:w="1440"/>
          </w:tcPr>
          <w:p>
            <w:pPr>
              <w:bidi/>
              <w:jc w:val="both"/>
              <w:rPr>
                <w:rtl/>
              </w:rPr>
            </w:pPr>
            <w:r>
              <w:rPr>
                <w:rtl/>
                <w:rFonts w:cs="Arial"/>
                <w:lang w:bidi="he-IL"/>
              </w:rPr>
            </w:r>
            <w:r>
              <w:rPr>
                <w:rtl/>
                <w:rFonts w:cs="Arial"/>
                <w:lang w:bidi="he-IL"/>
              </w:rPr>
              <w:t>8,730.0 µg/L</w:t>
            </w:r>
          </w:p>
        </w:tc>
        <w:tc>
          <w:tcPr>
            <w:tcW w:type="dxa" w:w="1440"/>
          </w:tcPr>
          <w:p>
            <w:pPr>
              <w:bidi/>
              <w:jc w:val="both"/>
              <w:rPr>
                <w:rtl/>
              </w:rPr>
            </w:pPr>
            <w:r>
              <w:rPr>
                <w:rtl/>
                <w:rFonts w:cs="Arial"/>
                <w:lang w:bidi="he-IL"/>
              </w:rPr>
            </w:r>
            <w:r>
              <w:rPr>
                <w:rtl/>
                <w:rFonts w:cs="Arial"/>
                <w:lang w:bidi="he-IL"/>
              </w:rPr>
              <w:t>4,365%</w:t>
            </w:r>
          </w:p>
        </w:tc>
        <w:tc>
          <w:tcPr>
            <w:tcW w:type="dxa" w:w="1440"/>
          </w:tcPr>
          <w:p>
            <w:pPr>
              <w:bidi/>
              <w:jc w:val="both"/>
              <w:rPr>
                <w:rtl/>
              </w:rPr>
            </w:pPr>
            <w:r>
              <w:rPr>
                <w:rtl/>
                <w:rFonts w:cs="Arial"/>
                <w:lang w:bidi="he-IL"/>
              </w:rPr>
            </w:r>
            <w:r>
              <w:rPr>
                <w:rtl/>
                <w:rFonts w:cs="Arial"/>
                <w:lang w:bidi="he-IL"/>
              </w:rPr>
              <w:t>11/2022</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מק חולון 12</w:t>
            </w:r>
          </w:p>
        </w:tc>
        <w:tc>
          <w:tcPr>
            <w:tcW w:type="dxa" w:w="1440"/>
          </w:tcPr>
          <w:p>
            <w:pPr>
              <w:bidi/>
              <w:jc w:val="both"/>
              <w:rPr>
                <w:rtl/>
              </w:rPr>
            </w:pPr>
            <w:r>
              <w:rPr>
                <w:rtl/>
                <w:rFonts w:cs="Arial"/>
                <w:lang w:bidi="he-IL"/>
              </w:rPr>
            </w:r>
            <w:r>
              <w:rPr>
                <w:rtl/>
                <w:rFonts w:cs="Arial"/>
                <w:lang w:bidi="he-IL"/>
              </w:rPr>
              <w:t>קשיות (CaCO₃)</w:t>
            </w:r>
          </w:p>
        </w:tc>
        <w:tc>
          <w:tcPr>
            <w:tcW w:type="dxa" w:w="1440"/>
          </w:tcPr>
          <w:p>
            <w:pPr>
              <w:bidi/>
              <w:jc w:val="both"/>
              <w:rPr>
                <w:rtl/>
              </w:rPr>
            </w:pPr>
            <w:r>
              <w:rPr>
                <w:rtl/>
                <w:rFonts w:cs="Arial"/>
                <w:lang w:bidi="he-IL"/>
              </w:rPr>
            </w:r>
            <w:r>
              <w:rPr>
                <w:rtl/>
                <w:rFonts w:cs="Arial"/>
                <w:lang w:bidi="he-IL"/>
              </w:rPr>
              <w:t>457.4 mg/L</w:t>
            </w:r>
          </w:p>
        </w:tc>
        <w:tc>
          <w:tcPr>
            <w:tcW w:type="dxa" w:w="1440"/>
          </w:tcPr>
          <w:p>
            <w:pPr>
              <w:bidi/>
              <w:jc w:val="both"/>
              <w:rPr>
                <w:rtl/>
              </w:rPr>
            </w:pPr>
            <w:r>
              <w:rPr>
                <w:rtl/>
                <w:rFonts w:cs="Arial"/>
                <w:lang w:bidi="he-IL"/>
              </w:rPr>
            </w:r>
            <w:r>
              <w:rPr>
                <w:rtl/>
                <w:rFonts w:cs="Arial"/>
                <w:lang w:bidi="he-IL"/>
              </w:rPr>
              <w:t>229%</w:t>
            </w:r>
          </w:p>
        </w:tc>
        <w:tc>
          <w:tcPr>
            <w:tcW w:type="dxa" w:w="1440"/>
          </w:tcPr>
          <w:p>
            <w:pPr>
              <w:bidi/>
              <w:jc w:val="both"/>
              <w:rPr>
                <w:rtl/>
              </w:rPr>
            </w:pPr>
            <w:r>
              <w:rPr>
                <w:rtl/>
                <w:rFonts w:cs="Arial"/>
                <w:lang w:bidi="he-IL"/>
              </w:rPr>
            </w:r>
            <w:r>
              <w:rPr>
                <w:rtl/>
                <w:rFonts w:cs="Arial"/>
                <w:lang w:bidi="he-IL"/>
              </w:rPr>
              <w:t>04/2021</w:t>
            </w:r>
          </w:p>
        </w:tc>
        <w:tc>
          <w:tcPr>
            <w:tcW w:type="dxa" w:w="1440"/>
          </w:tcPr>
          <w:p>
            <w:pPr>
              <w:bidi/>
              <w:jc w:val="both"/>
              <w:rPr>
                <w:rtl/>
              </w:rPr>
            </w:pPr>
            <w:r>
              <w:rPr>
                <w:rtl/>
                <w:rFonts w:cs="Arial"/>
                <w:lang w:bidi="he-IL"/>
              </w:rPr>
            </w:r>
            <w:r>
              <w:rPr>
                <w:rtl/>
                <w:rFonts w:cs="Arial"/>
                <w:lang w:bidi="he-IL"/>
              </w:rPr>
              <w:t>6</w:t>
            </w:r>
          </w:p>
        </w:tc>
      </w:tr>
    </w:tbl>
    <w:p>
      <w:pPr>
        <w:bidi/>
        <w:jc w:val="both"/>
        <w:rPr>
          <w:rtl/>
        </w:rPr>
      </w:pPr>
      <w:r>
        <w:rPr>
          <w:rtl/>
          <w:rFonts w:cs="Arial"/>
          <w:lang w:bidi="he-IL"/>
        </w:rPr>
        <w:t>(כל הערכים מ-</w:t>
      </w:r>
      <w:r>
        <w:rPr>
          <w:rFonts w:ascii="Courier New" w:hAnsi="Courier New" w:cs="Arial"/>
          <w:color w:val="800000"/>
          <w:rtl/>
          <w:lang w:bidi="he-IL"/>
        </w:rPr>
        <w:t>severity_by_well_family.csv</w:t>
      </w:r>
      <w:r>
        <w:rPr>
          <w:rtl/>
          <w:rFonts w:cs="Arial"/>
          <w:lang w:bidi="he-IL"/>
        </w:rPr>
        <w:t xml:space="preserve">.) </w:t>
      </w:r>
      <w:r>
        <w:rPr>
          <w:b/>
          <w:rtl/>
          <w:rFonts w:cs="Arial"/>
          <w:lang w:bidi="he-IL"/>
        </w:rPr>
        <w:t>הממצא הבולט הוא חריגת הכרום בנת חולון 26</w:t>
      </w:r>
      <w:r>
        <w:rPr>
          <w:rtl/>
          <w:rFonts w:cs="Arial"/>
          <w:lang w:bidi="he-IL"/>
        </w:rPr>
        <w:t xml:space="preserve"> — 4,036 µg/L, גבוה פי כ-12 מהקידוח השני בריכוז כרום באזור (נת חולון 14, כ-333 µg/L; עוגן F6_001). חתימה זו — כרום ללא ניקל מקביל — מצביעה על מקור כרום ספציפי (פסיוואציה / conversion coating או בור ספיגה היסטורי), ולא על ציפוי גלוואני שגרתי בו מצופה זוג Cr+Ni. הקידוח נמדד 3 פעמים בלבד (2022–2023) ולא נדגם מאז (כ-39 חודשי שתיקה; עוגן S4_005). אין סיווג Cr(VI) מול Cr(III) — קריטי לקביעת רעילות וניידות.</w:t>
      </w:r>
    </w:p>
    <w:p>
      <w:pPr>
        <w:bidi/>
        <w:jc w:val="both"/>
        <w:rPr>
          <w:rtl/>
        </w:rPr>
      </w:pPr>
      <w:r>
        <w:rPr>
          <w:b/>
          <w:rtl/>
          <w:rFonts w:cs="Arial"/>
          <w:lang w:bidi="he-IL"/>
        </w:rPr>
        <w:t>אזהרת ארטיפקט אנליטי</w:t>
      </w:r>
      <w:r>
        <w:rPr>
          <w:rtl/>
          <w:rFonts w:cs="Arial"/>
          <w:lang w:bidi="he-IL"/>
        </w:rPr>
        <w:t>: בנת חולון 22 נמדד מנגן בריכוז 8,730 µg/L (11/2022) שירד ל-1,520 µg/L תוך שלושה חודשים (02/2023), ואלומיניום ירד במקביל מ-4,100 ל-90 µg/L. שינוי בסדר גודל כזה אינו פיזי-סביר, ומיוחס בסבירות גבוהה להבדל סינון/אי-סינון של הדגימה (עוגן F6_004). הערך הנמוך והמסונן (1,520 µg/L Mn, עדיין כ-760% מהתקן) הוא המהימן יותר. אין להציג את ערך השיא כמייצג ריכוז מתכות מסיסות.</w:t>
      </w:r>
    </w:p>
    <w:p>
      <w:pPr>
        <w:bidi/>
        <w:jc w:val="both"/>
        <w:rPr>
          <w:rtl/>
        </w:rPr>
      </w:pPr>
      <w:r>
        <w:rPr>
          <w:b/>
          <w:rtl/>
          <w:rFonts w:cs="Arial"/>
          <w:lang w:bidi="he-IL"/>
        </w:rPr>
        <w:t>מגמות מובהקות</w:t>
      </w:r>
      <w:r>
        <w:rPr>
          <w:rtl/>
          <w:rFonts w:cs="Arial"/>
          <w:lang w:bidi="he-IL"/>
        </w:rPr>
        <w:t>: בנת חולון 14 נמדדה מגמת עלייה בכרום ברשומה המלאה (Z=1.87, p=0.062; עוגן S2_002), בגבול המובהקות, טרם הפסקת ניטור הכרום — ייתכן ציר כרום פעיל בכיוון נת חולון 14 → 26.</w:t>
      </w:r>
    </w:p>
    <w:p>
      <w:pPr>
        <w:bidi/>
        <w:jc w:val="both"/>
        <w:rPr>
          <w:rtl/>
        </w:rPr>
      </w:pPr>
      <w:r>
        <w:rPr>
          <w:b/>
          <w:rtl/>
          <w:rFonts w:cs="Arial"/>
          <w:lang w:bidi="he-IL"/>
        </w:rPr>
        <w:t>מקורות אפשריים</w:t>
      </w:r>
      <w:r>
        <w:rPr>
          <w:rtl/>
          <w:rFonts w:cs="Arial"/>
          <w:lang w:bidi="he-IL"/>
        </w:rPr>
        <w:t>: רימטל/ארן-מטל (Ni/Al/Fe/Pb) — HIGH, עם תיעוד שיקום מוצלח (ראו להלן); תרשיש, אמקור פליז, סופר כרום (Cr) — HIGH/MEDIUM; מקור כרום נקודתי לנת חולון 26 — LOW (בלתי-מזוהה).</w:t>
      </w:r>
    </w:p>
    <w:p>
      <w:pPr>
        <w:bidi/>
        <w:jc w:val="both"/>
        <w:rPr>
          <w:rtl/>
        </w:rPr>
      </w:pPr>
      <w:r>
        <w:rPr>
          <w:b/>
          <w:rtl/>
          <w:rFonts w:cs="Arial"/>
          <w:lang w:bidi="he-IL"/>
        </w:rPr>
        <w:t>הצלחת שיקום מתועדת — רימטל</w:t>
      </w:r>
      <w:r>
        <w:rPr>
          <w:rtl/>
          <w:rFonts w:cs="Arial"/>
          <w:lang w:bidi="he-IL"/>
        </w:rPr>
        <w:t>: במתחם רימטל/ארן-מטל (רחוב המנור 54, כ-2 ק"מ דרומית למתחם המרכזי) תיעד אקולוג 2009 עלייה היסטורית בניקל (מ-0.6 mg/L ב-2005 ל-2.0 mg/L ב-2008; היסטורי 2009, עמ' 1). במדידת 2023 ירד הניקל בקידוח החצר ל-13.8 µg/L (69% מהתקן) — ירידה של פי כ-57, המעידה שאמצעי השיקום (סגירת בור ספיגה, ניקוי קרקע) הצליחו. זהו ממצא חיובי ראוי לציון כמודל. עם זאת, סטרונציום באותם קידוחים עלה (כ-311 → 625 µg/L לאורך כ-8 שנים; עוגן S3_005), חתימה כימית שונה הדורשת בירור.</w:t>
      </w:r>
    </w:p>
    <w:p>
      <w:pPr>
        <w:bidi/>
        <w:jc w:val="both"/>
        <w:rPr>
          <w:rtl/>
        </w:rPr>
      </w:pPr>
      <w:r>
        <w:rPr>
          <w:rtl/>
          <w:rFonts w:cs="Arial"/>
          <w:lang w:bidi="he-IL"/>
        </w:rPr>
        <w:t>![](Holon/charts/fig_04_metals_panels.png)</w:t>
      </w:r>
    </w:p>
    <w:p>
      <w:pPr>
        <w:bidi/>
        <w:jc w:val="both"/>
        <w:rPr>
          <w:rtl/>
        </w:rPr>
      </w:pPr>
      <w:r>
        <w:rPr>
          <w:b/>
          <w:rtl/>
          <w:rFonts w:cs="Arial"/>
          <w:lang w:bidi="he-IL"/>
        </w:rPr>
        <w:t>איור 3</w:t>
      </w:r>
      <w:r>
        <w:rPr>
          <w:rtl/>
          <w:rFonts w:cs="Arial"/>
          <w:lang w:bidi="he-IL"/>
        </w:rPr>
        <w:t>: ריכוזי כרום ומנגן (אחוז מהתקן) בקידוחי המתכות המובילים — נת חולון 26 (כרום), נת חולון 22 (מנגן, עם הערת ארטיפקט הסינון), ונת חולון 14 (כרום במגמת עלייה).</w:t>
      </w:r>
    </w:p>
    <w:p/>
    <w:p>
      <w:pPr>
        <w:bidi/>
        <w:pStyle w:val="Heading3"/>
        <w:jc w:val="both"/>
        <w:rPr>
          <w:rtl/>
        </w:rPr>
      </w:pPr>
      <w:r>
        <w:rPr>
          <w:rtl/>
          <w:rFonts w:cs="Arial"/>
          <w:lang w:bidi="he-IL"/>
        </w:rPr>
        <w:t>3.3 PFAS — פער כיסוי</w:t>
      </w:r>
    </w:p>
    <w:p>
      <w:pPr>
        <w:bidi/>
        <w:jc w:val="both"/>
        <w:rPr>
          <w:rtl/>
        </w:rPr>
      </w:pPr>
      <w:r>
        <w:rPr>
          <w:rtl/>
          <w:rFonts w:cs="Arial"/>
          <w:lang w:bidi="he-IL"/>
        </w:rPr>
        <w:t>משפחת ה-PFAS אינה מציגה זיהום בנתונים (אינדקס מירבי = 0), אך זאת משום שנדגמה ב-</w:t>
      </w:r>
      <w:r>
        <w:rPr>
          <w:b/>
          <w:rtl/>
          <w:rFonts w:cs="Arial"/>
          <w:lang w:bidi="he-IL"/>
        </w:rPr>
        <w:t>4 קידוחים בלבד מתוך 111</w:t>
      </w:r>
      <w:r>
        <w:rPr>
          <w:rtl/>
          <w:rFonts w:cs="Arial"/>
          <w:lang w:bidi="he-IL"/>
        </w:rPr>
        <w:t xml:space="preserve"> (כיסוי כ-3.6%): מק חולון 12, מק חולון 14, נד דלק הצבי 1 ונד דלק הצבי 2, וכל המדידות הראו אפס (</w:t>
      </w:r>
      <w:r>
        <w:rPr>
          <w:rFonts w:ascii="Courier New" w:hAnsi="Courier New" w:cs="Arial"/>
          <w:color w:val="800000"/>
          <w:rtl/>
          <w:lang w:bidi="he-IL"/>
        </w:rPr>
        <w:t>severity_by_well_family.csv</w:t>
      </w:r>
      <w:r>
        <w:rPr>
          <w:rtl/>
          <w:rFonts w:cs="Arial"/>
          <w:lang w:bidi="he-IL"/>
        </w:rPr>
        <w:t xml:space="preserve">; עוגן S9_001). </w:t>
      </w:r>
      <w:r>
        <w:rPr>
          <w:b/>
          <w:rtl/>
          <w:rFonts w:cs="Arial"/>
          <w:lang w:bidi="he-IL"/>
        </w:rPr>
        <w:t>משמעות הממצא היא פער מחקר, לא היעדר זיהום</w:t>
      </w:r>
      <w:r>
        <w:rPr>
          <w:rtl/>
          <w:rFonts w:cs="Arial"/>
          <w:lang w:bidi="he-IL"/>
        </w:rPr>
        <w:t>: דיווח ND ב-4 קידוחים אינו אישור היעדר PFAS באזור.</w:t>
      </w:r>
    </w:p>
    <w:p>
      <w:pPr>
        <w:bidi/>
        <w:jc w:val="both"/>
        <w:rPr>
          <w:rtl/>
        </w:rPr>
      </w:pPr>
      <w:r>
        <w:rPr>
          <w:rtl/>
          <w:rFonts w:cs="Arial"/>
          <w:lang w:bidi="he-IL"/>
        </w:rPr>
        <w:t xml:space="preserve">הקידוחים בעלי פוטנציאל ה-PFAS הגבוה ביותר כלל לא נדגמו: מתחם מרכבות האש (9 קידוחים) — מתחם תדלוק כבד בו סביר היה שימוש בקצף כיבוי-אש מסוג AFFF (מבוסס PFOS) לאורך עשרות שנים; מתחם חניון אגד (18+ קידוחים) — מתקני תדלוק כבדים פעילים; ואשכול הקידוחים התעשייתי — בו שימש PFOS היסטורית כמדכא-ערפל בציפוי כרום עד כ-2010. </w:t>
      </w:r>
      <w:r>
        <w:rPr>
          <w:b/>
          <w:rtl/>
          <w:rFonts w:cs="Arial"/>
          <w:lang w:bidi="he-IL"/>
        </w:rPr>
        <w:t>המסקנה</w:t>
      </w:r>
      <w:r>
        <w:rPr>
          <w:rtl/>
          <w:rFonts w:cs="Arial"/>
          <w:lang w:bidi="he-IL"/>
        </w:rPr>
        <w:t>: ארבעת הקידוחים שנדגמו אינם יעד-סבירות-גבוה למצוא PFAS; היעדר הזיהוי משקף "אי-בחינה" ולא "אי-זיהום". נדרש קמפיין דיגום ממוקד (ראו סעיף 6).</w:t>
      </w:r>
    </w:p>
    <w:p>
      <w:pPr>
        <w:bidi/>
        <w:pStyle w:val="Heading3"/>
        <w:jc w:val="both"/>
        <w:rPr>
          <w:rtl/>
        </w:rPr>
      </w:pPr>
      <w:r>
        <w:rPr>
          <w:rtl/>
          <w:rFonts w:cs="Arial"/>
          <w:lang w:bidi="he-IL"/>
        </w:rPr>
        <w:t>3.4 דלקים (FUEL)</w:t>
      </w:r>
    </w:p>
    <w:p>
      <w:pPr>
        <w:bidi/>
        <w:jc w:val="both"/>
        <w:rPr>
          <w:rtl/>
        </w:rPr>
      </w:pPr>
      <w:r>
        <w:rPr>
          <w:rtl/>
          <w:rFonts w:cs="Arial"/>
          <w:lang w:bidi="he-IL"/>
        </w:rPr>
        <w:t xml:space="preserve">משפחת הדלקים היא הרחבה ביותר מבחינת מספר הקידוחים החורגים (מעל 30 קידוחי דלק בקטגוריה 8; </w:t>
      </w:r>
      <w:r>
        <w:rPr>
          <w:rFonts w:ascii="Courier New" w:hAnsi="Courier New" w:cs="Arial"/>
          <w:color w:val="800000"/>
          <w:rtl/>
          <w:lang w:bidi="he-IL"/>
        </w:rPr>
        <w:t>severity_by_well_family.csv</w:t>
      </w:r>
      <w:r>
        <w:rPr>
          <w:rtl/>
          <w:rFonts w:cs="Arial"/>
          <w:lang w:bidi="he-IL"/>
        </w:rPr>
        <w:t>), ומרוכזת בשני מתחמים עיקריים: חניון אגד ומתחם מרכבות האש. הקידוחים המובילים:</w:t>
      </w:r>
    </w:p>
    <w:tbl>
      <w:tblPr>
        <w:tblStyle w:val="LightGrid-Accent1"/>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both"/>
              <w:rPr>
                <w:rtl/>
              </w:rPr>
            </w:pPr>
            <w:r>
              <w:rPr>
                <w:b/>
                <w:rtl/>
                <w:rFonts w:cs="Arial"/>
                <w:lang w:bidi="he-IL"/>
              </w:rPr>
            </w:r>
            <w:r>
              <w:rPr>
                <w:b/>
                <w:rtl/>
                <w:rFonts w:cs="Arial"/>
                <w:lang w:bidi="he-IL"/>
              </w:rPr>
              <w:t>קידוח</w:t>
            </w:r>
          </w:p>
        </w:tc>
        <w:tc>
          <w:tcPr>
            <w:tcW w:type="dxa" w:w="1440"/>
          </w:tcPr>
          <w:p>
            <w:pPr>
              <w:bidi/>
              <w:jc w:val="both"/>
              <w:rPr>
                <w:rtl/>
              </w:rPr>
            </w:pPr>
            <w:r>
              <w:rPr>
                <w:b/>
                <w:rtl/>
                <w:rFonts w:cs="Arial"/>
                <w:lang w:bidi="he-IL"/>
              </w:rPr>
            </w:r>
            <w:r>
              <w:rPr>
                <w:b/>
                <w:rtl/>
                <w:rFonts w:cs="Arial"/>
                <w:lang w:bidi="he-IL"/>
              </w:rPr>
              <w:t>מזהם מוביל</w:t>
            </w:r>
          </w:p>
        </w:tc>
        <w:tc>
          <w:tcPr>
            <w:tcW w:type="dxa" w:w="1440"/>
          </w:tcPr>
          <w:p>
            <w:pPr>
              <w:bidi/>
              <w:jc w:val="both"/>
              <w:rPr>
                <w:rtl/>
              </w:rPr>
            </w:pPr>
            <w:r>
              <w:rPr>
                <w:b/>
                <w:rtl/>
                <w:rFonts w:cs="Arial"/>
                <w:lang w:bidi="he-IL"/>
              </w:rPr>
            </w:r>
            <w:r>
              <w:rPr>
                <w:b/>
                <w:rtl/>
                <w:rFonts w:cs="Arial"/>
                <w:lang w:bidi="he-IL"/>
              </w:rPr>
              <w:t>C_max (5 שנים)</w:t>
            </w:r>
          </w:p>
        </w:tc>
        <w:tc>
          <w:tcPr>
            <w:tcW w:type="dxa" w:w="1440"/>
          </w:tcPr>
          <w:p>
            <w:pPr>
              <w:bidi/>
              <w:jc w:val="both"/>
              <w:rPr>
                <w:rtl/>
              </w:rPr>
            </w:pPr>
            <w:r>
              <w:rPr>
                <w:b/>
                <w:rtl/>
                <w:rFonts w:cs="Arial"/>
                <w:lang w:bidi="he-IL"/>
              </w:rPr>
            </w:r>
            <w:r>
              <w:rPr>
                <w:b/>
                <w:rtl/>
                <w:rFonts w:cs="Arial"/>
                <w:lang w:bidi="he-IL"/>
              </w:rPr>
              <w:t>אחוז תקן</w:t>
            </w:r>
          </w:p>
        </w:tc>
        <w:tc>
          <w:tcPr>
            <w:tcW w:type="dxa" w:w="1440"/>
          </w:tcPr>
          <w:p>
            <w:pPr>
              <w:bidi/>
              <w:jc w:val="both"/>
              <w:rPr>
                <w:rtl/>
              </w:rPr>
            </w:pPr>
            <w:r>
              <w:rPr>
                <w:b/>
                <w:rtl/>
                <w:rFonts w:cs="Arial"/>
                <w:lang w:bidi="he-IL"/>
              </w:rPr>
            </w:r>
            <w:r>
              <w:rPr>
                <w:b/>
                <w:rtl/>
                <w:rFonts w:cs="Arial"/>
                <w:lang w:bidi="he-IL"/>
              </w:rPr>
              <w:t>תאריך</w:t>
            </w:r>
          </w:p>
        </w:tc>
        <w:tc>
          <w:tcPr>
            <w:tcW w:type="dxa" w:w="1440"/>
          </w:tcPr>
          <w:p>
            <w:pPr>
              <w:bidi/>
              <w:jc w:val="both"/>
              <w:rPr>
                <w:rtl/>
              </w:rPr>
            </w:pPr>
            <w:r>
              <w:rPr>
                <w:b/>
                <w:rtl/>
                <w:rFonts w:cs="Arial"/>
                <w:lang w:bidi="he-IL"/>
              </w:rPr>
            </w:r>
            <w:r>
              <w:rPr>
                <w:b/>
                <w:rtl/>
                <w:rFonts w:cs="Arial"/>
                <w:lang w:bidi="he-IL"/>
              </w:rPr>
              <w:t>אינדקס</w:t>
            </w:r>
          </w:p>
        </w:tc>
      </w:tr>
      <w:tr>
        <w:tc>
          <w:tcPr>
            <w:tcW w:type="dxa" w:w="1440"/>
          </w:tcPr>
          <w:p>
            <w:pPr>
              <w:bidi/>
              <w:jc w:val="both"/>
              <w:rPr>
                <w:rtl/>
              </w:rPr>
            </w:pPr>
            <w:r>
              <w:rPr>
                <w:rtl/>
                <w:rFonts w:cs="Arial"/>
                <w:lang w:bidi="he-IL"/>
              </w:rPr>
            </w:r>
            <w:r>
              <w:rPr>
                <w:rtl/>
                <w:rFonts w:cs="Arial"/>
                <w:lang w:bidi="he-IL"/>
              </w:rPr>
              <w:t>נד אגד אזור 1</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46,000 µg/L</w:t>
            </w:r>
          </w:p>
        </w:tc>
        <w:tc>
          <w:tcPr>
            <w:tcW w:type="dxa" w:w="1440"/>
          </w:tcPr>
          <w:p>
            <w:pPr>
              <w:bidi/>
              <w:jc w:val="both"/>
              <w:rPr>
                <w:rtl/>
              </w:rPr>
            </w:pPr>
            <w:r>
              <w:rPr>
                <w:rtl/>
                <w:rFonts w:cs="Arial"/>
                <w:lang w:bidi="he-IL"/>
              </w:rPr>
            </w:r>
            <w:r>
              <w:rPr>
                <w:rtl/>
                <w:rFonts w:cs="Arial"/>
                <w:lang w:bidi="he-IL"/>
              </w:rPr>
              <w:t>115,000%</w:t>
            </w:r>
          </w:p>
        </w:tc>
        <w:tc>
          <w:tcPr>
            <w:tcW w:type="dxa" w:w="1440"/>
          </w:tcPr>
          <w:p>
            <w:pPr>
              <w:bidi/>
              <w:jc w:val="both"/>
              <w:rPr>
                <w:rtl/>
              </w:rPr>
            </w:pPr>
            <w:r>
              <w:rPr>
                <w:rtl/>
                <w:rFonts w:cs="Arial"/>
                <w:lang w:bidi="he-IL"/>
              </w:rPr>
            </w:r>
            <w:r>
              <w:rPr>
                <w:rtl/>
                <w:rFonts w:cs="Arial"/>
                <w:lang w:bidi="he-IL"/>
              </w:rPr>
              <w:t>04/2021</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אגד אזור 6</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16,600 µg/L</w:t>
            </w:r>
          </w:p>
        </w:tc>
        <w:tc>
          <w:tcPr>
            <w:tcW w:type="dxa" w:w="1440"/>
          </w:tcPr>
          <w:p>
            <w:pPr>
              <w:bidi/>
              <w:jc w:val="both"/>
              <w:rPr>
                <w:rtl/>
              </w:rPr>
            </w:pPr>
            <w:r>
              <w:rPr>
                <w:rtl/>
                <w:rFonts w:cs="Arial"/>
                <w:lang w:bidi="he-IL"/>
              </w:rPr>
            </w:r>
            <w:r>
              <w:rPr>
                <w:rtl/>
                <w:rFonts w:cs="Arial"/>
                <w:lang w:bidi="he-IL"/>
              </w:rPr>
              <w:t>41,500%</w:t>
            </w:r>
          </w:p>
        </w:tc>
        <w:tc>
          <w:tcPr>
            <w:tcW w:type="dxa" w:w="1440"/>
          </w:tcPr>
          <w:p>
            <w:pPr>
              <w:bidi/>
              <w:jc w:val="both"/>
              <w:rPr>
                <w:rtl/>
              </w:rPr>
            </w:pPr>
            <w:r>
              <w:rPr>
                <w:rtl/>
                <w:rFonts w:cs="Arial"/>
                <w:lang w:bidi="he-IL"/>
              </w:rPr>
            </w:r>
            <w:r>
              <w:rPr>
                <w:rtl/>
                <w:rFonts w:cs="Arial"/>
                <w:lang w:bidi="he-IL"/>
              </w:rPr>
              <w:t>01/2024</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אגד אזור 12</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13,700 µg/L</w:t>
            </w:r>
          </w:p>
        </w:tc>
        <w:tc>
          <w:tcPr>
            <w:tcW w:type="dxa" w:w="1440"/>
          </w:tcPr>
          <w:p>
            <w:pPr>
              <w:bidi/>
              <w:jc w:val="both"/>
              <w:rPr>
                <w:rtl/>
              </w:rPr>
            </w:pPr>
            <w:r>
              <w:rPr>
                <w:rtl/>
                <w:rFonts w:cs="Arial"/>
                <w:lang w:bidi="he-IL"/>
              </w:rPr>
            </w:r>
            <w:r>
              <w:rPr>
                <w:rtl/>
                <w:rFonts w:cs="Arial"/>
                <w:lang w:bidi="he-IL"/>
              </w:rPr>
              <w:t>34,250%</w:t>
            </w:r>
          </w:p>
        </w:tc>
        <w:tc>
          <w:tcPr>
            <w:tcW w:type="dxa" w:w="1440"/>
          </w:tcPr>
          <w:p>
            <w:pPr>
              <w:bidi/>
              <w:jc w:val="both"/>
              <w:rPr>
                <w:rtl/>
              </w:rPr>
            </w:pPr>
            <w:r>
              <w:rPr>
                <w:rtl/>
                <w:rFonts w:cs="Arial"/>
                <w:lang w:bidi="he-IL"/>
              </w:rPr>
            </w:r>
            <w:r>
              <w:rPr>
                <w:rtl/>
                <w:rFonts w:cs="Arial"/>
                <w:lang w:bidi="he-IL"/>
              </w:rPr>
              <w:t>08/2022</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דלק מרכבות האש 1</w:t>
            </w:r>
          </w:p>
        </w:tc>
        <w:tc>
          <w:tcPr>
            <w:tcW w:type="dxa" w:w="1440"/>
          </w:tcPr>
          <w:p>
            <w:pPr>
              <w:bidi/>
              <w:jc w:val="both"/>
              <w:rPr>
                <w:rtl/>
              </w:rPr>
            </w:pPr>
            <w:r>
              <w:rPr>
                <w:rtl/>
                <w:rFonts w:cs="Arial"/>
                <w:lang w:bidi="he-IL"/>
              </w:rPr>
            </w:r>
            <w:r>
              <w:rPr>
                <w:rtl/>
                <w:rFonts w:cs="Arial"/>
                <w:lang w:bidi="he-IL"/>
              </w:rPr>
              <w:t>MTBE</w:t>
            </w:r>
          </w:p>
        </w:tc>
        <w:tc>
          <w:tcPr>
            <w:tcW w:type="dxa" w:w="1440"/>
          </w:tcPr>
          <w:p>
            <w:pPr>
              <w:bidi/>
              <w:jc w:val="both"/>
              <w:rPr>
                <w:rtl/>
              </w:rPr>
            </w:pPr>
            <w:r>
              <w:rPr>
                <w:rtl/>
                <w:rFonts w:cs="Arial"/>
                <w:lang w:bidi="he-IL"/>
              </w:rPr>
            </w:r>
            <w:r>
              <w:rPr>
                <w:rtl/>
                <w:rFonts w:cs="Arial"/>
                <w:lang w:bidi="he-IL"/>
              </w:rPr>
              <w:t>7,380 µg/L</w:t>
            </w:r>
          </w:p>
        </w:tc>
        <w:tc>
          <w:tcPr>
            <w:tcW w:type="dxa" w:w="1440"/>
          </w:tcPr>
          <w:p>
            <w:pPr>
              <w:bidi/>
              <w:jc w:val="both"/>
              <w:rPr>
                <w:rtl/>
              </w:rPr>
            </w:pPr>
            <w:r>
              <w:rPr>
                <w:rtl/>
                <w:rFonts w:cs="Arial"/>
                <w:lang w:bidi="he-IL"/>
              </w:rPr>
            </w:r>
            <w:r>
              <w:rPr>
                <w:rtl/>
                <w:rFonts w:cs="Arial"/>
                <w:lang w:bidi="he-IL"/>
              </w:rPr>
              <w:t>18,450%</w:t>
            </w:r>
          </w:p>
        </w:tc>
        <w:tc>
          <w:tcPr>
            <w:tcW w:type="dxa" w:w="1440"/>
          </w:tcPr>
          <w:p>
            <w:pPr>
              <w:bidi/>
              <w:jc w:val="both"/>
              <w:rPr>
                <w:rtl/>
              </w:rPr>
            </w:pPr>
            <w:r>
              <w:rPr>
                <w:rtl/>
                <w:rFonts w:cs="Arial"/>
                <w:lang w:bidi="he-IL"/>
              </w:rPr>
            </w:r>
            <w:r>
              <w:rPr>
                <w:rtl/>
                <w:rFonts w:cs="Arial"/>
                <w:lang w:bidi="he-IL"/>
              </w:rPr>
              <w:t>03/2023</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פז צבר 1</w:t>
            </w:r>
          </w:p>
        </w:tc>
        <w:tc>
          <w:tcPr>
            <w:tcW w:type="dxa" w:w="1440"/>
          </w:tcPr>
          <w:p>
            <w:pPr>
              <w:bidi/>
              <w:jc w:val="both"/>
              <w:rPr>
                <w:rtl/>
              </w:rPr>
            </w:pPr>
            <w:r>
              <w:rPr>
                <w:rtl/>
                <w:rFonts w:cs="Arial"/>
                <w:lang w:bidi="he-IL"/>
              </w:rPr>
            </w:r>
            <w:r>
              <w:rPr>
                <w:rtl/>
                <w:rFonts w:cs="Arial"/>
                <w:lang w:bidi="he-IL"/>
              </w:rPr>
              <w:t>Benzene</w:t>
            </w:r>
          </w:p>
        </w:tc>
        <w:tc>
          <w:tcPr>
            <w:tcW w:type="dxa" w:w="1440"/>
          </w:tcPr>
          <w:p>
            <w:pPr>
              <w:bidi/>
              <w:jc w:val="both"/>
              <w:rPr>
                <w:rtl/>
              </w:rPr>
            </w:pPr>
            <w:r>
              <w:rPr>
                <w:rtl/>
                <w:rFonts w:cs="Arial"/>
                <w:lang w:bidi="he-IL"/>
              </w:rPr>
            </w:r>
            <w:r>
              <w:rPr>
                <w:rtl/>
                <w:rFonts w:cs="Arial"/>
                <w:lang w:bidi="he-IL"/>
              </w:rPr>
              <w:t>743 µg/L</w:t>
            </w:r>
          </w:p>
        </w:tc>
        <w:tc>
          <w:tcPr>
            <w:tcW w:type="dxa" w:w="1440"/>
          </w:tcPr>
          <w:p>
            <w:pPr>
              <w:bidi/>
              <w:jc w:val="both"/>
              <w:rPr>
                <w:rtl/>
              </w:rPr>
            </w:pPr>
            <w:r>
              <w:rPr>
                <w:rtl/>
                <w:rFonts w:cs="Arial"/>
                <w:lang w:bidi="he-IL"/>
              </w:rPr>
            </w:r>
            <w:r>
              <w:rPr>
                <w:rtl/>
                <w:rFonts w:cs="Arial"/>
                <w:lang w:bidi="he-IL"/>
              </w:rPr>
              <w:t>14,860%</w:t>
            </w:r>
          </w:p>
        </w:tc>
        <w:tc>
          <w:tcPr>
            <w:tcW w:type="dxa" w:w="1440"/>
          </w:tcPr>
          <w:p>
            <w:pPr>
              <w:bidi/>
              <w:jc w:val="both"/>
              <w:rPr>
                <w:rtl/>
              </w:rPr>
            </w:pPr>
            <w:r>
              <w:rPr>
                <w:rtl/>
                <w:rFonts w:cs="Arial"/>
                <w:lang w:bidi="he-IL"/>
              </w:rPr>
            </w:r>
            <w:r>
              <w:rPr>
                <w:rtl/>
                <w:rFonts w:cs="Arial"/>
                <w:lang w:bidi="he-IL"/>
              </w:rPr>
              <w:t>02/2022</w:t>
            </w:r>
          </w:p>
        </w:tc>
        <w:tc>
          <w:tcPr>
            <w:tcW w:type="dxa" w:w="1440"/>
          </w:tcPr>
          <w:p>
            <w:pPr>
              <w:bidi/>
              <w:jc w:val="both"/>
              <w:rPr>
                <w:rtl/>
              </w:rPr>
            </w:pPr>
            <w:r>
              <w:rPr>
                <w:rtl/>
                <w:rFonts w:cs="Arial"/>
                <w:lang w:bidi="he-IL"/>
              </w:rPr>
            </w:r>
            <w:r>
              <w:rPr>
                <w:rtl/>
                <w:rFonts w:cs="Arial"/>
                <w:lang w:bidi="he-IL"/>
              </w:rPr>
              <w:t>8</w:t>
            </w:r>
          </w:p>
        </w:tc>
      </w:tr>
      <w:tr>
        <w:tc>
          <w:tcPr>
            <w:tcW w:type="dxa" w:w="1440"/>
          </w:tcPr>
          <w:p>
            <w:pPr>
              <w:bidi/>
              <w:jc w:val="both"/>
              <w:rPr>
                <w:rtl/>
              </w:rPr>
            </w:pPr>
            <w:r>
              <w:rPr>
                <w:rtl/>
                <w:rFonts w:cs="Arial"/>
                <w:lang w:bidi="he-IL"/>
              </w:rPr>
            </w:r>
            <w:r>
              <w:rPr>
                <w:rtl/>
                <w:rFonts w:cs="Arial"/>
                <w:lang w:bidi="he-IL"/>
              </w:rPr>
              <w:t>נד אגד אזור 15</w:t>
            </w:r>
          </w:p>
        </w:tc>
        <w:tc>
          <w:tcPr>
            <w:tcW w:type="dxa" w:w="1440"/>
          </w:tcPr>
          <w:p>
            <w:pPr>
              <w:bidi/>
              <w:jc w:val="both"/>
              <w:rPr>
                <w:rtl/>
              </w:rPr>
            </w:pPr>
            <w:r>
              <w:rPr>
                <w:rtl/>
                <w:rFonts w:cs="Arial"/>
                <w:lang w:bidi="he-IL"/>
              </w:rPr>
            </w:r>
            <w:r>
              <w:rPr>
                <w:rtl/>
                <w:rFonts w:cs="Arial"/>
                <w:lang w:bidi="he-IL"/>
              </w:rPr>
              <w:t>Toluene</w:t>
            </w:r>
          </w:p>
        </w:tc>
        <w:tc>
          <w:tcPr>
            <w:tcW w:type="dxa" w:w="1440"/>
          </w:tcPr>
          <w:p>
            <w:pPr>
              <w:bidi/>
              <w:jc w:val="both"/>
              <w:rPr>
                <w:rtl/>
              </w:rPr>
            </w:pPr>
            <w:r>
              <w:rPr>
                <w:rtl/>
                <w:rFonts w:cs="Arial"/>
                <w:lang w:bidi="he-IL"/>
              </w:rPr>
            </w:r>
            <w:r>
              <w:rPr>
                <w:rtl/>
                <w:rFonts w:cs="Arial"/>
                <w:lang w:bidi="he-IL"/>
              </w:rPr>
              <w:t>8,630 µg/L</w:t>
            </w:r>
          </w:p>
        </w:tc>
        <w:tc>
          <w:tcPr>
            <w:tcW w:type="dxa" w:w="1440"/>
          </w:tcPr>
          <w:p>
            <w:pPr>
              <w:bidi/>
              <w:jc w:val="both"/>
              <w:rPr>
                <w:rtl/>
              </w:rPr>
            </w:pPr>
            <w:r>
              <w:rPr>
                <w:rtl/>
                <w:rFonts w:cs="Arial"/>
                <w:lang w:bidi="he-IL"/>
              </w:rPr>
            </w:r>
            <w:r>
              <w:rPr>
                <w:rtl/>
                <w:rFonts w:cs="Arial"/>
                <w:lang w:bidi="he-IL"/>
              </w:rPr>
              <w:t>1,233%</w:t>
            </w:r>
          </w:p>
        </w:tc>
        <w:tc>
          <w:tcPr>
            <w:tcW w:type="dxa" w:w="1440"/>
          </w:tcPr>
          <w:p>
            <w:pPr>
              <w:bidi/>
              <w:jc w:val="both"/>
              <w:rPr>
                <w:rtl/>
              </w:rPr>
            </w:pPr>
            <w:r>
              <w:rPr>
                <w:rtl/>
                <w:rFonts w:cs="Arial"/>
                <w:lang w:bidi="he-IL"/>
              </w:rPr>
            </w:r>
            <w:r>
              <w:rPr>
                <w:rtl/>
                <w:rFonts w:cs="Arial"/>
                <w:lang w:bidi="he-IL"/>
              </w:rPr>
              <w:t>02/2024</w:t>
            </w:r>
          </w:p>
        </w:tc>
        <w:tc>
          <w:tcPr>
            <w:tcW w:type="dxa" w:w="1440"/>
          </w:tcPr>
          <w:p>
            <w:pPr>
              <w:bidi/>
              <w:jc w:val="both"/>
              <w:rPr>
                <w:rtl/>
              </w:rPr>
            </w:pPr>
            <w:r>
              <w:rPr>
                <w:rtl/>
                <w:rFonts w:cs="Arial"/>
                <w:lang w:bidi="he-IL"/>
              </w:rPr>
            </w:r>
            <w:r>
              <w:rPr>
                <w:rtl/>
                <w:rFonts w:cs="Arial"/>
                <w:lang w:bidi="he-IL"/>
              </w:rPr>
              <w:t>8</w:t>
            </w:r>
          </w:p>
        </w:tc>
      </w:tr>
    </w:tbl>
    <w:p>
      <w:pPr>
        <w:bidi/>
        <w:jc w:val="both"/>
        <w:rPr>
          <w:rtl/>
        </w:rPr>
      </w:pPr>
      <w:r>
        <w:rPr>
          <w:rtl/>
          <w:rFonts w:cs="Arial"/>
          <w:lang w:bidi="he-IL"/>
        </w:rPr>
        <w:t>(כל הערכים מ-</w:t>
      </w:r>
      <w:r>
        <w:rPr>
          <w:rFonts w:ascii="Courier New" w:hAnsi="Courier New" w:cs="Arial"/>
          <w:color w:val="800000"/>
          <w:rtl/>
          <w:lang w:bidi="he-IL"/>
        </w:rPr>
        <w:t>severity_by_well_family.csv</w:t>
      </w:r>
      <w:r>
        <w:rPr>
          <w:rtl/>
          <w:rFonts w:cs="Arial"/>
          <w:lang w:bidi="he-IL"/>
        </w:rPr>
        <w:t xml:space="preserve">.) </w:t>
      </w:r>
      <w:r>
        <w:rPr>
          <w:b/>
          <w:rtl/>
          <w:rFonts w:cs="Arial"/>
          <w:lang w:bidi="he-IL"/>
        </w:rPr>
        <w:t>מתחם חניון אגד</w:t>
      </w:r>
      <w:r>
        <w:rPr>
          <w:rtl/>
          <w:rFonts w:cs="Arial"/>
          <w:lang w:bidi="he-IL"/>
        </w:rPr>
        <w:t xml:space="preserve"> מציג ריכוזי דלק קיצוניים — בנד אגד אזור 1 נמדד Benzene עד כ-85,000% מהתקן ו-MTBE עד 115,000% מהתקן (עוגנים S6_001, S5_001), ריכוזים המעידים על נוכחות מוצר חופשי (LNAPL) או מקור פעיל קרוב. </w:t>
      </w:r>
      <w:r>
        <w:rPr>
          <w:b/>
          <w:rtl/>
          <w:rFonts w:cs="Arial"/>
          <w:lang w:bidi="he-IL"/>
        </w:rPr>
        <w:t>מתחם מרכבות האש</w:t>
      </w:r>
      <w:r>
        <w:rPr>
          <w:rtl/>
          <w:rFonts w:cs="Arial"/>
          <w:lang w:bidi="he-IL"/>
        </w:rPr>
        <w:t xml:space="preserve"> מציג חתימת בריכת LNAPL פעילה: TBA בריכוזים של 30,000–120,000 µg/L לאורך 6 קידוחים (עוגן F9_001), תוצר פירוק אנאירובי של MTBE המעיד על מקור MTBE מתמשך ולא על שפיכה חד-פעמית.</w:t>
      </w:r>
    </w:p>
    <w:p>
      <w:pPr>
        <w:bidi/>
        <w:jc w:val="both"/>
        <w:rPr>
          <w:rtl/>
        </w:rPr>
      </w:pPr>
      <w:r>
        <w:rPr>
          <w:b/>
          <w:rtl/>
          <w:rFonts w:cs="Arial"/>
          <w:lang w:bidi="he-IL"/>
        </w:rPr>
        <w:t>ממצא קריטי — פער ניטור CVOC באשכול אגד</w:t>
      </w:r>
      <w:r>
        <w:rPr>
          <w:rtl/>
          <w:rFonts w:cs="Arial"/>
          <w:lang w:bidi="he-IL"/>
        </w:rPr>
        <w:t>: ב-9 מקידוחי אגד אזור נמדדו ויניל כלוריד, TCE ו-DCE רק עד 07/2019; מאז ממשיכים הקידוחים להידגם, אך לפרמטרי דלק בלבד. במדידות 2019 האחרונות נמדד VC עד 21 µg/L (כ-4,200% מתקן EPA) ב-3 קידוחים, ו-TCE עד 430 µg/L (עוגנים F3_001, F5_001). מצב ה-CVOC העכשווי באשכול אגד אינו ידוע — פלאום פעיל אפשרי של מזהם קרצינוגני שאינו מנוטר.</w:t>
      </w:r>
    </w:p>
    <w:p>
      <w:pPr>
        <w:bidi/>
        <w:jc w:val="both"/>
        <w:rPr>
          <w:rtl/>
        </w:rPr>
      </w:pPr>
      <w:r>
        <w:rPr>
          <w:b/>
          <w:rtl/>
          <w:rFonts w:cs="Arial"/>
          <w:lang w:bidi="he-IL"/>
        </w:rPr>
        <w:t>מגמות מובהקות</w:t>
      </w:r>
      <w:r>
        <w:rPr>
          <w:rtl/>
          <w:rFonts w:cs="Arial"/>
          <w:lang w:bidi="he-IL"/>
        </w:rPr>
        <w:t>: בנד אגד אזור 6 נמדדה מגמת עלייה מובהקת ב-MTBE (Z=2.31, p=0.021, SNR=1.06; עוגן S1_002), ובנד אגד אזור 1 ב-Toluene (Z=2.10, p=0.036, SNR=1.04; עוגן S1_001). הערה: סיגנל עליית הבנזן בנד פז סיירים 3 (Z=2.03, p=0.043; עוגן S1_003) מיוחס בסבירות גבוהה לארטיפקט גבול-גילוי — ערך הבנזן נשאר "5.0 µg/L" (בדיוק 100% מהתקן) ב-14 דגימות רצופות, מה שמעיד על דיווח מגבלת מעבדה ולא על ריכוז אמיתי. אין להציג סיגנל זה כממצא זיהום אמיתי.</w:t>
      </w:r>
    </w:p>
    <w:p>
      <w:pPr>
        <w:bidi/>
        <w:jc w:val="both"/>
        <w:rPr>
          <w:rtl/>
        </w:rPr>
      </w:pPr>
      <w:r>
        <w:rPr>
          <w:b/>
          <w:rtl/>
          <w:rFonts w:cs="Arial"/>
          <w:lang w:bidi="he-IL"/>
        </w:rPr>
        <w:t>מקורות אפשריים</w:t>
      </w:r>
      <w:r>
        <w:rPr>
          <w:rtl/>
          <w:rFonts w:cs="Arial"/>
          <w:lang w:bidi="he-IL"/>
        </w:rPr>
        <w:t>: חניון אגד (BTEX/MTBE) — HIGH (מתקן תדלוק פעיל); מתחם מרכבות האש (BTEX/MTBE/TBA) — HIGH (מתקן תדלוק פעיל, פוטנציאל PFAS גבוה); תחנות תדלוק מקומיות — HIGH.</w:t>
      </w:r>
    </w:p>
    <w:p>
      <w:pPr>
        <w:bidi/>
        <w:jc w:val="both"/>
        <w:rPr>
          <w:rtl/>
        </w:rPr>
      </w:pPr>
      <w:r>
        <w:rPr>
          <w:rtl/>
          <w:rFonts w:cs="Arial"/>
          <w:lang w:bidi="he-IL"/>
        </w:rPr>
        <w:t>![](Holon/charts/fig_05_fuel_panels.png)</w:t>
      </w:r>
    </w:p>
    <w:p>
      <w:pPr>
        <w:bidi/>
        <w:jc w:val="both"/>
        <w:rPr>
          <w:rtl/>
        </w:rPr>
      </w:pPr>
      <w:r>
        <w:rPr>
          <w:b/>
          <w:rtl/>
          <w:rFonts w:cs="Arial"/>
          <w:lang w:bidi="he-IL"/>
        </w:rPr>
        <w:t>איור 4</w:t>
      </w:r>
      <w:r>
        <w:rPr>
          <w:rtl/>
          <w:rFonts w:cs="Arial"/>
          <w:lang w:bidi="he-IL"/>
        </w:rPr>
        <w:t>: ריכוזי MTBE ו-TBA (אחוז מהתקן) בקידוחי הדלק המובילים — נד אגד אזור 1, 6, 12 ונד דלק מרכבות האש 1. ניכרים ריכוזי TBA קיצוניים במתחם מרכבות האש (חתימת LNAPL פעיל).</w:t>
      </w:r>
    </w:p>
    <w:p/>
    <w:p>
      <w:pPr>
        <w:bidi/>
        <w:jc w:val="both"/>
        <w:rPr>
          <w:rtl/>
        </w:rPr>
      </w:pPr>
      <w:r>
        <w:rPr>
          <w:rtl/>
          <w:rFonts w:cs="Arial"/>
          <w:lang w:bidi="he-IL"/>
        </w:rPr>
        <w:t>──────────────────────────────────────────────────</w:t>
      </w:r>
    </w:p>
    <w:p>
      <w:pPr>
        <w:bidi/>
        <w:pStyle w:val="Heading2"/>
        <w:jc w:val="both"/>
        <w:rPr>
          <w:rtl/>
        </w:rPr>
      </w:pPr>
      <w:r>
        <w:rPr>
          <w:rtl/>
          <w:rFonts w:cs="Arial"/>
          <w:lang w:bidi="he-IL"/>
        </w:rPr>
        <w:t>4. מגמות, החמרה ופערי ניטור</w:t>
      </w:r>
    </w:p>
    <w:p>
      <w:pPr>
        <w:bidi/>
        <w:jc w:val="both"/>
        <w:rPr>
          <w:rtl/>
        </w:rPr>
      </w:pPr>
      <w:r>
        <w:rPr>
          <w:b/>
          <w:rtl/>
          <w:rFonts w:cs="Arial"/>
          <w:lang w:bidi="he-IL"/>
        </w:rPr>
        <w:t>מגמות מובהקות</w:t>
      </w:r>
      <w:r>
        <w:rPr>
          <w:rtl/>
          <w:rFonts w:cs="Arial"/>
          <w:lang w:bidi="he-IL"/>
        </w:rPr>
        <w:t>: מנוע ה-Mann-Kendall (חלון 5 שנים, תיקון לקשרים, gating ל-SNR) זיהה מספר מצומצם של מגמות עלייה מובהקות (p&lt;0.05) במזהמים רלוונטיים. הבולטות שבהן: MTBE עולה בנד אגד אזור 6 (Z=2.31, p=0.021, SNR=1.06; עוגן S1_002); Toluene עולה בנד אגד אזור 1 (Z=2.10, p=0.036, SNR=1.04; עוגן S1_001); כלוריד עולה בקידוח ההפקה מק חולון 12 (Z=2.20, p=0.027, SNR=1.27; עוגן S1_005) — חשד להחדרת מי ים או לעומס יוני תעשייתי. ברשומות המלאות (מעבר לחלון 5 שנים) נמצאו מגמות עלייה מובהקות נוספות שהוקפאו בעת הפסקת הניטור: PCE בנת חולון 2 (Z=2.13, p=0.034), כלורופורם בנת חולון 7 (Z=1.97, p=0.049), ו-MTBE בנד המרכבה ק2 (Z=2.60, p=0.009; עוגנים S3_001, S3_003, S2_003). יש לציין שערכי ה-SNR במערך זה נעים עד כ-1.8, כך שסף ה-SNR האופרטיבי הוא 0.3 (לא 5); המגמות לעיל עוברות את סף ה-SNR.</w:t>
      </w:r>
    </w:p>
    <w:p>
      <w:pPr>
        <w:bidi/>
        <w:jc w:val="both"/>
        <w:rPr>
          <w:rtl/>
        </w:rPr>
      </w:pPr>
      <w:r>
        <w:rPr>
          <w:b/>
          <w:rtl/>
          <w:rFonts w:cs="Arial"/>
          <w:lang w:bidi="he-IL"/>
        </w:rPr>
        <w:t>חציית תקן בקידוח הפקה — מק חולון 14</w:t>
      </w:r>
      <w:r>
        <w:rPr>
          <w:rtl/>
          <w:rFonts w:cs="Arial"/>
          <w:lang w:bidi="he-IL"/>
        </w:rPr>
        <w:t xml:space="preserve">: זהו הממצא הרגולטורי המרכזי בסעיף. הסדרה הרצופה (דיגום רבעוני, </w:t>
      </w:r>
      <w:r>
        <w:rPr>
          <w:rFonts w:ascii="Courier New" w:hAnsi="Courier New" w:cs="Arial"/>
          <w:color w:val="800000"/>
          <w:rtl/>
          <w:lang w:bidi="he-IL"/>
        </w:rPr>
        <w:t>figure_ready_series.csv</w:t>
      </w:r>
      <w:r>
        <w:rPr>
          <w:rtl/>
          <w:rFonts w:cs="Arial"/>
          <w:lang w:bidi="he-IL"/>
        </w:rPr>
        <w:t xml:space="preserve">): 04/2023 — 6.27 µg/L; 01/2024 — 6.31; 11/2024 — 6.07; 01/2025 — 6.85; </w:t>
      </w:r>
      <w:r>
        <w:rPr>
          <w:b/>
          <w:rtl/>
          <w:rFonts w:cs="Arial"/>
          <w:lang w:bidi="he-IL"/>
        </w:rPr>
        <w:t>04/2025 — 7.59 µg/L (101% מהתקן, חציית התקן הראשונה)</w:t>
      </w:r>
      <w:r>
        <w:rPr>
          <w:rtl/>
          <w:rFonts w:cs="Arial"/>
          <w:lang w:bidi="he-IL"/>
        </w:rPr>
        <w:t>; 07/2025 — 6.97; 11/2025 — 6.64. הריכוז נע סביב התקן ובסמיכות אליו. בהיסטורי 2007 נפסלו כבר מק חולון 7, 8 ו-21 לאספקת שתייה בגין VOC וכרום; מק חולון 14 נמצא כעת על מסלול דומה. ממצא זה דורש החלטה רגולטורית ללא קשר לאבחון המקור.</w:t>
      </w:r>
    </w:p>
    <w:p>
      <w:pPr>
        <w:bidi/>
        <w:jc w:val="both"/>
        <w:rPr>
          <w:rtl/>
        </w:rPr>
      </w:pPr>
      <w:r>
        <w:rPr>
          <w:b/>
          <w:rtl/>
          <w:rFonts w:cs="Arial"/>
          <w:lang w:bidi="he-IL"/>
        </w:rPr>
        <w:t>קידוחים בשתיקה לאחר חריגה גבוהה</w:t>
      </w:r>
      <w:r>
        <w:rPr>
          <w:rtl/>
          <w:rFonts w:cs="Arial"/>
          <w:lang w:bidi="he-IL"/>
        </w:rPr>
        <w:t xml:space="preserve"> (מתוך </w:t>
      </w:r>
      <w:r>
        <w:rPr>
          <w:rFonts w:ascii="Courier New" w:hAnsi="Courier New" w:cs="Arial"/>
          <w:color w:val="800000"/>
          <w:rtl/>
          <w:lang w:bidi="he-IL"/>
        </w:rPr>
        <w:t>monitoring_gaps.csv</w:t>
      </w:r>
      <w:r>
        <w:rPr>
          <w:rtl/>
          <w:rFonts w:cs="Arial"/>
          <w:lang w:bidi="he-IL"/>
        </w:rPr>
        <w:t xml:space="preserve"> ועוגנים S4/S10):</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קידוח</w:t>
            </w:r>
          </w:p>
        </w:tc>
        <w:tc>
          <w:tcPr>
            <w:tcW w:type="dxa" w:w="1728"/>
          </w:tcPr>
          <w:p>
            <w:pPr>
              <w:bidi/>
              <w:jc w:val="both"/>
              <w:rPr>
                <w:rtl/>
              </w:rPr>
            </w:pPr>
            <w:r>
              <w:rPr>
                <w:b/>
                <w:rtl/>
                <w:rFonts w:cs="Arial"/>
                <w:lang w:bidi="he-IL"/>
              </w:rPr>
            </w:r>
            <w:r>
              <w:rPr>
                <w:b/>
                <w:rtl/>
                <w:rFonts w:cs="Arial"/>
                <w:lang w:bidi="he-IL"/>
              </w:rPr>
              <w:t>מזהם</w:t>
            </w:r>
          </w:p>
        </w:tc>
        <w:tc>
          <w:tcPr>
            <w:tcW w:type="dxa" w:w="1728"/>
          </w:tcPr>
          <w:p>
            <w:pPr>
              <w:bidi/>
              <w:jc w:val="both"/>
              <w:rPr>
                <w:rtl/>
              </w:rPr>
            </w:pPr>
            <w:r>
              <w:rPr>
                <w:b/>
                <w:rtl/>
                <w:rFonts w:cs="Arial"/>
                <w:lang w:bidi="he-IL"/>
              </w:rPr>
            </w:r>
            <w:r>
              <w:rPr>
                <w:b/>
                <w:rtl/>
                <w:rFonts w:cs="Arial"/>
                <w:lang w:bidi="he-IL"/>
              </w:rPr>
              <w:t>מדידה אחרונה</w:t>
            </w:r>
          </w:p>
        </w:tc>
        <w:tc>
          <w:tcPr>
            <w:tcW w:type="dxa" w:w="1728"/>
          </w:tcPr>
          <w:p>
            <w:pPr>
              <w:bidi/>
              <w:jc w:val="both"/>
              <w:rPr>
                <w:rtl/>
              </w:rPr>
            </w:pPr>
            <w:r>
              <w:rPr>
                <w:b/>
                <w:rtl/>
                <w:rFonts w:cs="Arial"/>
                <w:lang w:bidi="he-IL"/>
              </w:rPr>
            </w:r>
            <w:r>
              <w:rPr>
                <w:b/>
                <w:rtl/>
                <w:rFonts w:cs="Arial"/>
                <w:lang w:bidi="he-IL"/>
              </w:rPr>
              <w:t>אחוז תקן</w:t>
            </w:r>
          </w:p>
        </w:tc>
        <w:tc>
          <w:tcPr>
            <w:tcW w:type="dxa" w:w="1728"/>
          </w:tcPr>
          <w:p>
            <w:pPr>
              <w:bidi/>
              <w:jc w:val="both"/>
              <w:rPr>
                <w:rtl/>
              </w:rPr>
            </w:pPr>
            <w:r>
              <w:rPr>
                <w:b/>
                <w:rtl/>
                <w:rFonts w:cs="Arial"/>
                <w:lang w:bidi="he-IL"/>
              </w:rPr>
            </w:r>
            <w:r>
              <w:rPr>
                <w:b/>
                <w:rtl/>
                <w:rFonts w:cs="Arial"/>
                <w:lang w:bidi="he-IL"/>
              </w:rPr>
              <w:t>חודשי שתיקה (לערך)</w:t>
            </w:r>
          </w:p>
        </w:tc>
      </w:tr>
      <w:tr>
        <w:tc>
          <w:tcPr>
            <w:tcW w:type="dxa" w:w="1728"/>
          </w:tcPr>
          <w:p>
            <w:pPr>
              <w:bidi/>
              <w:jc w:val="both"/>
              <w:rPr>
                <w:rtl/>
              </w:rPr>
            </w:pPr>
            <w:r>
              <w:rPr>
                <w:rtl/>
                <w:rFonts w:cs="Arial"/>
                <w:lang w:bidi="he-IL"/>
              </w:rPr>
            </w:r>
            <w:r>
              <w:rPr>
                <w:rtl/>
                <w:rFonts w:cs="Arial"/>
                <w:lang w:bidi="he-IL"/>
              </w:rPr>
              <w:t>נת אלביט חולון 1</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03/2018</w:t>
            </w:r>
          </w:p>
        </w:tc>
        <w:tc>
          <w:tcPr>
            <w:tcW w:type="dxa" w:w="1728"/>
          </w:tcPr>
          <w:p>
            <w:pPr>
              <w:bidi/>
              <w:jc w:val="both"/>
              <w:rPr>
                <w:rtl/>
              </w:rPr>
            </w:pPr>
            <w:r>
              <w:rPr>
                <w:rtl/>
                <w:rFonts w:cs="Arial"/>
                <w:lang w:bidi="he-IL"/>
              </w:rPr>
            </w:r>
            <w:r>
              <w:rPr>
                <w:rtl/>
                <w:rFonts w:cs="Arial"/>
                <w:lang w:bidi="he-IL"/>
              </w:rPr>
              <w:t>35,573%</w:t>
            </w:r>
          </w:p>
        </w:tc>
        <w:tc>
          <w:tcPr>
            <w:tcW w:type="dxa" w:w="1728"/>
          </w:tcPr>
          <w:p>
            <w:pPr>
              <w:bidi/>
              <w:jc w:val="both"/>
              <w:rPr>
                <w:rtl/>
              </w:rPr>
            </w:pPr>
            <w:r>
              <w:rPr>
                <w:rtl/>
                <w:rFonts w:cs="Arial"/>
                <w:lang w:bidi="he-IL"/>
              </w:rPr>
            </w:r>
            <w:r>
              <w:rPr>
                <w:rtl/>
                <w:rFonts w:cs="Arial"/>
                <w:lang w:bidi="he-IL"/>
              </w:rPr>
              <w:t>98</w:t>
            </w:r>
          </w:p>
        </w:tc>
      </w:tr>
      <w:tr>
        <w:tc>
          <w:tcPr>
            <w:tcW w:type="dxa" w:w="1728"/>
          </w:tcPr>
          <w:p>
            <w:pPr>
              <w:bidi/>
              <w:jc w:val="both"/>
              <w:rPr>
                <w:rtl/>
              </w:rPr>
            </w:pPr>
            <w:r>
              <w:rPr>
                <w:rtl/>
                <w:rFonts w:cs="Arial"/>
                <w:lang w:bidi="he-IL"/>
              </w:rPr>
            </w:r>
            <w:r>
              <w:rPr>
                <w:rtl/>
                <w:rFonts w:cs="Arial"/>
                <w:lang w:bidi="he-IL"/>
              </w:rPr>
              <w:t>מערך תדירגן (כ-10 קידוחים)</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2011–2013</w:t>
            </w:r>
          </w:p>
        </w:tc>
        <w:tc>
          <w:tcPr>
            <w:tcW w:type="dxa" w:w="1728"/>
          </w:tcPr>
          <w:p>
            <w:pPr>
              <w:bidi/>
              <w:jc w:val="both"/>
              <w:rPr>
                <w:rtl/>
              </w:rPr>
            </w:pPr>
            <w:r>
              <w:rPr>
                <w:rtl/>
                <w:rFonts w:cs="Arial"/>
                <w:lang w:bidi="he-IL"/>
              </w:rPr>
            </w:r>
            <w:r>
              <w:rPr>
                <w:rtl/>
                <w:rFonts w:cs="Arial"/>
                <w:lang w:bidi="he-IL"/>
              </w:rPr>
              <w:t>עד עשרות אלפי %</w:t>
            </w:r>
          </w:p>
        </w:tc>
        <w:tc>
          <w:tcPr>
            <w:tcW w:type="dxa" w:w="1728"/>
          </w:tcPr>
          <w:p>
            <w:pPr>
              <w:bidi/>
              <w:jc w:val="both"/>
              <w:rPr>
                <w:rtl/>
              </w:rPr>
            </w:pPr>
            <w:r>
              <w:rPr>
                <w:rtl/>
                <w:rFonts w:cs="Arial"/>
                <w:lang w:bidi="he-IL"/>
              </w:rPr>
            </w:r>
            <w:r>
              <w:rPr>
                <w:rtl/>
                <w:rFonts w:cs="Arial"/>
                <w:lang w:bidi="he-IL"/>
              </w:rPr>
              <w:t>150+</w:t>
            </w:r>
          </w:p>
        </w:tc>
      </w:tr>
      <w:tr>
        <w:tc>
          <w:tcPr>
            <w:tcW w:type="dxa" w:w="1728"/>
          </w:tcPr>
          <w:p>
            <w:pPr>
              <w:bidi/>
              <w:jc w:val="both"/>
              <w:rPr>
                <w:rtl/>
              </w:rPr>
            </w:pPr>
            <w:r>
              <w:rPr>
                <w:rtl/>
                <w:rFonts w:cs="Arial"/>
                <w:lang w:bidi="he-IL"/>
              </w:rPr>
            </w:r>
            <w:r>
              <w:rPr>
                <w:rtl/>
                <w:rFonts w:cs="Arial"/>
                <w:lang w:bidi="he-IL"/>
              </w:rPr>
              <w:t>נד אגד אזור 7</w:t>
            </w:r>
          </w:p>
        </w:tc>
        <w:tc>
          <w:tcPr>
            <w:tcW w:type="dxa" w:w="1728"/>
          </w:tcPr>
          <w:p>
            <w:pPr>
              <w:bidi/>
              <w:jc w:val="both"/>
              <w:rPr>
                <w:rtl/>
              </w:rPr>
            </w:pPr>
            <w:r>
              <w:rPr>
                <w:rtl/>
                <w:rFonts w:cs="Arial"/>
                <w:lang w:bidi="he-IL"/>
              </w:rPr>
            </w:r>
            <w:r>
              <w:rPr>
                <w:rtl/>
                <w:rFonts w:cs="Arial"/>
                <w:lang w:bidi="he-IL"/>
              </w:rPr>
              <w:t>Benzene</w:t>
            </w:r>
          </w:p>
        </w:tc>
        <w:tc>
          <w:tcPr>
            <w:tcW w:type="dxa" w:w="1728"/>
          </w:tcPr>
          <w:p>
            <w:pPr>
              <w:bidi/>
              <w:jc w:val="both"/>
              <w:rPr>
                <w:rtl/>
              </w:rPr>
            </w:pPr>
            <w:r>
              <w:rPr>
                <w:rtl/>
                <w:rFonts w:cs="Arial"/>
                <w:lang w:bidi="he-IL"/>
              </w:rPr>
            </w:r>
            <w:r>
              <w:rPr>
                <w:rtl/>
                <w:rFonts w:cs="Arial"/>
                <w:lang w:bidi="he-IL"/>
              </w:rPr>
              <w:t>04/2022</w:t>
            </w:r>
          </w:p>
        </w:tc>
        <w:tc>
          <w:tcPr>
            <w:tcW w:type="dxa" w:w="1728"/>
          </w:tcPr>
          <w:p>
            <w:pPr>
              <w:bidi/>
              <w:jc w:val="both"/>
              <w:rPr>
                <w:rtl/>
              </w:rPr>
            </w:pPr>
            <w:r>
              <w:rPr>
                <w:rtl/>
                <w:rFonts w:cs="Arial"/>
                <w:lang w:bidi="he-IL"/>
              </w:rPr>
            </w:r>
            <w:r>
              <w:rPr>
                <w:rtl/>
                <w:rFonts w:cs="Arial"/>
                <w:lang w:bidi="he-IL"/>
              </w:rPr>
              <w:t>71,000%</w:t>
            </w:r>
          </w:p>
        </w:tc>
        <w:tc>
          <w:tcPr>
            <w:tcW w:type="dxa" w:w="1728"/>
          </w:tcPr>
          <w:p>
            <w:pPr>
              <w:bidi/>
              <w:jc w:val="both"/>
              <w:rPr>
                <w:rtl/>
              </w:rPr>
            </w:pPr>
            <w:r>
              <w:rPr>
                <w:rtl/>
                <w:rFonts w:cs="Arial"/>
                <w:lang w:bidi="he-IL"/>
              </w:rPr>
            </w:r>
            <w:r>
              <w:rPr>
                <w:rtl/>
                <w:rFonts w:cs="Arial"/>
                <w:lang w:bidi="he-IL"/>
              </w:rPr>
              <w:t>49</w:t>
            </w:r>
          </w:p>
        </w:tc>
      </w:tr>
      <w:tr>
        <w:tc>
          <w:tcPr>
            <w:tcW w:type="dxa" w:w="1728"/>
          </w:tcPr>
          <w:p>
            <w:pPr>
              <w:bidi/>
              <w:jc w:val="both"/>
              <w:rPr>
                <w:rtl/>
              </w:rPr>
            </w:pPr>
            <w:r>
              <w:rPr>
                <w:rtl/>
                <w:rFonts w:cs="Arial"/>
                <w:lang w:bidi="he-IL"/>
              </w:rPr>
            </w:r>
            <w:r>
              <w:rPr>
                <w:rtl/>
                <w:rFonts w:cs="Arial"/>
                <w:lang w:bidi="he-IL"/>
              </w:rPr>
              <w:t>נת חולון 2</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06/2022</w:t>
            </w:r>
          </w:p>
        </w:tc>
        <w:tc>
          <w:tcPr>
            <w:tcW w:type="dxa" w:w="1728"/>
          </w:tcPr>
          <w:p>
            <w:pPr>
              <w:bidi/>
              <w:jc w:val="both"/>
              <w:rPr>
                <w:rtl/>
              </w:rPr>
            </w:pPr>
            <w:r>
              <w:rPr>
                <w:rtl/>
                <w:rFonts w:cs="Arial"/>
                <w:lang w:bidi="he-IL"/>
              </w:rPr>
            </w:r>
            <w:r>
              <w:rPr>
                <w:rtl/>
                <w:rFonts w:cs="Arial"/>
                <w:lang w:bidi="he-IL"/>
              </w:rPr>
              <w:t>16,751%</w:t>
            </w:r>
          </w:p>
        </w:tc>
        <w:tc>
          <w:tcPr>
            <w:tcW w:type="dxa" w:w="1728"/>
          </w:tcPr>
          <w:p>
            <w:pPr>
              <w:bidi/>
              <w:jc w:val="both"/>
              <w:rPr>
                <w:rtl/>
              </w:rPr>
            </w:pPr>
            <w:r>
              <w:rPr>
                <w:rtl/>
                <w:rFonts w:cs="Arial"/>
                <w:lang w:bidi="he-IL"/>
              </w:rPr>
            </w:r>
            <w:r>
              <w:rPr>
                <w:rtl/>
                <w:rFonts w:cs="Arial"/>
                <w:lang w:bidi="he-IL"/>
              </w:rPr>
              <w:t>47</w:t>
            </w:r>
          </w:p>
        </w:tc>
      </w:tr>
      <w:tr>
        <w:tc>
          <w:tcPr>
            <w:tcW w:type="dxa" w:w="1728"/>
          </w:tcPr>
          <w:p>
            <w:pPr>
              <w:bidi/>
              <w:jc w:val="both"/>
              <w:rPr>
                <w:rtl/>
              </w:rPr>
            </w:pPr>
            <w:r>
              <w:rPr>
                <w:rtl/>
                <w:rFonts w:cs="Arial"/>
                <w:lang w:bidi="he-IL"/>
              </w:rPr>
            </w:r>
            <w:r>
              <w:rPr>
                <w:rtl/>
                <w:rFonts w:cs="Arial"/>
                <w:lang w:bidi="he-IL"/>
              </w:rPr>
              <w:t>נד נובר מרכבה</w:t>
            </w:r>
          </w:p>
        </w:tc>
        <w:tc>
          <w:tcPr>
            <w:tcW w:type="dxa" w:w="1728"/>
          </w:tcPr>
          <w:p>
            <w:pPr>
              <w:bidi/>
              <w:jc w:val="both"/>
              <w:rPr>
                <w:rtl/>
              </w:rPr>
            </w:pPr>
            <w:r>
              <w:rPr>
                <w:rtl/>
                <w:rFonts w:cs="Arial"/>
                <w:lang w:bidi="he-IL"/>
              </w:rPr>
            </w:r>
            <w:r>
              <w:rPr>
                <w:rtl/>
                <w:rFonts w:cs="Arial"/>
                <w:lang w:bidi="he-IL"/>
              </w:rPr>
              <w:t>MTBE</w:t>
            </w:r>
          </w:p>
        </w:tc>
        <w:tc>
          <w:tcPr>
            <w:tcW w:type="dxa" w:w="1728"/>
          </w:tcPr>
          <w:p>
            <w:pPr>
              <w:bidi/>
              <w:jc w:val="both"/>
              <w:rPr>
                <w:rtl/>
              </w:rPr>
            </w:pPr>
            <w:r>
              <w:rPr>
                <w:rtl/>
                <w:rFonts w:cs="Arial"/>
                <w:lang w:bidi="he-IL"/>
              </w:rPr>
            </w:r>
            <w:r>
              <w:rPr>
                <w:rtl/>
                <w:rFonts w:cs="Arial"/>
                <w:lang w:bidi="he-IL"/>
              </w:rPr>
              <w:t>03/2020</w:t>
            </w:r>
          </w:p>
        </w:tc>
        <w:tc>
          <w:tcPr>
            <w:tcW w:type="dxa" w:w="1728"/>
          </w:tcPr>
          <w:p>
            <w:pPr>
              <w:bidi/>
              <w:jc w:val="both"/>
              <w:rPr>
                <w:rtl/>
              </w:rPr>
            </w:pPr>
            <w:r>
              <w:rPr>
                <w:rtl/>
                <w:rFonts w:cs="Arial"/>
                <w:lang w:bidi="he-IL"/>
              </w:rPr>
            </w:r>
            <w:r>
              <w:rPr>
                <w:rtl/>
                <w:rFonts w:cs="Arial"/>
                <w:lang w:bidi="he-IL"/>
              </w:rPr>
              <w:t>2,250%</w:t>
            </w:r>
          </w:p>
        </w:tc>
        <w:tc>
          <w:tcPr>
            <w:tcW w:type="dxa" w:w="1728"/>
          </w:tcPr>
          <w:p>
            <w:pPr>
              <w:bidi/>
              <w:jc w:val="both"/>
              <w:rPr>
                <w:rtl/>
              </w:rPr>
            </w:pPr>
            <w:r>
              <w:rPr>
                <w:rtl/>
                <w:rFonts w:cs="Arial"/>
                <w:lang w:bidi="he-IL"/>
              </w:rPr>
            </w:r>
            <w:r>
              <w:rPr>
                <w:rtl/>
                <w:rFonts w:cs="Arial"/>
                <w:lang w:bidi="he-IL"/>
              </w:rPr>
              <w:t>74</w:t>
            </w:r>
          </w:p>
        </w:tc>
      </w:tr>
      <w:tr>
        <w:tc>
          <w:tcPr>
            <w:tcW w:type="dxa" w:w="1728"/>
          </w:tcPr>
          <w:p>
            <w:pPr>
              <w:bidi/>
              <w:jc w:val="both"/>
              <w:rPr>
                <w:rtl/>
              </w:rPr>
            </w:pPr>
            <w:r>
              <w:rPr>
                <w:rtl/>
                <w:rFonts w:cs="Arial"/>
                <w:lang w:bidi="he-IL"/>
              </w:rPr>
            </w:r>
            <w:r>
              <w:rPr>
                <w:rtl/>
                <w:rFonts w:cs="Arial"/>
                <w:lang w:bidi="he-IL"/>
              </w:rPr>
              <w:t>נת חולון 26</w:t>
            </w:r>
          </w:p>
        </w:tc>
        <w:tc>
          <w:tcPr>
            <w:tcW w:type="dxa" w:w="1728"/>
          </w:tcPr>
          <w:p>
            <w:pPr>
              <w:bidi/>
              <w:jc w:val="both"/>
              <w:rPr>
                <w:rtl/>
              </w:rPr>
            </w:pPr>
            <w:r>
              <w:rPr>
                <w:rtl/>
                <w:rFonts w:cs="Arial"/>
                <w:lang w:bidi="he-IL"/>
              </w:rPr>
            </w:r>
            <w:r>
              <w:rPr>
                <w:rtl/>
                <w:rFonts w:cs="Arial"/>
                <w:lang w:bidi="he-IL"/>
              </w:rPr>
              <w:t>Chromium</w:t>
            </w:r>
          </w:p>
        </w:tc>
        <w:tc>
          <w:tcPr>
            <w:tcW w:type="dxa" w:w="1728"/>
          </w:tcPr>
          <w:p>
            <w:pPr>
              <w:bidi/>
              <w:jc w:val="both"/>
              <w:rPr>
                <w:rtl/>
              </w:rPr>
            </w:pPr>
            <w:r>
              <w:rPr>
                <w:rtl/>
                <w:rFonts w:cs="Arial"/>
                <w:lang w:bidi="he-IL"/>
              </w:rPr>
            </w:r>
            <w:r>
              <w:rPr>
                <w:rtl/>
                <w:rFonts w:cs="Arial"/>
                <w:lang w:bidi="he-IL"/>
              </w:rPr>
              <w:t>02/2023</w:t>
            </w:r>
          </w:p>
        </w:tc>
        <w:tc>
          <w:tcPr>
            <w:tcW w:type="dxa" w:w="1728"/>
          </w:tcPr>
          <w:p>
            <w:pPr>
              <w:bidi/>
              <w:jc w:val="both"/>
              <w:rPr>
                <w:rtl/>
              </w:rPr>
            </w:pPr>
            <w:r>
              <w:rPr>
                <w:rtl/>
                <w:rFonts w:cs="Arial"/>
                <w:lang w:bidi="he-IL"/>
              </w:rPr>
            </w:r>
            <w:r>
              <w:rPr>
                <w:rtl/>
                <w:rFonts w:cs="Arial"/>
                <w:lang w:bidi="he-IL"/>
              </w:rPr>
              <w:t>8,072%</w:t>
            </w:r>
          </w:p>
        </w:tc>
        <w:tc>
          <w:tcPr>
            <w:tcW w:type="dxa" w:w="1728"/>
          </w:tcPr>
          <w:p>
            <w:pPr>
              <w:bidi/>
              <w:jc w:val="both"/>
              <w:rPr>
                <w:rtl/>
              </w:rPr>
            </w:pPr>
            <w:r>
              <w:rPr>
                <w:rtl/>
                <w:rFonts w:cs="Arial"/>
                <w:lang w:bidi="he-IL"/>
              </w:rPr>
            </w:r>
            <w:r>
              <w:rPr>
                <w:rtl/>
                <w:rFonts w:cs="Arial"/>
                <w:lang w:bidi="he-IL"/>
              </w:rPr>
              <w:t>39</w:t>
            </w:r>
          </w:p>
        </w:tc>
      </w:tr>
      <w:tr>
        <w:tc>
          <w:tcPr>
            <w:tcW w:type="dxa" w:w="1728"/>
          </w:tcPr>
          <w:p>
            <w:pPr>
              <w:bidi/>
              <w:jc w:val="both"/>
              <w:rPr>
                <w:rtl/>
              </w:rPr>
            </w:pPr>
            <w:r>
              <w:rPr>
                <w:rtl/>
                <w:rFonts w:cs="Arial"/>
                <w:lang w:bidi="he-IL"/>
              </w:rPr>
            </w:r>
            <w:r>
              <w:rPr>
                <w:rtl/>
                <w:rFonts w:cs="Arial"/>
                <w:lang w:bidi="he-IL"/>
              </w:rPr>
              <w:t>נת חולון 7</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01/2023</w:t>
            </w:r>
          </w:p>
        </w:tc>
        <w:tc>
          <w:tcPr>
            <w:tcW w:type="dxa" w:w="1728"/>
          </w:tcPr>
          <w:p>
            <w:pPr>
              <w:bidi/>
              <w:jc w:val="both"/>
              <w:rPr>
                <w:rtl/>
              </w:rPr>
            </w:pPr>
            <w:r>
              <w:rPr>
                <w:rtl/>
                <w:rFonts w:cs="Arial"/>
                <w:lang w:bidi="he-IL"/>
              </w:rPr>
            </w:r>
            <w:r>
              <w:rPr>
                <w:rtl/>
                <w:rFonts w:cs="Arial"/>
                <w:lang w:bidi="he-IL"/>
              </w:rPr>
              <w:t>7,588%</w:t>
            </w:r>
          </w:p>
        </w:tc>
        <w:tc>
          <w:tcPr>
            <w:tcW w:type="dxa" w:w="1728"/>
          </w:tcPr>
          <w:p>
            <w:pPr>
              <w:bidi/>
              <w:jc w:val="both"/>
              <w:rPr>
                <w:rtl/>
              </w:rPr>
            </w:pPr>
            <w:r>
              <w:rPr>
                <w:rtl/>
                <w:rFonts w:cs="Arial"/>
                <w:lang w:bidi="he-IL"/>
              </w:rPr>
            </w:r>
            <w:r>
              <w:rPr>
                <w:rtl/>
                <w:rFonts w:cs="Arial"/>
                <w:lang w:bidi="he-IL"/>
              </w:rPr>
              <w:t>40</w:t>
            </w:r>
          </w:p>
        </w:tc>
      </w:tr>
    </w:tbl>
    <w:p>
      <w:pPr>
        <w:bidi/>
        <w:jc w:val="both"/>
        <w:rPr>
          <w:rtl/>
        </w:rPr>
      </w:pPr>
      <w:r>
        <w:rPr>
          <w:rtl/>
          <w:rFonts w:cs="Arial"/>
          <w:lang w:bidi="he-IL"/>
        </w:rPr>
        <w:t>שני דפוסי שתיקה מתואמים בולטים: שישה קידוחי נת חולון (2, 5, 7, 11, 14, 25, 26) הופסקו לניטור CVOC בחלון של כ-8 חודשים (06/2022–02/2023; עוגן S99_002) — אינדיקציה לאירוע ארגוני/תקציבי משותף; ותשעה קידוחי אגד אזור הופסקו לניטור CVOC לאחר 07/2019 תוך המשך דיגום דלק (עוגן S99_001).</w:t>
      </w:r>
    </w:p>
    <w:p>
      <w:pPr>
        <w:bidi/>
        <w:jc w:val="both"/>
        <w:rPr>
          <w:rtl/>
        </w:rPr>
      </w:pPr>
      <w:r>
        <w:rPr>
          <w:b/>
          <w:rtl/>
          <w:rFonts w:cs="Arial"/>
          <w:lang w:bidi="he-IL"/>
        </w:rPr>
        <w:t>פערים אזוריים</w:t>
      </w:r>
      <w:r>
        <w:rPr>
          <w:rtl/>
          <w:rFonts w:cs="Arial"/>
          <w:lang w:bidi="he-IL"/>
        </w:rPr>
        <w:t>: מעבר ל-PFAS (כיסוי 3.6%; סעיף 3.3), חסרים גם תוצרי הסיום של פירוק הממסים (ethene/ethane/methane) הנדרשים להערכת טיפול טבעי, סיווג Cr(VI)/Cr(III), וניטור עומק בקידוחים הרב-מפלסיים (נת חולון 5, 6, 7, 18). בנוסף, מרבית הקידוחים נדגמים בתדירות שנתית בלבד, המגבילה את הרזולוציה לזיהוי מגמות מהירות.</w:t>
      </w:r>
    </w:p>
    <w:p>
      <w:pPr>
        <w:bidi/>
        <w:jc w:val="both"/>
        <w:rPr>
          <w:rtl/>
        </w:rPr>
      </w:pPr>
      <w:r>
        <w:rPr>
          <w:b/>
          <w:rtl/>
          <w:rFonts w:cs="Arial"/>
          <w:lang w:bidi="he-IL"/>
        </w:rPr>
        <w:t>הסתייגות הטיית בחירה</w:t>
      </w:r>
      <w:r>
        <w:rPr>
          <w:rtl/>
          <w:rFonts w:cs="Arial"/>
          <w:lang w:bidi="he-IL"/>
        </w:rPr>
        <w:t>: יש להדגיש כי קידוחי הניטור באזה"ת חולון הוצבו במכוון בקרבת מקורות זיהום ידועים (מפעלים, מתחמי תדלוק). לפיכך ריכוזי המזהמים בקידוחים אלה אינם מייצגים את איכות מי התהום בכלל שטח האזור, אלא את שיא הזיהום בנקודות הסיכון. אין להסיק מהם על מצב מי התהום במרחבים שבין הקידוחים או במעלה/במורד הזרימה ללא קידוחי ניטור ייעודיים.</w:t>
      </w:r>
    </w:p>
    <w:p>
      <w:pPr>
        <w:bidi/>
        <w:jc w:val="both"/>
        <w:rPr>
          <w:rtl/>
        </w:rPr>
      </w:pPr>
      <w:r>
        <w:rPr>
          <w:rtl/>
          <w:rFonts w:cs="Arial"/>
          <w:lang w:bidi="he-IL"/>
        </w:rPr>
        <w:t>![](Holon/charts/fig_06_monitoring_gaps.png)</w:t>
      </w:r>
    </w:p>
    <w:p>
      <w:pPr>
        <w:bidi/>
        <w:jc w:val="both"/>
        <w:rPr>
          <w:rtl/>
        </w:rPr>
      </w:pPr>
      <w:r>
        <w:rPr>
          <w:b/>
          <w:rtl/>
          <w:rFonts w:cs="Arial"/>
          <w:lang w:bidi="he-IL"/>
        </w:rPr>
        <w:t>איור 5</w:t>
      </w:r>
      <w:r>
        <w:rPr>
          <w:rtl/>
          <w:rFonts w:cs="Arial"/>
          <w:lang w:bidi="he-IL"/>
        </w:rPr>
        <w:t>: ציר זמן דיגום לקידוחים הקריטיים — מדגיש את דפוס "שיא ואז שתיקה" ואת פערי הכיסוי של PFAS ושל CVOC (אשכול אגד).</w:t>
      </w:r>
    </w:p>
    <w:p>
      <w:pPr>
        <w:bidi/>
        <w:jc w:val="both"/>
        <w:rPr>
          <w:rtl/>
        </w:rPr>
      </w:pPr>
      <w:r>
        <w:rPr>
          <w:rtl/>
          <w:rFonts w:cs="Arial"/>
          <w:lang w:bidi="he-IL"/>
        </w:rPr>
        <w:t>──────────────────────────────────────────────────</w:t>
      </w:r>
    </w:p>
    <w:p>
      <w:pPr>
        <w:bidi/>
        <w:pStyle w:val="Heading2"/>
        <w:jc w:val="both"/>
        <w:rPr>
          <w:rtl/>
        </w:rPr>
      </w:pPr>
      <w:r>
        <w:rPr>
          <w:rtl/>
          <w:rFonts w:cs="Arial"/>
          <w:lang w:bidi="he-IL"/>
        </w:rPr>
        <w:t>5. מקורות זיהום אפשריים</w:t>
      </w:r>
    </w:p>
    <w:p>
      <w:pPr>
        <w:bidi/>
        <w:jc w:val="both"/>
        <w:rPr>
          <w:rtl/>
        </w:rPr>
      </w:pPr>
      <w:r>
        <w:rPr>
          <w:rtl/>
          <w:rFonts w:cs="Arial"/>
          <w:lang w:bidi="he-IL"/>
        </w:rPr>
        <w:t>הטבלה שלהלן מסכמת את שיוכי המקור המובילים לפי מוקד ומזהם. כל השיוכים פרשניים בלבד עד לאישור הידרולוג מוסמך; רמת הביטחון משקפת את חוזק הפרשנות המקצועית, ולא רק את איכות מקור הראיה. מערכת סיווג הראיות A–E (PROCESS_GUIDE §I): A = מאומת מטקסט גולמי; B = חולץ ב-AI עם הפניה למקור; C = פעילות נוכחית מ-web (אינו מוכיח זיהום); D = מוסק; E = אזכור חלש.</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מוקד / משפחה</w:t>
            </w:r>
          </w:p>
        </w:tc>
        <w:tc>
          <w:tcPr>
            <w:tcW w:type="dxa" w:w="1728"/>
          </w:tcPr>
          <w:p>
            <w:pPr>
              <w:bidi/>
              <w:jc w:val="both"/>
              <w:rPr>
                <w:rtl/>
              </w:rPr>
            </w:pPr>
            <w:r>
              <w:rPr>
                <w:b/>
                <w:rtl/>
                <w:rFonts w:cs="Arial"/>
                <w:lang w:bidi="he-IL"/>
              </w:rPr>
            </w:r>
            <w:r>
              <w:rPr>
                <w:b/>
                <w:rtl/>
                <w:rFonts w:cs="Arial"/>
                <w:lang w:bidi="he-IL"/>
              </w:rPr>
              <w:t>מזהם מוביל</w:t>
            </w:r>
          </w:p>
        </w:tc>
        <w:tc>
          <w:tcPr>
            <w:tcW w:type="dxa" w:w="1728"/>
          </w:tcPr>
          <w:p>
            <w:pPr>
              <w:bidi/>
              <w:jc w:val="both"/>
              <w:rPr>
                <w:rtl/>
              </w:rPr>
            </w:pPr>
            <w:r>
              <w:rPr>
                <w:b/>
                <w:rtl/>
                <w:rFonts w:cs="Arial"/>
                <w:lang w:bidi="he-IL"/>
              </w:rPr>
            </w:r>
            <w:r>
              <w:rPr>
                <w:b/>
                <w:rtl/>
                <w:rFonts w:cs="Arial"/>
                <w:lang w:bidi="he-IL"/>
              </w:rPr>
              <w:t>מפעל חשוד</w:t>
            </w:r>
          </w:p>
        </w:tc>
        <w:tc>
          <w:tcPr>
            <w:tcW w:type="dxa" w:w="1728"/>
          </w:tcPr>
          <w:p>
            <w:pPr>
              <w:bidi/>
              <w:jc w:val="both"/>
              <w:rPr>
                <w:rtl/>
              </w:rPr>
            </w:pPr>
            <w:r>
              <w:rPr>
                <w:b/>
                <w:rtl/>
                <w:rFonts w:cs="Arial"/>
                <w:lang w:bidi="he-IL"/>
              </w:rPr>
            </w:r>
            <w:r>
              <w:rPr>
                <w:b/>
                <w:rtl/>
                <w:rFonts w:cs="Arial"/>
                <w:lang w:bidi="he-IL"/>
              </w:rPr>
              <w:t>מחלקת ראיה</w:t>
            </w:r>
          </w:p>
        </w:tc>
        <w:tc>
          <w:tcPr>
            <w:tcW w:type="dxa" w:w="1728"/>
          </w:tcPr>
          <w:p>
            <w:pPr>
              <w:bidi/>
              <w:jc w:val="both"/>
              <w:rPr>
                <w:rtl/>
              </w:rPr>
            </w:pPr>
            <w:r>
              <w:rPr>
                <w:b/>
                <w:rtl/>
                <w:rFonts w:cs="Arial"/>
                <w:lang w:bidi="he-IL"/>
              </w:rPr>
            </w:r>
            <w:r>
              <w:rPr>
                <w:b/>
                <w:rtl/>
                <w:rFonts w:cs="Arial"/>
                <w:lang w:bidi="he-IL"/>
              </w:rPr>
              <w:t>רמת ביטחון</w:t>
            </w:r>
          </w:p>
        </w:tc>
      </w:tr>
      <w:tr>
        <w:tc>
          <w:tcPr>
            <w:tcW w:type="dxa" w:w="1728"/>
          </w:tcPr>
          <w:p>
            <w:pPr>
              <w:bidi/>
              <w:jc w:val="both"/>
              <w:rPr>
                <w:rtl/>
              </w:rPr>
            </w:pPr>
            <w:r>
              <w:rPr>
                <w:rtl/>
                <w:rFonts w:cs="Arial"/>
                <w:lang w:bidi="he-IL"/>
              </w:rPr>
            </w:r>
            <w:r>
              <w:rPr>
                <w:rtl/>
                <w:rFonts w:cs="Arial"/>
                <w:lang w:bidi="he-IL"/>
              </w:rPr>
              <w:t>CVOC — מתחם מרכזי</w:t>
            </w:r>
          </w:p>
        </w:tc>
        <w:tc>
          <w:tcPr>
            <w:tcW w:type="dxa" w:w="1728"/>
          </w:tcPr>
          <w:p>
            <w:pPr>
              <w:bidi/>
              <w:jc w:val="both"/>
              <w:rPr>
                <w:rtl/>
              </w:rPr>
            </w:pPr>
            <w:r>
              <w:rPr>
                <w:rtl/>
                <w:rFonts w:cs="Arial"/>
                <w:lang w:bidi="he-IL"/>
              </w:rPr>
            </w:r>
            <w:r>
              <w:rPr>
                <w:rtl/>
                <w:rFonts w:cs="Arial"/>
                <w:lang w:bidi="he-IL"/>
              </w:rPr>
              <w:t>TCE/PCE/DCE</w:t>
            </w:r>
          </w:p>
        </w:tc>
        <w:tc>
          <w:tcPr>
            <w:tcW w:type="dxa" w:w="1728"/>
          </w:tcPr>
          <w:p>
            <w:pPr>
              <w:bidi/>
              <w:jc w:val="both"/>
              <w:rPr>
                <w:rtl/>
              </w:rPr>
            </w:pPr>
            <w:r>
              <w:rPr>
                <w:rtl/>
                <w:rFonts w:cs="Arial"/>
                <w:lang w:bidi="he-IL"/>
              </w:rPr>
            </w:r>
            <w:r>
              <w:rPr>
                <w:rtl/>
                <w:rFonts w:cs="Arial"/>
                <w:lang w:bidi="he-IL"/>
              </w:rPr>
              <w:t>תדיראן-קשר (אלביט לשעבר), השופטים 26</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r>
        <w:tc>
          <w:tcPr>
            <w:tcW w:type="dxa" w:w="1728"/>
          </w:tcPr>
          <w:p>
            <w:pPr>
              <w:bidi/>
              <w:jc w:val="both"/>
              <w:rPr>
                <w:rtl/>
              </w:rPr>
            </w:pPr>
            <w:r>
              <w:rPr>
                <w:rtl/>
                <w:rFonts w:cs="Arial"/>
                <w:lang w:bidi="he-IL"/>
              </w:rPr>
            </w:r>
            <w:r>
              <w:rPr>
                <w:rtl/>
                <w:rFonts w:cs="Arial"/>
                <w:lang w:bidi="he-IL"/>
              </w:rPr>
              <w:t>CVOC — מתחם המלאכה</w:t>
            </w:r>
          </w:p>
        </w:tc>
        <w:tc>
          <w:tcPr>
            <w:tcW w:type="dxa" w:w="1728"/>
          </w:tcPr>
          <w:p>
            <w:pPr>
              <w:bidi/>
              <w:jc w:val="both"/>
              <w:rPr>
                <w:rtl/>
              </w:rPr>
            </w:pPr>
            <w:r>
              <w:rPr>
                <w:rtl/>
                <w:rFonts w:cs="Arial"/>
                <w:lang w:bidi="he-IL"/>
              </w:rPr>
            </w:r>
            <w:r>
              <w:rPr>
                <w:rtl/>
                <w:rFonts w:cs="Arial"/>
                <w:lang w:bidi="he-IL"/>
              </w:rPr>
              <w:t>TCE</w:t>
            </w:r>
          </w:p>
        </w:tc>
        <w:tc>
          <w:tcPr>
            <w:tcW w:type="dxa" w:w="1728"/>
          </w:tcPr>
          <w:p>
            <w:pPr>
              <w:bidi/>
              <w:jc w:val="both"/>
              <w:rPr>
                <w:rtl/>
              </w:rPr>
            </w:pPr>
            <w:r>
              <w:rPr>
                <w:rtl/>
                <w:rFonts w:cs="Arial"/>
                <w:lang w:bidi="he-IL"/>
              </w:rPr>
            </w:r>
            <w:r>
              <w:rPr>
                <w:rtl/>
                <w:rFonts w:cs="Arial"/>
                <w:lang w:bidi="he-IL"/>
              </w:rPr>
              <w:t>תדירגן (המלאכה 19–21)</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r>
        <w:tc>
          <w:tcPr>
            <w:tcW w:type="dxa" w:w="1728"/>
          </w:tcPr>
          <w:p>
            <w:pPr>
              <w:bidi/>
              <w:jc w:val="both"/>
              <w:rPr>
                <w:rtl/>
              </w:rPr>
            </w:pPr>
            <w:r>
              <w:rPr>
                <w:rtl/>
                <w:rFonts w:cs="Arial"/>
                <w:lang w:bidi="he-IL"/>
              </w:rPr>
            </w:r>
            <w:r>
              <w:rPr>
                <w:rtl/>
                <w:rFonts w:cs="Arial"/>
                <w:lang w:bidi="he-IL"/>
              </w:rPr>
              <w:t>CVOC — נת חולון 3</w:t>
            </w:r>
          </w:p>
        </w:tc>
        <w:tc>
          <w:tcPr>
            <w:tcW w:type="dxa" w:w="1728"/>
          </w:tcPr>
          <w:p>
            <w:pPr>
              <w:bidi/>
              <w:jc w:val="both"/>
              <w:rPr>
                <w:rtl/>
              </w:rPr>
            </w:pPr>
            <w:r>
              <w:rPr>
                <w:rtl/>
                <w:rFonts w:cs="Arial"/>
                <w:lang w:bidi="he-IL"/>
              </w:rPr>
            </w:r>
            <w:r>
              <w:rPr>
                <w:rtl/>
                <w:rFonts w:cs="Arial"/>
                <w:lang w:bidi="he-IL"/>
              </w:rPr>
              <w:t>TCE/Cr</w:t>
            </w:r>
          </w:p>
        </w:tc>
        <w:tc>
          <w:tcPr>
            <w:tcW w:type="dxa" w:w="1728"/>
          </w:tcPr>
          <w:p>
            <w:pPr>
              <w:bidi/>
              <w:jc w:val="both"/>
              <w:rPr>
                <w:rtl/>
              </w:rPr>
            </w:pPr>
            <w:r>
              <w:rPr>
                <w:rtl/>
                <w:rFonts w:cs="Arial"/>
                <w:lang w:bidi="he-IL"/>
              </w:rPr>
            </w:r>
            <w:r>
              <w:rPr>
                <w:rtl/>
                <w:rFonts w:cs="Arial"/>
                <w:lang w:bidi="he-IL"/>
              </w:rPr>
              <w:t>תרשיש (היוצר 6 / הסולל 2)</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r>
        <w:tc>
          <w:tcPr>
            <w:tcW w:type="dxa" w:w="1728"/>
          </w:tcPr>
          <w:p>
            <w:pPr>
              <w:bidi/>
              <w:jc w:val="both"/>
              <w:rPr>
                <w:rtl/>
              </w:rPr>
            </w:pPr>
            <w:r>
              <w:rPr>
                <w:rtl/>
                <w:rFonts w:cs="Arial"/>
                <w:lang w:bidi="he-IL"/>
              </w:rPr>
            </w:r>
            <w:r>
              <w:rPr>
                <w:rtl/>
                <w:rFonts w:cs="Arial"/>
                <w:lang w:bidi="he-IL"/>
              </w:rPr>
              <w:t>CVOC — נח חולון 8</w:t>
            </w:r>
          </w:p>
        </w:tc>
        <w:tc>
          <w:tcPr>
            <w:tcW w:type="dxa" w:w="1728"/>
          </w:tcPr>
          <w:p>
            <w:pPr>
              <w:bidi/>
              <w:jc w:val="both"/>
              <w:rPr>
                <w:rtl/>
              </w:rPr>
            </w:pPr>
            <w:r>
              <w:rPr>
                <w:rtl/>
                <w:rFonts w:cs="Arial"/>
                <w:lang w:bidi="he-IL"/>
              </w:rPr>
            </w:r>
            <w:r>
              <w:rPr>
                <w:rtl/>
                <w:rFonts w:cs="Arial"/>
                <w:lang w:bidi="he-IL"/>
              </w:rPr>
              <w:t>DCE/TCE</w:t>
            </w:r>
          </w:p>
        </w:tc>
        <w:tc>
          <w:tcPr>
            <w:tcW w:type="dxa" w:w="1728"/>
          </w:tcPr>
          <w:p>
            <w:pPr>
              <w:bidi/>
              <w:jc w:val="both"/>
              <w:rPr>
                <w:rtl/>
              </w:rPr>
            </w:pPr>
            <w:r>
              <w:rPr>
                <w:rtl/>
                <w:rFonts w:cs="Arial"/>
                <w:lang w:bidi="he-IL"/>
              </w:rPr>
            </w:r>
            <w:r>
              <w:rPr>
                <w:rtl/>
                <w:rFonts w:cs="Arial"/>
                <w:lang w:bidi="he-IL"/>
              </w:rPr>
              <w:t>אמינוגרף (הנפח 12)</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r>
        <w:tc>
          <w:tcPr>
            <w:tcW w:type="dxa" w:w="1728"/>
          </w:tcPr>
          <w:p>
            <w:pPr>
              <w:bidi/>
              <w:jc w:val="both"/>
              <w:rPr>
                <w:rtl/>
              </w:rPr>
            </w:pPr>
            <w:r>
              <w:rPr>
                <w:rtl/>
                <w:rFonts w:cs="Arial"/>
                <w:lang w:bidi="he-IL"/>
              </w:rPr>
            </w:r>
            <w:r>
              <w:rPr>
                <w:rtl/>
                <w:rFonts w:cs="Arial"/>
                <w:lang w:bidi="he-IL"/>
              </w:rPr>
              <w:t>CVOC — נת חולון 1</w:t>
            </w:r>
          </w:p>
        </w:tc>
        <w:tc>
          <w:tcPr>
            <w:tcW w:type="dxa" w:w="1728"/>
          </w:tcPr>
          <w:p>
            <w:pPr>
              <w:bidi/>
              <w:jc w:val="both"/>
              <w:rPr>
                <w:rtl/>
              </w:rPr>
            </w:pPr>
            <w:r>
              <w:rPr>
                <w:rtl/>
                <w:rFonts w:cs="Arial"/>
                <w:lang w:bidi="he-IL"/>
              </w:rPr>
            </w:r>
            <w:r>
              <w:rPr>
                <w:rtl/>
                <w:rFonts w:cs="Arial"/>
                <w:lang w:bidi="he-IL"/>
              </w:rPr>
              <w:t>TCE/DCE/1,4-dioxane</w:t>
            </w:r>
          </w:p>
        </w:tc>
        <w:tc>
          <w:tcPr>
            <w:tcW w:type="dxa" w:w="1728"/>
          </w:tcPr>
          <w:p>
            <w:pPr>
              <w:bidi/>
              <w:jc w:val="both"/>
              <w:rPr>
                <w:rtl/>
              </w:rPr>
            </w:pPr>
            <w:r>
              <w:rPr>
                <w:rtl/>
                <w:rFonts w:cs="Arial"/>
                <w:lang w:bidi="he-IL"/>
              </w:rPr>
            </w:r>
            <w:r>
              <w:rPr>
                <w:rtl/>
                <w:rFonts w:cs="Arial"/>
                <w:lang w:bidi="he-IL"/>
              </w:rPr>
              <w:t>כור מתכת (האופן 1)</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MEDIUM-HIGH</w:t>
            </w:r>
          </w:p>
        </w:tc>
      </w:tr>
      <w:tr>
        <w:tc>
          <w:tcPr>
            <w:tcW w:type="dxa" w:w="1728"/>
          </w:tcPr>
          <w:p>
            <w:pPr>
              <w:bidi/>
              <w:jc w:val="both"/>
              <w:rPr>
                <w:rtl/>
              </w:rPr>
            </w:pPr>
            <w:r>
              <w:rPr>
                <w:rtl/>
                <w:rFonts w:cs="Arial"/>
                <w:lang w:bidi="he-IL"/>
              </w:rPr>
            </w:r>
            <w:r>
              <w:rPr>
                <w:rtl/>
                <w:rFonts w:cs="Arial"/>
                <w:lang w:bidi="he-IL"/>
              </w:rPr>
              <w:t>CVOC — 1,1-DCE עודף</w:t>
            </w:r>
          </w:p>
        </w:tc>
        <w:tc>
          <w:tcPr>
            <w:tcW w:type="dxa" w:w="1728"/>
          </w:tcPr>
          <w:p>
            <w:pPr>
              <w:bidi/>
              <w:jc w:val="both"/>
              <w:rPr>
                <w:rtl/>
              </w:rPr>
            </w:pPr>
            <w:r>
              <w:rPr>
                <w:rtl/>
                <w:rFonts w:cs="Arial"/>
                <w:lang w:bidi="he-IL"/>
              </w:rPr>
            </w:r>
            <w:r>
              <w:rPr>
                <w:rtl/>
                <w:rFonts w:cs="Arial"/>
                <w:lang w:bidi="he-IL"/>
              </w:rPr>
              <w:t>1,1-DCE</w:t>
            </w:r>
          </w:p>
        </w:tc>
        <w:tc>
          <w:tcPr>
            <w:tcW w:type="dxa" w:w="1728"/>
          </w:tcPr>
          <w:p>
            <w:pPr>
              <w:bidi/>
              <w:jc w:val="both"/>
              <w:rPr>
                <w:rtl/>
              </w:rPr>
            </w:pPr>
            <w:r>
              <w:rPr>
                <w:rtl/>
                <w:rFonts w:cs="Arial"/>
                <w:lang w:bidi="he-IL"/>
              </w:rPr>
            </w:r>
            <w:r>
              <w:rPr>
                <w:rtl/>
                <w:rFonts w:cs="Arial"/>
                <w:lang w:bidi="he-IL"/>
              </w:rPr>
              <w:t>יצרן vinylidene chloride/PVDC בלתי-מזוהה</w:t>
            </w:r>
          </w:p>
        </w:tc>
        <w:tc>
          <w:tcPr>
            <w:tcW w:type="dxa" w:w="1728"/>
          </w:tcPr>
          <w:p>
            <w:pPr>
              <w:bidi/>
              <w:jc w:val="both"/>
              <w:rPr>
                <w:rtl/>
              </w:rPr>
            </w:pPr>
            <w:r>
              <w:rPr>
                <w:rtl/>
                <w:rFonts w:cs="Arial"/>
                <w:lang w:bidi="he-IL"/>
              </w:rPr>
            </w:r>
            <w:r>
              <w:rPr>
                <w:rtl/>
                <w:rFonts w:cs="Arial"/>
                <w:lang w:bidi="he-IL"/>
              </w:rPr>
              <w:t>D</w:t>
            </w:r>
          </w:p>
        </w:tc>
        <w:tc>
          <w:tcPr>
            <w:tcW w:type="dxa" w:w="1728"/>
          </w:tcPr>
          <w:p>
            <w:pPr>
              <w:bidi/>
              <w:jc w:val="both"/>
              <w:rPr>
                <w:rtl/>
              </w:rPr>
            </w:pPr>
            <w:r>
              <w:rPr>
                <w:rtl/>
                <w:rFonts w:cs="Arial"/>
                <w:lang w:bidi="he-IL"/>
              </w:rPr>
            </w:r>
            <w:r>
              <w:rPr>
                <w:rtl/>
                <w:rFonts w:cs="Arial"/>
                <w:lang w:bidi="he-IL"/>
              </w:rPr>
              <w:t>LOW</w:t>
            </w:r>
          </w:p>
        </w:tc>
      </w:tr>
      <w:tr>
        <w:tc>
          <w:tcPr>
            <w:tcW w:type="dxa" w:w="1728"/>
          </w:tcPr>
          <w:p>
            <w:pPr>
              <w:bidi/>
              <w:jc w:val="both"/>
              <w:rPr>
                <w:rtl/>
              </w:rPr>
            </w:pPr>
            <w:r>
              <w:rPr>
                <w:rtl/>
                <w:rFonts w:cs="Arial"/>
                <w:lang w:bidi="he-IL"/>
              </w:rPr>
            </w:r>
            <w:r>
              <w:rPr>
                <w:rtl/>
                <w:rFonts w:cs="Arial"/>
                <w:lang w:bidi="he-IL"/>
              </w:rPr>
              <w:t>CVOC — 1,4-dioxane</w:t>
            </w:r>
          </w:p>
        </w:tc>
        <w:tc>
          <w:tcPr>
            <w:tcW w:type="dxa" w:w="1728"/>
          </w:tcPr>
          <w:p>
            <w:pPr>
              <w:bidi/>
              <w:jc w:val="both"/>
              <w:rPr>
                <w:rtl/>
              </w:rPr>
            </w:pPr>
            <w:r>
              <w:rPr>
                <w:rtl/>
                <w:rFonts w:cs="Arial"/>
                <w:lang w:bidi="he-IL"/>
              </w:rPr>
            </w:r>
            <w:r>
              <w:rPr>
                <w:rtl/>
                <w:rFonts w:cs="Arial"/>
                <w:lang w:bidi="he-IL"/>
              </w:rPr>
              <w:t>1,4-dioxane</w:t>
            </w:r>
          </w:p>
        </w:tc>
        <w:tc>
          <w:tcPr>
            <w:tcW w:type="dxa" w:w="1728"/>
          </w:tcPr>
          <w:p>
            <w:pPr>
              <w:bidi/>
              <w:jc w:val="both"/>
              <w:rPr>
                <w:rtl/>
              </w:rPr>
            </w:pPr>
            <w:r>
              <w:rPr>
                <w:rtl/>
                <w:rFonts w:cs="Arial"/>
                <w:lang w:bidi="he-IL"/>
              </w:rPr>
            </w:r>
            <w:r>
              <w:rPr>
                <w:rtl/>
                <w:rFonts w:cs="Arial"/>
                <w:lang w:bidi="he-IL"/>
              </w:rPr>
              <w:t>מקור תעשייתי עצמאי בלתי-מזוהה</w:t>
            </w:r>
          </w:p>
        </w:tc>
        <w:tc>
          <w:tcPr>
            <w:tcW w:type="dxa" w:w="1728"/>
          </w:tcPr>
          <w:p>
            <w:pPr>
              <w:bidi/>
              <w:jc w:val="both"/>
              <w:rPr>
                <w:rtl/>
              </w:rPr>
            </w:pPr>
            <w:r>
              <w:rPr>
                <w:rtl/>
                <w:rFonts w:cs="Arial"/>
                <w:lang w:bidi="he-IL"/>
              </w:rPr>
            </w:r>
            <w:r>
              <w:rPr>
                <w:rtl/>
                <w:rFonts w:cs="Arial"/>
                <w:lang w:bidi="he-IL"/>
              </w:rPr>
              <w:t>D</w:t>
            </w:r>
          </w:p>
        </w:tc>
        <w:tc>
          <w:tcPr>
            <w:tcW w:type="dxa" w:w="1728"/>
          </w:tcPr>
          <w:p>
            <w:pPr>
              <w:bidi/>
              <w:jc w:val="both"/>
              <w:rPr>
                <w:rtl/>
              </w:rPr>
            </w:pPr>
            <w:r>
              <w:rPr>
                <w:rtl/>
                <w:rFonts w:cs="Arial"/>
                <w:lang w:bidi="he-IL"/>
              </w:rPr>
            </w:r>
            <w:r>
              <w:rPr>
                <w:rtl/>
                <w:rFonts w:cs="Arial"/>
                <w:lang w:bidi="he-IL"/>
              </w:rPr>
              <w:t>LOW</w:t>
            </w:r>
          </w:p>
        </w:tc>
      </w:tr>
      <w:tr>
        <w:tc>
          <w:tcPr>
            <w:tcW w:type="dxa" w:w="1728"/>
          </w:tcPr>
          <w:p>
            <w:pPr>
              <w:bidi/>
              <w:jc w:val="both"/>
              <w:rPr>
                <w:rtl/>
              </w:rPr>
            </w:pPr>
            <w:r>
              <w:rPr>
                <w:rtl/>
                <w:rFonts w:cs="Arial"/>
                <w:lang w:bidi="he-IL"/>
              </w:rPr>
            </w:r>
            <w:r>
              <w:rPr>
                <w:rtl/>
                <w:rFonts w:cs="Arial"/>
                <w:lang w:bidi="he-IL"/>
              </w:rPr>
              <w:t>METALS — רימטל</w:t>
            </w:r>
          </w:p>
        </w:tc>
        <w:tc>
          <w:tcPr>
            <w:tcW w:type="dxa" w:w="1728"/>
          </w:tcPr>
          <w:p>
            <w:pPr>
              <w:bidi/>
              <w:jc w:val="both"/>
              <w:rPr>
                <w:rtl/>
              </w:rPr>
            </w:pPr>
            <w:r>
              <w:rPr>
                <w:rtl/>
                <w:rFonts w:cs="Arial"/>
                <w:lang w:bidi="he-IL"/>
              </w:rPr>
            </w:r>
            <w:r>
              <w:rPr>
                <w:rtl/>
                <w:rFonts w:cs="Arial"/>
                <w:lang w:bidi="he-IL"/>
              </w:rPr>
              <w:t>Ni/Al/Fe/Pb</w:t>
            </w:r>
          </w:p>
        </w:tc>
        <w:tc>
          <w:tcPr>
            <w:tcW w:type="dxa" w:w="1728"/>
          </w:tcPr>
          <w:p>
            <w:pPr>
              <w:bidi/>
              <w:jc w:val="both"/>
              <w:rPr>
                <w:rtl/>
              </w:rPr>
            </w:pPr>
            <w:r>
              <w:rPr>
                <w:rtl/>
                <w:rFonts w:cs="Arial"/>
                <w:lang w:bidi="he-IL"/>
              </w:rPr>
            </w:r>
            <w:r>
              <w:rPr>
                <w:rtl/>
                <w:rFonts w:cs="Arial"/>
                <w:lang w:bidi="he-IL"/>
              </w:rPr>
              <w:t>רימטל/ארן-מטל (המנור 54)</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r>
        <w:tc>
          <w:tcPr>
            <w:tcW w:type="dxa" w:w="1728"/>
          </w:tcPr>
          <w:p>
            <w:pPr>
              <w:bidi/>
              <w:jc w:val="both"/>
              <w:rPr>
                <w:rtl/>
              </w:rPr>
            </w:pPr>
            <w:r>
              <w:rPr>
                <w:rtl/>
                <w:rFonts w:cs="Arial"/>
                <w:lang w:bidi="he-IL"/>
              </w:rPr>
            </w:r>
            <w:r>
              <w:rPr>
                <w:rtl/>
                <w:rFonts w:cs="Arial"/>
                <w:lang w:bidi="he-IL"/>
              </w:rPr>
              <w:t>METALS — נת חולון 14</w:t>
            </w:r>
          </w:p>
        </w:tc>
        <w:tc>
          <w:tcPr>
            <w:tcW w:type="dxa" w:w="1728"/>
          </w:tcPr>
          <w:p>
            <w:pPr>
              <w:bidi/>
              <w:jc w:val="both"/>
              <w:rPr>
                <w:rtl/>
              </w:rPr>
            </w:pPr>
            <w:r>
              <w:rPr>
                <w:rtl/>
                <w:rFonts w:cs="Arial"/>
                <w:lang w:bidi="he-IL"/>
              </w:rPr>
            </w:r>
            <w:r>
              <w:rPr>
                <w:rtl/>
                <w:rFonts w:cs="Arial"/>
                <w:lang w:bidi="he-IL"/>
              </w:rPr>
              <w:t>Cr/TCE</w:t>
            </w:r>
          </w:p>
        </w:tc>
        <w:tc>
          <w:tcPr>
            <w:tcW w:type="dxa" w:w="1728"/>
          </w:tcPr>
          <w:p>
            <w:pPr>
              <w:bidi/>
              <w:jc w:val="both"/>
              <w:rPr>
                <w:rtl/>
              </w:rPr>
            </w:pPr>
            <w:r>
              <w:rPr>
                <w:rtl/>
                <w:rFonts w:cs="Arial"/>
                <w:lang w:bidi="he-IL"/>
              </w:rPr>
            </w:r>
            <w:r>
              <w:rPr>
                <w:rtl/>
                <w:rFonts w:cs="Arial"/>
                <w:lang w:bidi="he-IL"/>
              </w:rPr>
              <w:t>אמקור פליז / המלבין / סופר כרום</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HIGH/MEDIUM</w:t>
            </w:r>
          </w:p>
        </w:tc>
      </w:tr>
      <w:tr>
        <w:tc>
          <w:tcPr>
            <w:tcW w:type="dxa" w:w="1728"/>
          </w:tcPr>
          <w:p>
            <w:pPr>
              <w:bidi/>
              <w:jc w:val="both"/>
              <w:rPr>
                <w:rtl/>
              </w:rPr>
            </w:pPr>
            <w:r>
              <w:rPr>
                <w:rtl/>
                <w:rFonts w:cs="Arial"/>
                <w:lang w:bidi="he-IL"/>
              </w:rPr>
            </w:r>
            <w:r>
              <w:rPr>
                <w:rtl/>
                <w:rFonts w:cs="Arial"/>
                <w:lang w:bidi="he-IL"/>
              </w:rPr>
              <w:t>METALS — נת חולון 26</w:t>
            </w:r>
          </w:p>
        </w:tc>
        <w:tc>
          <w:tcPr>
            <w:tcW w:type="dxa" w:w="1728"/>
          </w:tcPr>
          <w:p>
            <w:pPr>
              <w:bidi/>
              <w:jc w:val="both"/>
              <w:rPr>
                <w:rtl/>
              </w:rPr>
            </w:pPr>
            <w:r>
              <w:rPr>
                <w:rtl/>
                <w:rFonts w:cs="Arial"/>
                <w:lang w:bidi="he-IL"/>
              </w:rPr>
            </w:r>
            <w:r>
              <w:rPr>
                <w:rtl/>
                <w:rFonts w:cs="Arial"/>
                <w:lang w:bidi="he-IL"/>
              </w:rPr>
              <w:t>Cr (ללא Ni)</w:t>
            </w:r>
          </w:p>
        </w:tc>
        <w:tc>
          <w:tcPr>
            <w:tcW w:type="dxa" w:w="1728"/>
          </w:tcPr>
          <w:p>
            <w:pPr>
              <w:bidi/>
              <w:jc w:val="both"/>
              <w:rPr>
                <w:rtl/>
              </w:rPr>
            </w:pPr>
            <w:r>
              <w:rPr>
                <w:rtl/>
                <w:rFonts w:cs="Arial"/>
                <w:lang w:bidi="he-IL"/>
              </w:rPr>
            </w:r>
            <w:r>
              <w:rPr>
                <w:rtl/>
                <w:rFonts w:cs="Arial"/>
                <w:lang w:bidi="he-IL"/>
              </w:rPr>
              <w:t>מקור פסיוואציה נקודתי בלתי-מזוהה</w:t>
            </w:r>
          </w:p>
        </w:tc>
        <w:tc>
          <w:tcPr>
            <w:tcW w:type="dxa" w:w="1728"/>
          </w:tcPr>
          <w:p>
            <w:pPr>
              <w:bidi/>
              <w:jc w:val="both"/>
              <w:rPr>
                <w:rtl/>
              </w:rPr>
            </w:pPr>
            <w:r>
              <w:rPr>
                <w:rtl/>
                <w:rFonts w:cs="Arial"/>
                <w:lang w:bidi="he-IL"/>
              </w:rPr>
            </w:r>
            <w:r>
              <w:rPr>
                <w:rtl/>
                <w:rFonts w:cs="Arial"/>
                <w:lang w:bidi="he-IL"/>
              </w:rPr>
              <w:t>D</w:t>
            </w:r>
          </w:p>
        </w:tc>
        <w:tc>
          <w:tcPr>
            <w:tcW w:type="dxa" w:w="1728"/>
          </w:tcPr>
          <w:p>
            <w:pPr>
              <w:bidi/>
              <w:jc w:val="both"/>
              <w:rPr>
                <w:rtl/>
              </w:rPr>
            </w:pPr>
            <w:r>
              <w:rPr>
                <w:rtl/>
                <w:rFonts w:cs="Arial"/>
                <w:lang w:bidi="he-IL"/>
              </w:rPr>
            </w:r>
            <w:r>
              <w:rPr>
                <w:rtl/>
                <w:rFonts w:cs="Arial"/>
                <w:lang w:bidi="he-IL"/>
              </w:rPr>
              <w:t>LOW</w:t>
            </w:r>
          </w:p>
        </w:tc>
      </w:tr>
      <w:tr>
        <w:tc>
          <w:tcPr>
            <w:tcW w:type="dxa" w:w="1728"/>
          </w:tcPr>
          <w:p>
            <w:pPr>
              <w:bidi/>
              <w:jc w:val="both"/>
              <w:rPr>
                <w:rtl/>
              </w:rPr>
            </w:pPr>
            <w:r>
              <w:rPr>
                <w:rtl/>
                <w:rFonts w:cs="Arial"/>
                <w:lang w:bidi="he-IL"/>
              </w:rPr>
            </w:r>
            <w:r>
              <w:rPr>
                <w:rtl/>
                <w:rFonts w:cs="Arial"/>
                <w:lang w:bidi="he-IL"/>
              </w:rPr>
              <w:t>FUEL — חניון אגד</w:t>
            </w:r>
          </w:p>
        </w:tc>
        <w:tc>
          <w:tcPr>
            <w:tcW w:type="dxa" w:w="1728"/>
          </w:tcPr>
          <w:p>
            <w:pPr>
              <w:bidi/>
              <w:jc w:val="both"/>
              <w:rPr>
                <w:rtl/>
              </w:rPr>
            </w:pPr>
            <w:r>
              <w:rPr>
                <w:rtl/>
                <w:rFonts w:cs="Arial"/>
                <w:lang w:bidi="he-IL"/>
              </w:rPr>
            </w:r>
            <w:r>
              <w:rPr>
                <w:rtl/>
                <w:rFonts w:cs="Arial"/>
                <w:lang w:bidi="he-IL"/>
              </w:rPr>
              <w:t>BTEX/MTBE</w:t>
            </w:r>
          </w:p>
        </w:tc>
        <w:tc>
          <w:tcPr>
            <w:tcW w:type="dxa" w:w="1728"/>
          </w:tcPr>
          <w:p>
            <w:pPr>
              <w:bidi/>
              <w:jc w:val="both"/>
              <w:rPr>
                <w:rtl/>
              </w:rPr>
            </w:pPr>
            <w:r>
              <w:rPr>
                <w:rtl/>
                <w:rFonts w:cs="Arial"/>
                <w:lang w:bidi="he-IL"/>
              </w:rPr>
            </w:r>
            <w:r>
              <w:rPr>
                <w:rtl/>
                <w:rFonts w:cs="Arial"/>
                <w:lang w:bidi="he-IL"/>
              </w:rPr>
              <w:t>תחנת תדלוק וחניון אגד</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r>
        <w:tc>
          <w:tcPr>
            <w:tcW w:type="dxa" w:w="1728"/>
          </w:tcPr>
          <w:p>
            <w:pPr>
              <w:bidi/>
              <w:jc w:val="both"/>
              <w:rPr>
                <w:rtl/>
              </w:rPr>
            </w:pPr>
            <w:r>
              <w:rPr>
                <w:rtl/>
                <w:rFonts w:cs="Arial"/>
                <w:lang w:bidi="he-IL"/>
              </w:rPr>
            </w:r>
            <w:r>
              <w:rPr>
                <w:rtl/>
                <w:rFonts w:cs="Arial"/>
                <w:lang w:bidi="he-IL"/>
              </w:rPr>
              <w:t>FUEL — מרכבות האש</w:t>
            </w:r>
          </w:p>
        </w:tc>
        <w:tc>
          <w:tcPr>
            <w:tcW w:type="dxa" w:w="1728"/>
          </w:tcPr>
          <w:p>
            <w:pPr>
              <w:bidi/>
              <w:jc w:val="both"/>
              <w:rPr>
                <w:rtl/>
              </w:rPr>
            </w:pPr>
            <w:r>
              <w:rPr>
                <w:rtl/>
                <w:rFonts w:cs="Arial"/>
                <w:lang w:bidi="he-IL"/>
              </w:rPr>
            </w:r>
            <w:r>
              <w:rPr>
                <w:rtl/>
                <w:rFonts w:cs="Arial"/>
                <w:lang w:bidi="he-IL"/>
              </w:rPr>
              <w:t>BTEX/MTBE/TBA</w:t>
            </w:r>
          </w:p>
        </w:tc>
        <w:tc>
          <w:tcPr>
            <w:tcW w:type="dxa" w:w="1728"/>
          </w:tcPr>
          <w:p>
            <w:pPr>
              <w:bidi/>
              <w:jc w:val="both"/>
              <w:rPr>
                <w:rtl/>
              </w:rPr>
            </w:pPr>
            <w:r>
              <w:rPr>
                <w:rtl/>
                <w:rFonts w:cs="Arial"/>
                <w:lang w:bidi="he-IL"/>
              </w:rPr>
            </w:r>
            <w:r>
              <w:rPr>
                <w:rtl/>
                <w:rFonts w:cs="Arial"/>
                <w:lang w:bidi="he-IL"/>
              </w:rPr>
              <w:t>מתחם תדלוק מרכבות האש</w:t>
            </w:r>
          </w:p>
        </w:tc>
        <w:tc>
          <w:tcPr>
            <w:tcW w:type="dxa" w:w="1728"/>
          </w:tcPr>
          <w:p>
            <w:pPr>
              <w:bidi/>
              <w:jc w:val="both"/>
              <w:rPr>
                <w:rtl/>
              </w:rPr>
            </w:pPr>
            <w:r>
              <w:rPr>
                <w:rtl/>
                <w:rFonts w:cs="Arial"/>
                <w:lang w:bidi="he-IL"/>
              </w:rPr>
            </w:r>
            <w:r>
              <w:rPr>
                <w:rtl/>
                <w:rFonts w:cs="Arial"/>
                <w:lang w:bidi="he-IL"/>
              </w:rPr>
              <w:t>A+B</w:t>
            </w:r>
          </w:p>
        </w:tc>
        <w:tc>
          <w:tcPr>
            <w:tcW w:type="dxa" w:w="1728"/>
          </w:tcPr>
          <w:p>
            <w:pPr>
              <w:bidi/>
              <w:jc w:val="both"/>
              <w:rPr>
                <w:rtl/>
              </w:rPr>
            </w:pPr>
            <w:r>
              <w:rPr>
                <w:rtl/>
                <w:rFonts w:cs="Arial"/>
                <w:lang w:bidi="he-IL"/>
              </w:rPr>
            </w:r>
            <w:r>
              <w:rPr>
                <w:rtl/>
                <w:rFonts w:cs="Arial"/>
                <w:lang w:bidi="he-IL"/>
              </w:rPr>
              <w:t>HIGH</w:t>
            </w:r>
          </w:p>
        </w:tc>
      </w:tr>
    </w:tbl>
    <w:p>
      <w:pPr>
        <w:bidi/>
        <w:jc w:val="both"/>
        <w:rPr>
          <w:rtl/>
        </w:rPr>
      </w:pPr>
      <w:r>
        <w:rPr>
          <w:b/>
          <w:rtl/>
          <w:rFonts w:cs="Arial"/>
          <w:lang w:bidi="he-IL"/>
        </w:rPr>
        <w:t>שיוכים ברמת ביטחון HIGH — נימוקים</w:t>
      </w:r>
      <w:r>
        <w:rPr>
          <w:rtl/>
          <w:rFonts w:cs="Arial"/>
          <w:lang w:bidi="he-IL"/>
        </w:rPr>
        <w:t>:</w:t>
      </w:r>
    </w:p>
    <w:p>
      <w:pPr>
        <w:bidi/>
        <w:jc w:val="both"/>
        <w:rPr>
          <w:rtl/>
        </w:rPr>
      </w:pPr>
      <w:r>
        <w:rPr>
          <w:b/>
          <w:rtl/>
          <w:rFonts w:cs="Arial"/>
          <w:lang w:bidi="he-IL"/>
        </w:rPr>
        <w:t>תדיראן-קשר (אלביט לשעבר)</w:t>
      </w:r>
      <w:r>
        <w:rPr>
          <w:rtl/>
          <w:rFonts w:cs="Arial"/>
          <w:lang w:bidi="he-IL"/>
        </w:rPr>
        <w:t>: היסטורי 2007 (עמ' 6) מתעד ריכוז TCE 12,982 µg/L בנת חולון 11 "בצמוד למפעל תדיראן קשר"; היסטורי 2021 (עמ' 31) מייחס מפורשות את הממסים המוכלרים למפעל. ספיקות שפכים של 40,000–90,000 מ"ק/שנה הוזרמו למערכת הביוב ללא טיפול במשך עשרות שנים (היסטורי 2007, עמ' 74). המפעל סגר כ-2000, אך מסת DNAPL במעמקי האקוויפר יכולה להוות מקור משני לעשרות שנים.</w:t>
      </w:r>
    </w:p>
    <w:p>
      <w:pPr>
        <w:bidi/>
        <w:jc w:val="both"/>
        <w:rPr>
          <w:rtl/>
        </w:rPr>
      </w:pPr>
      <w:r>
        <w:rPr>
          <w:b/>
          <w:rtl/>
          <w:rFonts w:cs="Arial"/>
          <w:lang w:bidi="he-IL"/>
        </w:rPr>
        <w:t>תדירגן</w:t>
      </w:r>
      <w:r>
        <w:rPr>
          <w:rtl/>
          <w:rFonts w:cs="Arial"/>
          <w:lang w:bidi="he-IL"/>
        </w:rPr>
        <w:t>: היסטורי 2021 (עמ' 31) מציין מפורשות שמוקד תדירגן ההיסטורי הוא מקור הזיהום בקידוחי תדירגן ובקידוחי הניטור בתחנת התדלוק "סונול המלאכה". במתחם בוצע שיקום ISCO ב-2013–2020. עם זאת, ה-TCE היציב בריכוז 2,722 µg/L בנד סונול המלאכה מ-1 (01/2026) מעלה את השאלה האם השיקום הגיע למקור ה-DNAPL בעומק — דורש בירור פעיל אצל רשות המים.</w:t>
      </w:r>
    </w:p>
    <w:p>
      <w:pPr>
        <w:bidi/>
        <w:jc w:val="both"/>
        <w:rPr>
          <w:rtl/>
        </w:rPr>
      </w:pPr>
      <w:r>
        <w:rPr>
          <w:b/>
          <w:rtl/>
          <w:rFonts w:cs="Arial"/>
          <w:lang w:bidi="he-IL"/>
        </w:rPr>
        <w:t>חניון אגד</w:t>
      </w:r>
      <w:r>
        <w:rPr>
          <w:rtl/>
          <w:rFonts w:cs="Arial"/>
          <w:lang w:bidi="he-IL"/>
        </w:rPr>
        <w:t>: היסטורי 2021 (עמ' 32) מתעד אינדקס דלק 7 בקידוחי אגד אזור; המתחם הוא מתקן תדלוק וחניון פעיל מאז שנות ה-60. ריכוזי הדלק הקיצוניים (בנזין עד 85,000% מהתקן) עקביים עם מקור פעיל קרוב.</w:t>
      </w:r>
    </w:p>
    <w:p>
      <w:pPr>
        <w:bidi/>
        <w:jc w:val="both"/>
        <w:rPr>
          <w:rtl/>
        </w:rPr>
      </w:pPr>
      <w:r>
        <w:rPr>
          <w:b/>
          <w:rtl/>
          <w:rFonts w:cs="Arial"/>
          <w:lang w:bidi="he-IL"/>
        </w:rPr>
        <w:t>ראיות פורנזיות</w:t>
      </w:r>
      <w:r>
        <w:rPr>
          <w:rtl/>
          <w:rFonts w:cs="Arial"/>
          <w:lang w:bidi="he-IL"/>
        </w:rPr>
        <w:t>: שתי חתימות פירוק רדוקטיבי נבדלות מתקיימות באזור — באשכול נת חולון שולט יחס 1,1-DCE &gt;&gt; cis-1,2-DCE (חתימת מקור ישיר/אבּיוטי; עוגן F2_001), ובאשכול אגד שולט יחס cis-1,2-DCE &gt; 1,1-DCE עם הצטברות VC (חתימת פירוק ביוטי קלאסי; עוגן F3_001). הבדל זה מחייב ניתוח שיוך נפרד לכל אשכול. בנד אגד אזור 1 מתועד פלאום מעורב (commingled) של דלק + CVOC (עוגן F5_001), המעלה שאלה האם פחמימני הדלק מספקים דונור-אלקטרון לפירוק פלאום CVOC תת-קרקעי.</w:t>
      </w:r>
    </w:p>
    <w:p>
      <w:pPr>
        <w:bidi/>
        <w:jc w:val="both"/>
        <w:rPr>
          <w:rtl/>
        </w:rPr>
      </w:pPr>
      <w:r>
        <w:rPr>
          <w:rtl/>
          <w:rFonts w:cs="Arial"/>
          <w:lang w:bidi="he-IL"/>
        </w:rPr>
        <w:t>יש לציין כי ייחוס "ודאי" של מקור דורש מדידת כיוון זרימה ספציפי, התאמת חתימה כימית (למשל יחסי איזוטופ δ¹³C), ואישור הידרולוג — ראיות שאינן זמינות בשלב זה. השיוכים לעיל הם "מועמדים מובילים" בלבד. שיוכי D (1,1-DCE עודף, 1,4-dioxane עצמאי, הכרום הנקודתי בנת חולון 26) הם השערות הדורשות חקירה ייעודית ולא ייחוס מבוסס.</w:t>
      </w:r>
    </w:p>
    <w:p>
      <w:pPr>
        <w:bidi/>
        <w:jc w:val="both"/>
        <w:rPr>
          <w:rtl/>
        </w:rPr>
      </w:pPr>
      <w:r>
        <w:rPr>
          <w:rtl/>
          <w:rFonts w:cs="Arial"/>
          <w:lang w:bidi="he-IL"/>
        </w:rPr>
        <w:t>──────────────────────────────────────────────────</w:t>
      </w:r>
    </w:p>
    <w:p>
      <w:pPr>
        <w:bidi/>
        <w:pStyle w:val="Heading2"/>
        <w:jc w:val="both"/>
        <w:rPr>
          <w:rtl/>
        </w:rPr>
      </w:pPr>
      <w:r>
        <w:rPr>
          <w:rtl/>
          <w:rFonts w:cs="Arial"/>
          <w:lang w:bidi="he-IL"/>
        </w:rPr>
        <w:t>6. המלצות</w:t>
      </w:r>
    </w:p>
    <w:p>
      <w:pPr>
        <w:bidi/>
        <w:pStyle w:val="Heading3"/>
        <w:jc w:val="both"/>
        <w:rPr>
          <w:rtl/>
        </w:rPr>
      </w:pPr>
      <w:r>
        <w:rPr>
          <w:rtl/>
          <w:rFonts w:cs="Arial"/>
          <w:lang w:bidi="he-IL"/>
        </w:rPr>
        <w:t>מיידי (עד 6 חודשים)</w:t>
      </w:r>
    </w:p>
    <w:p>
      <w:pPr>
        <w:bidi/>
        <w:pStyle w:val="ListBullet"/>
        <w:jc w:val="both"/>
        <w:rPr>
          <w:rtl/>
        </w:rPr>
      </w:pPr>
      <w:r>
        <w:rPr>
          <w:b/>
          <w:rtl/>
          <w:rFonts w:cs="Arial"/>
          <w:lang w:bidi="he-IL"/>
        </w:rPr>
        <w:t>מק חולון 14 (קידוח הפקה)</w:t>
      </w:r>
      <w:r>
        <w:rPr>
          <w:rtl/>
          <w:rFonts w:cs="Arial"/>
          <w:lang w:bidi="he-IL"/>
        </w:rPr>
        <w:t>: מעבר לדיגום חודשי של TCE ו-1,4-dioxane, הצהרה רגולטורית בעקבות חציית התקן ב-04/2025, ובירור מסלול אספקת המים מהקידוח לרשת השתייה.</w:t>
      </w:r>
    </w:p>
    <w:p>
      <w:pPr>
        <w:bidi/>
        <w:pStyle w:val="ListBullet"/>
        <w:jc w:val="both"/>
        <w:rPr>
          <w:rtl/>
        </w:rPr>
      </w:pPr>
      <w:r>
        <w:rPr>
          <w:b/>
          <w:rtl/>
          <w:rFonts w:cs="Arial"/>
          <w:lang w:bidi="he-IL"/>
        </w:rPr>
        <w:t>קידוחי החווה החקלאית</w:t>
      </w:r>
      <w:r>
        <w:rPr>
          <w:rtl/>
          <w:rFonts w:cs="Arial"/>
          <w:lang w:bidi="he-IL"/>
        </w:rPr>
        <w:t xml:space="preserve"> (נת חווה חקלאית א/ב): דיגום אישוש מיידי של 1,4-dioxane, ובירור מצב פעילות הקידוחים והאם המים משמשים להשקיה.</w:t>
      </w:r>
    </w:p>
    <w:p>
      <w:pPr>
        <w:bidi/>
        <w:pStyle w:val="ListBullet"/>
        <w:jc w:val="both"/>
        <w:rPr>
          <w:rtl/>
        </w:rPr>
      </w:pPr>
      <w:r>
        <w:rPr>
          <w:b/>
          <w:rtl/>
          <w:rFonts w:cs="Arial"/>
          <w:lang w:bidi="he-IL"/>
        </w:rPr>
        <w:t>אשכול אגד אזור</w:t>
      </w:r>
      <w:r>
        <w:rPr>
          <w:rtl/>
          <w:rFonts w:cs="Arial"/>
          <w:lang w:bidi="he-IL"/>
        </w:rPr>
        <w:t xml:space="preserve"> (לפחות קידוחים 1, 4, 5, 6): קמפיין דיגום CVOC מלא (TCE, cis-DCE, 1,1-DCE, VC, ethene) לאחר שש שנים ללא ניטור CVOC — בירור מצב פלאום ה-VC.</w:t>
      </w:r>
    </w:p>
    <w:p>
      <w:pPr>
        <w:bidi/>
        <w:pStyle w:val="ListBullet"/>
        <w:jc w:val="both"/>
        <w:rPr>
          <w:rtl/>
        </w:rPr>
      </w:pPr>
      <w:r>
        <w:rPr>
          <w:b/>
          <w:rtl/>
          <w:rFonts w:cs="Arial"/>
          <w:lang w:bidi="he-IL"/>
        </w:rPr>
        <w:t>דיגום-כפיל ל-VC בנת חולון 11</w:t>
      </w:r>
      <w:r>
        <w:rPr>
          <w:rtl/>
          <w:rFonts w:cs="Arial"/>
          <w:lang w:bidi="he-IL"/>
        </w:rPr>
        <w:t xml:space="preserve"> לאישוש הופעת ה-VC (13.8 µg/L) ושלילת ארטיפקט אנליטי.</w:t>
      </w:r>
    </w:p>
    <w:p>
      <w:pPr>
        <w:bidi/>
        <w:pStyle w:val="Heading3"/>
        <w:jc w:val="both"/>
        <w:rPr>
          <w:rtl/>
        </w:rPr>
      </w:pPr>
      <w:r>
        <w:rPr>
          <w:rtl/>
          <w:rFonts w:cs="Arial"/>
          <w:lang w:bidi="he-IL"/>
        </w:rPr>
        <w:t>קצר-טווח (6–18 חודשים)</w:t>
      </w:r>
    </w:p>
    <w:p>
      <w:pPr>
        <w:bidi/>
        <w:pStyle w:val="ListBullet"/>
        <w:jc w:val="both"/>
        <w:rPr>
          <w:rtl/>
        </w:rPr>
      </w:pPr>
      <w:r>
        <w:rPr>
          <w:b/>
          <w:rtl/>
          <w:rFonts w:cs="Arial"/>
          <w:lang w:bidi="he-IL"/>
        </w:rPr>
        <w:t>חידוש ניטור בקידוחי השיא בשתיקה</w:t>
      </w:r>
      <w:r>
        <w:rPr>
          <w:rtl/>
          <w:rFonts w:cs="Arial"/>
          <w:lang w:bidi="he-IL"/>
        </w:rPr>
        <w:t>: נת חולון 2, נד אגד אזור 7, נת אלביט חולון 1, ו-2–4 קידוחי תדירגן — לבירור מצב הזיהום העכשווי ולהערכת תוצאות השיקום ISCO; בירור "השתיקה המתואמת" (נת חולון 2022–2023) מול רשות המים.</w:t>
      </w:r>
    </w:p>
    <w:p>
      <w:pPr>
        <w:bidi/>
        <w:pStyle w:val="ListBullet"/>
        <w:jc w:val="both"/>
        <w:rPr>
          <w:rtl/>
        </w:rPr>
      </w:pPr>
      <w:r>
        <w:rPr>
          <w:b/>
          <w:rtl/>
          <w:rFonts w:cs="Arial"/>
          <w:lang w:bidi="he-IL"/>
        </w:rPr>
        <w:t>קמפיין דיגום PFAS ממוקד</w:t>
      </w:r>
      <w:r>
        <w:rPr>
          <w:rtl/>
          <w:rFonts w:cs="Arial"/>
          <w:lang w:bidi="he-IL"/>
        </w:rPr>
        <w:t xml:space="preserve"> ב-8–12 קידוחים נוספים: 3 במרכבות האש, 3 באגד, 2 באשכול התעשייתי, 2 בקידוחי הפקה (מק חולון 5, 23), ו-1–2 קידוחי רקע במעלה הזרימה.</w:t>
      </w:r>
    </w:p>
    <w:p>
      <w:pPr>
        <w:bidi/>
        <w:pStyle w:val="ListBullet"/>
        <w:jc w:val="both"/>
        <w:rPr>
          <w:rtl/>
        </w:rPr>
      </w:pPr>
      <w:r>
        <w:rPr>
          <w:b/>
          <w:rtl/>
          <w:rFonts w:cs="Arial"/>
          <w:lang w:bidi="he-IL"/>
        </w:rPr>
        <w:t>סיווג Cr(VI)/Cr(III)</w:t>
      </w:r>
      <w:r>
        <w:rPr>
          <w:rtl/>
          <w:rFonts w:cs="Arial"/>
          <w:lang w:bidi="he-IL"/>
        </w:rPr>
        <w:t xml:space="preserve"> בנת חולון 26 ובנת חולון 14, ודיגום סינון פילדי לבירור חריגת הכרום (ריכוז אמיתי מול ארטיפקט סינון).</w:t>
      </w:r>
    </w:p>
    <w:p>
      <w:pPr>
        <w:bidi/>
        <w:pStyle w:val="ListBullet"/>
        <w:jc w:val="both"/>
        <w:rPr>
          <w:rtl/>
        </w:rPr>
      </w:pPr>
      <w:r>
        <w:rPr>
          <w:b/>
          <w:rtl/>
          <w:rFonts w:cs="Arial"/>
          <w:lang w:bidi="he-IL"/>
        </w:rPr>
        <w:t>הוספת תוצרי סיום</w:t>
      </w:r>
      <w:r>
        <w:rPr>
          <w:rtl/>
          <w:rFonts w:cs="Arial"/>
          <w:lang w:bidi="he-IL"/>
        </w:rPr>
        <w:t xml:space="preserve"> (ethene/ethane/methane) לפנל ה-CVOC בקידוחי הליבה להערכת טיפול טבעי.</w:t>
      </w:r>
    </w:p>
    <w:p>
      <w:pPr>
        <w:bidi/>
        <w:pStyle w:val="Heading3"/>
        <w:jc w:val="both"/>
        <w:rPr>
          <w:rtl/>
        </w:rPr>
      </w:pPr>
      <w:r>
        <w:rPr>
          <w:rtl/>
          <w:rFonts w:cs="Arial"/>
          <w:lang w:bidi="he-IL"/>
        </w:rPr>
        <w:t>ארוך-טווח (מעל 18 חודשים)</w:t>
      </w:r>
    </w:p>
    <w:p>
      <w:pPr>
        <w:bidi/>
        <w:pStyle w:val="ListBullet"/>
        <w:jc w:val="both"/>
        <w:rPr>
          <w:rtl/>
        </w:rPr>
      </w:pPr>
      <w:r>
        <w:rPr>
          <w:b/>
          <w:rtl/>
          <w:rFonts w:cs="Arial"/>
          <w:lang w:bidi="he-IL"/>
        </w:rPr>
        <w:t>דיגום רב-עומק</w:t>
      </w:r>
      <w:r>
        <w:rPr>
          <w:rtl/>
          <w:rFonts w:cs="Arial"/>
          <w:lang w:bidi="he-IL"/>
        </w:rPr>
        <w:t xml:space="preserve"> בקידוחים הרב-מפלסיים (נת חולון 5, 6, 7, 18) לקביעת פרופיל DNAPL באקוויפר העמוק, ואפיון פלומות מרחבי (contour mapping).</w:t>
      </w:r>
    </w:p>
    <w:p>
      <w:pPr>
        <w:bidi/>
        <w:pStyle w:val="ListBullet"/>
        <w:jc w:val="both"/>
        <w:rPr>
          <w:rtl/>
        </w:rPr>
      </w:pPr>
      <w:r>
        <w:rPr>
          <w:b/>
          <w:rtl/>
          <w:rFonts w:cs="Arial"/>
          <w:lang w:bidi="he-IL"/>
        </w:rPr>
        <w:t>חיפוש פעיל במרשם התעשייתי</w:t>
      </w:r>
      <w:r>
        <w:rPr>
          <w:rtl/>
          <w:rFonts w:cs="Arial"/>
          <w:lang w:bidi="he-IL"/>
        </w:rPr>
        <w:t xml:space="preserve"> של חולון אחר יצרני/משתמשי vinylidene chloride / PVDC (מקור 1,1-DCE) ו-1,4-dioxane תעשייתי (טקסטיל, פולימרים, חומרי ניקוי).</w:t>
      </w:r>
    </w:p>
    <w:p>
      <w:pPr>
        <w:bidi/>
        <w:pStyle w:val="ListBullet"/>
        <w:jc w:val="both"/>
        <w:rPr>
          <w:rtl/>
        </w:rPr>
      </w:pPr>
      <w:r>
        <w:rPr>
          <w:b/>
          <w:rtl/>
          <w:rFonts w:cs="Arial"/>
          <w:lang w:bidi="he-IL"/>
        </w:rPr>
        <w:t>חקירת מקור הכרום הנקודתי</w:t>
      </w:r>
      <w:r>
        <w:rPr>
          <w:rtl/>
          <w:rFonts w:cs="Arial"/>
          <w:lang w:bidi="he-IL"/>
        </w:rPr>
        <w:t xml:space="preserve"> בנת חולון 26 (מפעל פסיוואציה/chromating קרוב) ובירור ציר הכרום נת חולון 14 → 26.</w:t>
      </w:r>
    </w:p>
    <w:p>
      <w:pPr>
        <w:bidi/>
        <w:pStyle w:val="ListBullet"/>
        <w:jc w:val="both"/>
        <w:rPr>
          <w:rtl/>
        </w:rPr>
      </w:pPr>
      <w:r>
        <w:rPr>
          <w:b/>
          <w:rtl/>
          <w:rFonts w:cs="Arial"/>
          <w:lang w:bidi="he-IL"/>
        </w:rPr>
        <w:t>תיאום עם המשרד להגנת הסביבה ורשות המים</w:t>
      </w:r>
      <w:r>
        <w:rPr>
          <w:rtl/>
          <w:rFonts w:cs="Arial"/>
          <w:lang w:bidi="he-IL"/>
        </w:rPr>
        <w:t xml:space="preserve"> לגבי סטטוס קידוחי ההפקה, תכנון שיקום למוקדי DNAPL, ומעורבות מפעילים (אלביט הפעיל, חניון אגד, מפעלי ציפוי).</w:t>
      </w:r>
    </w:p>
    <w:p>
      <w:pPr>
        <w:bidi/>
        <w:jc w:val="both"/>
        <w:rPr>
          <w:rtl/>
        </w:rPr>
      </w:pPr>
      <w:r>
        <w:rPr>
          <w:rtl/>
          <w:rFonts w:cs="Arial"/>
          <w:lang w:bidi="he-IL"/>
        </w:rPr>
        <w:t>──────────────────────────────────────────────────</w:t>
      </w:r>
    </w:p>
    <w:p>
      <w:pPr>
        <w:bidi/>
        <w:pStyle w:val="Heading2"/>
        <w:jc w:val="both"/>
        <w:rPr>
          <w:rtl/>
        </w:rPr>
      </w:pPr>
      <w:r>
        <w:rPr>
          <w:rtl/>
          <w:rFonts w:cs="Arial"/>
          <w:lang w:bidi="he-IL"/>
        </w:rPr>
        <w:t>7. מתודולוגיה</w:t>
      </w:r>
    </w:p>
    <w:p>
      <w:pPr>
        <w:bidi/>
        <w:jc w:val="both"/>
        <w:rPr>
          <w:rtl/>
        </w:rPr>
      </w:pPr>
      <w:r>
        <w:rPr>
          <w:b/>
          <w:rtl/>
          <w:rFonts w:cs="Arial"/>
          <w:lang w:bidi="he-IL"/>
        </w:rPr>
        <w:t>אינדקס חומרה</w:t>
      </w:r>
      <w:r>
        <w:rPr>
          <w:rtl/>
          <w:rFonts w:cs="Arial"/>
          <w:lang w:bidi="he-IL"/>
        </w:rPr>
        <w:t xml:space="preserve">: מחושב לפי הנוסחה </w:t>
      </w:r>
      <w:r>
        <w:rPr>
          <w:rFonts w:ascii="Courier New" w:hAnsi="Courier New" w:cs="Arial"/>
          <w:color w:val="800000"/>
          <w:rtl/>
          <w:lang w:bidi="he-IL"/>
        </w:rPr>
        <w:t>bucket(C_max_5y / DWS × 100)</w:t>
      </w:r>
      <w:r>
        <w:rPr>
          <w:rtl/>
          <w:rFonts w:cs="Arial"/>
          <w:lang w:bidi="he-IL"/>
        </w:rPr>
        <w:t xml:space="preserve"> — ריכוז מירבי בחלון 5 השנים חלקי תקן השתייה, כפול 100, ממופה לסולם 9 דרגות (0–8). הטבלה המלאה של הסולם מופיעה ב-</w:t>
      </w:r>
      <w:r>
        <w:rPr>
          <w:rFonts w:ascii="Courier New" w:hAnsi="Courier New" w:cs="Arial"/>
          <w:color w:val="800000"/>
          <w:rtl/>
          <w:lang w:bidi="he-IL"/>
        </w:rPr>
        <w:t>ZONE_REPORT_PROCESS_GUIDE.md</w:t>
      </w:r>
      <w:r>
        <w:rPr>
          <w:rtl/>
          <w:rFonts w:cs="Arial"/>
          <w:lang w:bidi="he-IL"/>
        </w:rPr>
        <w:t xml:space="preserve"> §III. בתיאור הפרוזה משמש סיכום 5-דרגתי (נקי / נמוך / בינוני / גבוה / גבוה מאוד), ובטבלאות מופיע האינדקס המספרי 0–8. PFAS נכלל כהרחבה מעבר למתודולוגיית 2021.</w:t>
      </w:r>
    </w:p>
    <w:p>
      <w:pPr>
        <w:bidi/>
        <w:jc w:val="both"/>
        <w:rPr>
          <w:rtl/>
        </w:rPr>
      </w:pPr>
      <w:r>
        <w:rPr>
          <w:b/>
          <w:rtl/>
          <w:rFonts w:cs="Arial"/>
          <w:lang w:bidi="he-IL"/>
        </w:rPr>
        <w:t>חלון זמן</w:t>
      </w:r>
      <w:r>
        <w:rPr>
          <w:rtl/>
          <w:rFonts w:cs="Arial"/>
          <w:lang w:bidi="he-IL"/>
        </w:rPr>
        <w:t xml:space="preserve">: 5 שנים (2021-02-16 עד 2026-02-15; </w:t>
      </w:r>
      <w:r>
        <w:rPr>
          <w:rFonts w:ascii="Courier New" w:hAnsi="Courier New" w:cs="Arial"/>
          <w:color w:val="800000"/>
          <w:rtl/>
          <w:lang w:bidi="he-IL"/>
        </w:rPr>
        <w:t>severity_by_well_family.csv</w:t>
      </w:r>
      <w:r>
        <w:rPr>
          <w:rtl/>
          <w:rFonts w:cs="Arial"/>
          <w:lang w:bidi="he-IL"/>
        </w:rPr>
        <w:t>). הסקירה ההיסטורית מתבססת על נתונים מ-2010 ואילך.</w:t>
      </w:r>
    </w:p>
    <w:p>
      <w:pPr>
        <w:bidi/>
        <w:jc w:val="both"/>
        <w:rPr>
          <w:rtl/>
        </w:rPr>
      </w:pPr>
      <w:r>
        <w:rPr>
          <w:b/>
          <w:rtl/>
          <w:rFonts w:cs="Arial"/>
          <w:lang w:bidi="he-IL"/>
        </w:rPr>
        <w:t>מספר קידוחים</w:t>
      </w:r>
      <w:r>
        <w:rPr>
          <w:rtl/>
          <w:rFonts w:cs="Arial"/>
          <w:lang w:bidi="he-IL"/>
        </w:rPr>
        <w:t xml:space="preserve">: 111 קידוחים פעילים נבדלים — 47 קידוחי ניטור כלליים/תעשייה והפקה + 64 קידוחי ניטור דלק. קובץ </w:t>
      </w:r>
      <w:r>
        <w:rPr>
          <w:rFonts w:ascii="Courier New" w:hAnsi="Courier New" w:cs="Arial"/>
          <w:color w:val="800000"/>
          <w:rtl/>
          <w:lang w:bidi="he-IL"/>
        </w:rPr>
        <w:t>zone_wells.csv</w:t>
      </w:r>
      <w:r>
        <w:rPr>
          <w:rtl/>
          <w:rFonts w:cs="Arial"/>
          <w:lang w:bidi="he-IL"/>
        </w:rPr>
        <w:t xml:space="preserve"> מכיל 112 רשומות; שתיים מהן הן כפילות איות של אותו קידוח פיזי (נד אגד אזור 7 / נד אגד איזור 7, קואורדינטות זהות), ועל כן הספירה הנבדלת היא 111.</w:t>
      </w:r>
    </w:p>
    <w:p>
      <w:pPr>
        <w:bidi/>
        <w:jc w:val="both"/>
        <w:rPr>
          <w:rtl/>
        </w:rPr>
      </w:pPr>
      <w:r>
        <w:rPr>
          <w:b/>
          <w:rtl/>
          <w:rFonts w:cs="Arial"/>
          <w:lang w:bidi="he-IL"/>
        </w:rPr>
        <w:t>ניתוח מגמות</w:t>
      </w:r>
      <w:r>
        <w:rPr>
          <w:rtl/>
          <w:rFonts w:cs="Arial"/>
          <w:lang w:bidi="he-IL"/>
        </w:rPr>
        <w:t>: מנוע Mann-Kendall עם תיקון לקשרים (tie-corrected variance), Z מתוקן-רציפות, ו-gating ל-SNR (סף 0.3). soft_trigger = 2 מדידות עולות רצופות בחלון 5 שנים. TPFAS ו-BETK (סכומים מחושבים) מוחרגים מהניתוח; המינים הבודדים (PFHxS, PFOA וכו') הם הייצוג הקנוני.</w:t>
      </w:r>
    </w:p>
    <w:p>
      <w:pPr>
        <w:bidi/>
        <w:jc w:val="both"/>
        <w:rPr>
          <w:rtl/>
        </w:rPr>
      </w:pPr>
      <w:r>
        <w:rPr>
          <w:b/>
          <w:rtl/>
          <w:rFonts w:cs="Arial"/>
          <w:lang w:bidi="he-IL"/>
        </w:rPr>
        <w:t>מקורות נתונים</w:t>
      </w:r>
      <w:r>
        <w:rPr>
          <w:rtl/>
          <w:rFonts w:cs="Arial"/>
          <w:lang w:bidi="he-IL"/>
        </w:rPr>
        <w:t>: 6 קבצי CSV דטרמיניסטיים (</w:t>
      </w:r>
      <w:r>
        <w:rPr>
          <w:rFonts w:ascii="Courier New" w:hAnsi="Courier New" w:cs="Arial"/>
          <w:color w:val="800000"/>
          <w:rtl/>
          <w:lang w:bidi="he-IL"/>
        </w:rPr>
        <w:t>Holon/02_data/</w:t>
      </w:r>
      <w:r>
        <w:rPr>
          <w:rtl/>
          <w:rFonts w:cs="Arial"/>
          <w:lang w:bidi="he-IL"/>
        </w:rPr>
        <w:t>); עוגנים סטטיסטיים (31) ופורנזיים (27); חבילת הקשר היסטורי (תה"ל 2007, אקולוג 2009–2017, רשות המים 2021).</w:t>
      </w:r>
    </w:p>
    <w:p>
      <w:pPr>
        <w:bidi/>
        <w:jc w:val="both"/>
        <w:rPr>
          <w:rtl/>
        </w:rPr>
      </w:pPr>
      <w:r>
        <w:rPr>
          <w:rtl/>
          <w:rFonts w:cs="Arial"/>
          <w:lang w:bidi="he-IL"/>
        </w:rPr>
        <w:t>──────────────────────────────────────────────────</w:t>
      </w:r>
    </w:p>
    <w:p>
      <w:pPr>
        <w:bidi/>
        <w:pStyle w:val="Heading2"/>
        <w:jc w:val="both"/>
        <w:rPr>
          <w:rtl/>
        </w:rPr>
      </w:pPr>
      <w:r>
        <w:rPr>
          <w:rtl/>
          <w:rFonts w:cs="Arial"/>
          <w:lang w:bidi="he-IL"/>
        </w:rPr>
        <w:t>8. מגבלות</w:t>
      </w:r>
    </w:p>
    <w:p>
      <w:pPr>
        <w:bidi/>
        <w:pStyle w:val="ListNumber"/>
        <w:jc w:val="both"/>
        <w:rPr>
          <w:rtl/>
        </w:rPr>
      </w:pPr>
      <w:r>
        <w:rPr>
          <w:b/>
          <w:rtl/>
          <w:rFonts w:cs="Arial"/>
          <w:lang w:bidi="he-IL"/>
        </w:rPr>
        <w:t>כיסוי PFAS</w:t>
      </w:r>
      <w:r>
        <w:rPr>
          <w:rtl/>
          <w:rFonts w:cs="Arial"/>
          <w:lang w:bidi="he-IL"/>
        </w:rPr>
        <w:t>: רק 4 מתוך 111 קידוחים נדגמו ל-PFAS (כ-3.6%), וכל המדידות אפס. דיווח זה אינו אישור היעדר PFAS — הקידוחים בעלי הפוטנציאל הגבוה ביותר (מרכבות האש, אגד, אשכול תעשייתי) כלל לא נדגמו. אין להסיק "אין PFAS בחולון".</w:t>
      </w:r>
    </w:p>
    <w:p>
      <w:pPr>
        <w:bidi/>
        <w:pStyle w:val="ListNumber"/>
        <w:jc w:val="both"/>
        <w:rPr>
          <w:rtl/>
        </w:rPr>
      </w:pPr>
      <w:r>
        <w:rPr>
          <w:b/>
          <w:rtl/>
          <w:rFonts w:cs="Arial"/>
          <w:lang w:bidi="he-IL"/>
        </w:rPr>
        <w:t>פערים זמניים ("שיא ואז שתיקה")</w:t>
      </w:r>
      <w:r>
        <w:rPr>
          <w:rtl/>
          <w:rFonts w:cs="Arial"/>
          <w:lang w:bidi="he-IL"/>
        </w:rPr>
        <w:t>: קידוחים מרכזיים בעלי הזיהום החמור ביותר הפסיקו להידגם בערכי שיא (נת אלביט חולון 1, נד אגד אזור 7, נת חולון 2, מערך תדירגן). אין להציג ריכוזי 2018–2022 כמייצגים את המצב הנוכחי בנקודות אלה — השתיקה היא הממצא.</w:t>
      </w:r>
    </w:p>
    <w:p>
      <w:pPr>
        <w:bidi/>
        <w:pStyle w:val="ListNumber"/>
        <w:jc w:val="both"/>
        <w:rPr>
          <w:rtl/>
        </w:rPr>
      </w:pPr>
      <w:r>
        <w:rPr>
          <w:b/>
          <w:rtl/>
          <w:rFonts w:cs="Arial"/>
          <w:lang w:bidi="he-IL"/>
        </w:rPr>
        <w:t>מגבלות סטטיסטיות</w:t>
      </w:r>
      <w:r>
        <w:rPr>
          <w:rtl/>
          <w:rFonts w:cs="Arial"/>
          <w:lang w:bidi="he-IL"/>
        </w:rPr>
        <w:t>: רוב הקידוחים החמים בעלי n&lt;5 מדידות בחלון 5 השנים, וערכי ה-SNR נמוכים (~1.0); לכן מספר מצומצם של מגמות מזהמים מובהקות (p&lt;0.05) ניתן לזהות, ואין לטעון להחמרה או שיפור כלליים בריכוזים. הערכים הגבוהים הם שיאים היסטוריים ולא מגמות מאומתות.</w:t>
      </w:r>
    </w:p>
    <w:p>
      <w:pPr>
        <w:bidi/>
        <w:pStyle w:val="ListNumber"/>
        <w:jc w:val="both"/>
        <w:rPr>
          <w:rtl/>
        </w:rPr>
      </w:pPr>
      <w:r>
        <w:rPr>
          <w:b/>
          <w:rtl/>
          <w:rFonts w:cs="Arial"/>
          <w:lang w:bidi="he-IL"/>
        </w:rPr>
        <w:t>ארטיפקטים אנליטיים</w:t>
      </w:r>
      <w:r>
        <w:rPr>
          <w:rtl/>
          <w:rFonts w:cs="Arial"/>
          <w:lang w:bidi="he-IL"/>
        </w:rPr>
        <w:t>: זוהו שני סוגים — דיווח מגבלת גילוי כערך נמדד (בנזין "5.0" בנד פז סיירים 3; כרום "50" בסונול המלאכה), והבדלי סינון דגימה (מנגן/אלומיניום בנת חולון 22). יש להתייחס בזהירות לערכים אלה.</w:t>
      </w:r>
    </w:p>
    <w:p>
      <w:pPr>
        <w:bidi/>
        <w:pStyle w:val="ListNumber"/>
        <w:jc w:val="both"/>
        <w:rPr>
          <w:rtl/>
        </w:rPr>
      </w:pPr>
      <w:r>
        <w:rPr>
          <w:b/>
          <w:rtl/>
          <w:rFonts w:cs="Arial"/>
          <w:lang w:bidi="he-IL"/>
        </w:rPr>
        <w:t>הנחות תקן</w:t>
      </w:r>
      <w:r>
        <w:rPr>
          <w:rtl/>
          <w:rFonts w:cs="Arial"/>
          <w:lang w:bidi="he-IL"/>
        </w:rPr>
        <w:t>: ערכי DWS לפי משרד הבריאות (1303/2013) היכן שמוגדרים; עבור 1,1-DCE, 1,4-dioxane, TBA ו-VC משמש תקן EPA האמריקאי (לא-רשמי בישראל) כקירוב. אחוזי התקן עבור מזהמים אלה מסומנים בהתאם.</w:t>
      </w:r>
    </w:p>
    <w:p>
      <w:pPr>
        <w:bidi/>
        <w:pStyle w:val="ListNumber"/>
        <w:jc w:val="both"/>
        <w:rPr>
          <w:rtl/>
        </w:rPr>
      </w:pPr>
      <w:r>
        <w:rPr>
          <w:b/>
          <w:rtl/>
          <w:rFonts w:cs="Arial"/>
          <w:lang w:bidi="he-IL"/>
        </w:rPr>
        <w:t>שיקום ISCO תדירגן</w:t>
      </w:r>
      <w:r>
        <w:rPr>
          <w:rtl/>
          <w:rFonts w:cs="Arial"/>
          <w:lang w:bidi="he-IL"/>
        </w:rPr>
        <w:t>: דווח ביצוע (2013–2020) אך לא דווחו תוצאות, ואין נתוני ניטור לאחר השיקום. אין להניח הצלחה או כישלון ללא נתונים.</w:t>
      </w:r>
    </w:p>
    <w:p>
      <w:pPr>
        <w:bidi/>
        <w:pStyle w:val="ListNumber"/>
        <w:jc w:val="both"/>
        <w:rPr>
          <w:rtl/>
        </w:rPr>
      </w:pPr>
      <w:r>
        <w:rPr>
          <w:b/>
          <w:rtl/>
          <w:rFonts w:cs="Arial"/>
          <w:lang w:bidi="he-IL"/>
        </w:rPr>
        <w:t>הטיית בחירה</w:t>
      </w:r>
      <w:r>
        <w:rPr>
          <w:rtl/>
          <w:rFonts w:cs="Arial"/>
          <w:lang w:bidi="he-IL"/>
        </w:rPr>
        <w:t>: קידוחי הניטור הוצבו במכוון בקרבת מקורות זיהום; אינם מייצגים את איכות מי התהום בכלל שטח האזור.</w:t>
      </w:r>
    </w:p>
    <w:p>
      <w:pPr>
        <w:bidi/>
        <w:pStyle w:val="ListNumber"/>
        <w:jc w:val="both"/>
        <w:rPr>
          <w:rtl/>
        </w:rPr>
      </w:pPr>
      <w:r>
        <w:rPr>
          <w:b/>
          <w:rtl/>
          <w:rFonts w:cs="Arial"/>
          <w:lang w:bidi="he-IL"/>
        </w:rPr>
        <w:t>שיוך מקור פרשני</w:t>
      </w:r>
      <w:r>
        <w:rPr>
          <w:rtl/>
          <w:rFonts w:cs="Arial"/>
          <w:lang w:bidi="he-IL"/>
        </w:rPr>
        <w:t>: כל שיוכי המקור הם מועמדים מובילים בלבד, הדורשים אימות כיוון זרימה, התאמת חתימה כימית ואישור הידרולוג מוסמך לפני פרסום סופי.</w:t>
      </w:r>
    </w:p>
    <w:p>
      <w:pPr>
        <w:bidi/>
        <w:jc w:val="both"/>
        <w:rPr>
          <w:rtl/>
        </w:rPr>
      </w:pPr>
      <w:r>
        <w:rPr>
          <w:rtl/>
          <w:rFonts w:cs="Arial"/>
          <w:lang w:bidi="he-IL"/>
        </w:rPr>
        <w:t>──────────────────────────────────────────────────</w:t>
      </w:r>
    </w:p>
    <w:p>
      <w:pPr>
        <w:bidi/>
        <w:pStyle w:val="Heading2"/>
        <w:jc w:val="both"/>
        <w:rPr>
          <w:rtl/>
        </w:rPr>
      </w:pPr>
      <w:r>
        <w:rPr>
          <w:rtl/>
          <w:rFonts w:cs="Arial"/>
          <w:lang w:bidi="he-IL"/>
        </w:rPr>
        <w:t>נספח א: סיווג קידוחים לפי אינדקס חומרה מירבי (נבחרים)</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קידוח</w:t>
            </w:r>
          </w:p>
        </w:tc>
        <w:tc>
          <w:tcPr>
            <w:tcW w:type="dxa" w:w="1728"/>
          </w:tcPr>
          <w:p>
            <w:pPr>
              <w:bidi/>
              <w:jc w:val="both"/>
              <w:rPr>
                <w:rtl/>
              </w:rPr>
            </w:pPr>
            <w:r>
              <w:rPr>
                <w:b/>
                <w:rtl/>
                <w:rFonts w:cs="Arial"/>
                <w:lang w:bidi="he-IL"/>
              </w:rPr>
            </w:r>
            <w:r>
              <w:rPr>
                <w:b/>
                <w:rtl/>
                <w:rFonts w:cs="Arial"/>
                <w:lang w:bidi="he-IL"/>
              </w:rPr>
              <w:t>אינדקס מירבי</w:t>
            </w:r>
          </w:p>
        </w:tc>
        <w:tc>
          <w:tcPr>
            <w:tcW w:type="dxa" w:w="1728"/>
          </w:tcPr>
          <w:p>
            <w:pPr>
              <w:bidi/>
              <w:jc w:val="both"/>
              <w:rPr>
                <w:rtl/>
              </w:rPr>
            </w:pPr>
            <w:r>
              <w:rPr>
                <w:b/>
                <w:rtl/>
                <w:rFonts w:cs="Arial"/>
                <w:lang w:bidi="he-IL"/>
              </w:rPr>
            </w:r>
            <w:r>
              <w:rPr>
                <w:b/>
                <w:rtl/>
                <w:rFonts w:cs="Arial"/>
                <w:lang w:bidi="he-IL"/>
              </w:rPr>
              <w:t>משפחה מובילה</w:t>
            </w:r>
          </w:p>
        </w:tc>
        <w:tc>
          <w:tcPr>
            <w:tcW w:type="dxa" w:w="1728"/>
          </w:tcPr>
          <w:p>
            <w:pPr>
              <w:bidi/>
              <w:jc w:val="both"/>
              <w:rPr>
                <w:rtl/>
              </w:rPr>
            </w:pPr>
            <w:r>
              <w:rPr>
                <w:b/>
                <w:rtl/>
                <w:rFonts w:cs="Arial"/>
                <w:lang w:bidi="he-IL"/>
              </w:rPr>
            </w:r>
            <w:r>
              <w:rPr>
                <w:b/>
                <w:rtl/>
                <w:rFonts w:cs="Arial"/>
                <w:lang w:bidi="he-IL"/>
              </w:rPr>
              <w:t>סטטוס</w:t>
            </w:r>
          </w:p>
        </w:tc>
        <w:tc>
          <w:tcPr>
            <w:tcW w:type="dxa" w:w="1728"/>
          </w:tcPr>
          <w:p>
            <w:pPr>
              <w:bidi/>
              <w:jc w:val="both"/>
              <w:rPr>
                <w:rtl/>
              </w:rPr>
            </w:pPr>
            <w:r>
              <w:rPr>
                <w:b/>
                <w:rtl/>
                <w:rFonts w:cs="Arial"/>
                <w:lang w:bidi="he-IL"/>
              </w:rPr>
            </w:r>
            <w:r>
              <w:rPr>
                <w:b/>
                <w:rtl/>
                <w:rFonts w:cs="Arial"/>
                <w:lang w:bidi="he-IL"/>
              </w:rPr>
              <w:t>הערה</w:t>
            </w:r>
          </w:p>
        </w:tc>
      </w:tr>
      <w:tr>
        <w:tc>
          <w:tcPr>
            <w:tcW w:type="dxa" w:w="1728"/>
          </w:tcPr>
          <w:p>
            <w:pPr>
              <w:bidi/>
              <w:jc w:val="both"/>
              <w:rPr>
                <w:rtl/>
              </w:rPr>
            </w:pPr>
            <w:r>
              <w:rPr>
                <w:rtl/>
                <w:rFonts w:cs="Arial"/>
                <w:lang w:bidi="he-IL"/>
              </w:rPr>
            </w:r>
            <w:r>
              <w:rPr>
                <w:rtl/>
                <w:rFonts w:cs="Arial"/>
                <w:lang w:bidi="he-IL"/>
              </w:rPr>
              <w:t>נד אגד אזור 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FUEL</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בנזין/MTBE קיצוני; פער ניטור CVOC מ-2019</w:t>
            </w:r>
          </w:p>
        </w:tc>
      </w:tr>
      <w:tr>
        <w:tc>
          <w:tcPr>
            <w:tcW w:type="dxa" w:w="1728"/>
          </w:tcPr>
          <w:p>
            <w:pPr>
              <w:bidi/>
              <w:jc w:val="both"/>
              <w:rPr>
                <w:rtl/>
              </w:rPr>
            </w:pPr>
            <w:r>
              <w:rPr>
                <w:rtl/>
                <w:rFonts w:cs="Arial"/>
                <w:lang w:bidi="he-IL"/>
              </w:rPr>
            </w:r>
            <w:r>
              <w:rPr>
                <w:rtl/>
                <w:rFonts w:cs="Arial"/>
                <w:lang w:bidi="he-IL"/>
              </w:rPr>
              <w:t>נת חולון 11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פעיל חלקית</w:t>
            </w:r>
          </w:p>
        </w:tc>
        <w:tc>
          <w:tcPr>
            <w:tcW w:type="dxa" w:w="1728"/>
          </w:tcPr>
          <w:p>
            <w:pPr>
              <w:bidi/>
              <w:jc w:val="both"/>
              <w:rPr>
                <w:rtl/>
              </w:rPr>
            </w:pPr>
            <w:r>
              <w:rPr>
                <w:rtl/>
                <w:rFonts w:cs="Arial"/>
                <w:lang w:bidi="he-IL"/>
              </w:rPr>
            </w:r>
            <w:r>
              <w:rPr>
                <w:rtl/>
                <w:rFonts w:cs="Arial"/>
                <w:lang w:bidi="he-IL"/>
              </w:rPr>
              <w:t>אפיצנטר TCE היסטורי; VC חדש; 1,4-dioxane עולה</w:t>
            </w:r>
          </w:p>
        </w:tc>
      </w:tr>
      <w:tr>
        <w:tc>
          <w:tcPr>
            <w:tcW w:type="dxa" w:w="1728"/>
          </w:tcPr>
          <w:p>
            <w:pPr>
              <w:bidi/>
              <w:jc w:val="both"/>
              <w:rPr>
                <w:rtl/>
              </w:rPr>
            </w:pPr>
            <w:r>
              <w:rPr>
                <w:rtl/>
                <w:rFonts w:cs="Arial"/>
                <w:lang w:bidi="he-IL"/>
              </w:rPr>
            </w:r>
            <w:r>
              <w:rPr>
                <w:rtl/>
                <w:rFonts w:cs="Arial"/>
                <w:lang w:bidi="he-IL"/>
              </w:rPr>
              <w:t>נד סונול המלאכה מ-1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TCE יציב 2,722 µg/L (01/2026)</w:t>
            </w:r>
          </w:p>
        </w:tc>
      </w:tr>
      <w:tr>
        <w:tc>
          <w:tcPr>
            <w:tcW w:type="dxa" w:w="1728"/>
          </w:tcPr>
          <w:p>
            <w:pPr>
              <w:bidi/>
              <w:jc w:val="both"/>
              <w:rPr>
                <w:rtl/>
              </w:rPr>
            </w:pPr>
            <w:r>
              <w:rPr>
                <w:rtl/>
                <w:rFonts w:cs="Arial"/>
                <w:lang w:bidi="he-IL"/>
              </w:rPr>
            </w:r>
            <w:r>
              <w:rPr>
                <w:rtl/>
                <w:rFonts w:cs="Arial"/>
                <w:lang w:bidi="he-IL"/>
              </w:rPr>
              <w:t>נת חולון 2</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בשתיקה</w:t>
            </w:r>
          </w:p>
        </w:tc>
        <w:tc>
          <w:tcPr>
            <w:tcW w:type="dxa" w:w="1728"/>
          </w:tcPr>
          <w:p>
            <w:pPr>
              <w:bidi/>
              <w:jc w:val="both"/>
              <w:rPr>
                <w:rtl/>
              </w:rPr>
            </w:pPr>
            <w:r>
              <w:rPr>
                <w:rtl/>
                <w:rFonts w:cs="Arial"/>
                <w:lang w:bidi="he-IL"/>
              </w:rPr>
            </w:r>
            <w:r>
              <w:rPr>
                <w:rtl/>
                <w:rFonts w:cs="Arial"/>
                <w:lang w:bidi="he-IL"/>
              </w:rPr>
              <w:t>TCE 16,751%; אחרון 06/2022</w:t>
            </w:r>
          </w:p>
        </w:tc>
      </w:tr>
      <w:tr>
        <w:tc>
          <w:tcPr>
            <w:tcW w:type="dxa" w:w="1728"/>
          </w:tcPr>
          <w:p>
            <w:pPr>
              <w:bidi/>
              <w:jc w:val="both"/>
              <w:rPr>
                <w:rtl/>
              </w:rPr>
            </w:pPr>
            <w:r>
              <w:rPr>
                <w:rtl/>
                <w:rFonts w:cs="Arial"/>
                <w:lang w:bidi="he-IL"/>
              </w:rPr>
            </w:r>
            <w:r>
              <w:rPr>
                <w:rtl/>
                <w:rFonts w:cs="Arial"/>
                <w:lang w:bidi="he-IL"/>
              </w:rPr>
              <w:t>נת חולון 26</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METALS</w:t>
            </w:r>
          </w:p>
        </w:tc>
        <w:tc>
          <w:tcPr>
            <w:tcW w:type="dxa" w:w="1728"/>
          </w:tcPr>
          <w:p>
            <w:pPr>
              <w:bidi/>
              <w:jc w:val="both"/>
              <w:rPr>
                <w:rtl/>
              </w:rPr>
            </w:pPr>
            <w:r>
              <w:rPr>
                <w:rtl/>
                <w:rFonts w:cs="Arial"/>
                <w:lang w:bidi="he-IL"/>
              </w:rPr>
            </w:r>
            <w:r>
              <w:rPr>
                <w:rtl/>
                <w:rFonts w:cs="Arial"/>
                <w:lang w:bidi="he-IL"/>
              </w:rPr>
              <w:t>בשתיקה</w:t>
            </w:r>
          </w:p>
        </w:tc>
        <w:tc>
          <w:tcPr>
            <w:tcW w:type="dxa" w:w="1728"/>
          </w:tcPr>
          <w:p>
            <w:pPr>
              <w:bidi/>
              <w:jc w:val="both"/>
              <w:rPr>
                <w:rtl/>
              </w:rPr>
            </w:pPr>
            <w:r>
              <w:rPr>
                <w:rtl/>
                <w:rFonts w:cs="Arial"/>
                <w:lang w:bidi="he-IL"/>
              </w:rPr>
            </w:r>
            <w:r>
              <w:rPr>
                <w:rtl/>
                <w:rFonts w:cs="Arial"/>
                <w:lang w:bidi="he-IL"/>
              </w:rPr>
              <w:t>כרום 8,072%; אחרון 02/2023</w:t>
            </w:r>
          </w:p>
        </w:tc>
      </w:tr>
      <w:tr>
        <w:tc>
          <w:tcPr>
            <w:tcW w:type="dxa" w:w="1728"/>
          </w:tcPr>
          <w:p>
            <w:pPr>
              <w:bidi/>
              <w:jc w:val="both"/>
              <w:rPr>
                <w:rtl/>
              </w:rPr>
            </w:pPr>
            <w:r>
              <w:rPr>
                <w:rtl/>
                <w:rFonts w:cs="Arial"/>
                <w:lang w:bidi="he-IL"/>
              </w:rPr>
            </w:r>
            <w:r>
              <w:rPr>
                <w:rtl/>
                <w:rFonts w:cs="Arial"/>
                <w:lang w:bidi="he-IL"/>
              </w:rPr>
              <w:t>נת חולון 22</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METALS</w:t>
            </w:r>
          </w:p>
        </w:tc>
        <w:tc>
          <w:tcPr>
            <w:tcW w:type="dxa" w:w="1728"/>
          </w:tcPr>
          <w:p>
            <w:pPr>
              <w:bidi/>
              <w:jc w:val="both"/>
              <w:rPr>
                <w:rtl/>
              </w:rPr>
            </w:pPr>
            <w:r>
              <w:rPr>
                <w:rtl/>
                <w:rFonts w:cs="Arial"/>
                <w:lang w:bidi="he-IL"/>
              </w:rPr>
            </w:r>
            <w:r>
              <w:rPr>
                <w:rtl/>
                <w:rFonts w:cs="Arial"/>
                <w:lang w:bidi="he-IL"/>
              </w:rPr>
              <w:t>בשתיקה</w:t>
            </w:r>
          </w:p>
        </w:tc>
        <w:tc>
          <w:tcPr>
            <w:tcW w:type="dxa" w:w="1728"/>
          </w:tcPr>
          <w:p>
            <w:pPr>
              <w:bidi/>
              <w:jc w:val="both"/>
              <w:rPr>
                <w:rtl/>
              </w:rPr>
            </w:pPr>
            <w:r>
              <w:rPr>
                <w:rtl/>
                <w:rFonts w:cs="Arial"/>
                <w:lang w:bidi="he-IL"/>
              </w:rPr>
            </w:r>
            <w:r>
              <w:rPr>
                <w:rtl/>
                <w:rFonts w:cs="Arial"/>
                <w:lang w:bidi="he-IL"/>
              </w:rPr>
              <w:t>מנגן (ארטיפקט סינון אפשרי)</w:t>
            </w:r>
          </w:p>
        </w:tc>
      </w:tr>
      <w:tr>
        <w:tc>
          <w:tcPr>
            <w:tcW w:type="dxa" w:w="1728"/>
          </w:tcPr>
          <w:p>
            <w:pPr>
              <w:bidi/>
              <w:jc w:val="both"/>
              <w:rPr>
                <w:rtl/>
              </w:rPr>
            </w:pPr>
            <w:r>
              <w:rPr>
                <w:rtl/>
                <w:rFonts w:cs="Arial"/>
                <w:lang w:bidi="he-IL"/>
              </w:rPr>
            </w:r>
            <w:r>
              <w:rPr>
                <w:rtl/>
                <w:rFonts w:cs="Arial"/>
                <w:lang w:bidi="he-IL"/>
              </w:rPr>
              <w:t>נת אלביט חולון 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בשתיקה ארוכה</w:t>
            </w:r>
          </w:p>
        </w:tc>
        <w:tc>
          <w:tcPr>
            <w:tcW w:type="dxa" w:w="1728"/>
          </w:tcPr>
          <w:p>
            <w:pPr>
              <w:bidi/>
              <w:jc w:val="both"/>
              <w:rPr>
                <w:rtl/>
              </w:rPr>
            </w:pPr>
            <w:r>
              <w:rPr>
                <w:rtl/>
                <w:rFonts w:cs="Arial"/>
                <w:lang w:bidi="he-IL"/>
              </w:rPr>
            </w:r>
            <w:r>
              <w:rPr>
                <w:rtl/>
                <w:rFonts w:cs="Arial"/>
                <w:lang w:bidi="he-IL"/>
              </w:rPr>
              <w:t>TCE 35,573%; אחרון 03/2018</w:t>
            </w:r>
          </w:p>
        </w:tc>
      </w:tr>
      <w:tr>
        <w:tc>
          <w:tcPr>
            <w:tcW w:type="dxa" w:w="1728"/>
          </w:tcPr>
          <w:p>
            <w:pPr>
              <w:bidi/>
              <w:jc w:val="both"/>
              <w:rPr>
                <w:rtl/>
              </w:rPr>
            </w:pPr>
            <w:r>
              <w:rPr>
                <w:rtl/>
                <w:rFonts w:cs="Arial"/>
                <w:lang w:bidi="he-IL"/>
              </w:rPr>
            </w:r>
            <w:r>
              <w:rPr>
                <w:rtl/>
                <w:rFonts w:cs="Arial"/>
                <w:lang w:bidi="he-IL"/>
              </w:rPr>
              <w:t>נד אגד אזור 12</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FUEL</w:t>
            </w:r>
          </w:p>
        </w:tc>
        <w:tc>
          <w:tcPr>
            <w:tcW w:type="dxa" w:w="1728"/>
          </w:tcPr>
          <w:p>
            <w:pPr>
              <w:bidi/>
              <w:jc w:val="both"/>
              <w:rPr>
                <w:rtl/>
              </w:rPr>
            </w:pPr>
            <w:r>
              <w:rPr>
                <w:rtl/>
                <w:rFonts w:cs="Arial"/>
                <w:lang w:bidi="he-IL"/>
              </w:rPr>
            </w:r>
            <w:r>
              <w:rPr>
                <w:rtl/>
                <w:rFonts w:cs="Arial"/>
                <w:lang w:bidi="he-IL"/>
              </w:rPr>
              <w:t>בשתיקה (closed)</w:t>
            </w:r>
          </w:p>
        </w:tc>
        <w:tc>
          <w:tcPr>
            <w:tcW w:type="dxa" w:w="1728"/>
          </w:tcPr>
          <w:p>
            <w:pPr>
              <w:bidi/>
              <w:jc w:val="both"/>
              <w:rPr>
                <w:rtl/>
              </w:rPr>
            </w:pPr>
            <w:r>
              <w:rPr>
                <w:rtl/>
                <w:rFonts w:cs="Arial"/>
                <w:lang w:bidi="he-IL"/>
              </w:rPr>
            </w:r>
            <w:r>
              <w:rPr>
                <w:rtl/>
                <w:rFonts w:cs="Arial"/>
                <w:lang w:bidi="he-IL"/>
              </w:rPr>
              <w:t>MTBE 34,250%; אחרון 08/2022</w:t>
            </w:r>
          </w:p>
        </w:tc>
      </w:tr>
      <w:tr>
        <w:tc>
          <w:tcPr>
            <w:tcW w:type="dxa" w:w="1728"/>
          </w:tcPr>
          <w:p>
            <w:pPr>
              <w:bidi/>
              <w:jc w:val="both"/>
              <w:rPr>
                <w:rtl/>
              </w:rPr>
            </w:pPr>
            <w:r>
              <w:rPr>
                <w:rtl/>
                <w:rFonts w:cs="Arial"/>
                <w:lang w:bidi="he-IL"/>
              </w:rPr>
            </w:r>
            <w:r>
              <w:rPr>
                <w:rtl/>
                <w:rFonts w:cs="Arial"/>
                <w:lang w:bidi="he-IL"/>
              </w:rPr>
              <w:t>נד דלק מרכבות האש 1</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FUEL</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LNAPL; TBA קיצוני</w:t>
            </w:r>
          </w:p>
        </w:tc>
      </w:tr>
      <w:tr>
        <w:tc>
          <w:tcPr>
            <w:tcW w:type="dxa" w:w="1728"/>
          </w:tcPr>
          <w:p>
            <w:pPr>
              <w:bidi/>
              <w:jc w:val="both"/>
              <w:rPr>
                <w:rtl/>
              </w:rPr>
            </w:pPr>
            <w:r>
              <w:rPr>
                <w:rtl/>
                <w:rFonts w:cs="Arial"/>
                <w:lang w:bidi="he-IL"/>
              </w:rPr>
            </w:r>
            <w:r>
              <w:rPr>
                <w:rtl/>
                <w:rFonts w:cs="Arial"/>
                <w:lang w:bidi="he-IL"/>
              </w:rPr>
              <w:t>נת חווה חקלאית א</w:t>
            </w:r>
          </w:p>
        </w:tc>
        <w:tc>
          <w:tcPr>
            <w:tcW w:type="dxa" w:w="1728"/>
          </w:tcPr>
          <w:p>
            <w:pPr>
              <w:bidi/>
              <w:jc w:val="both"/>
              <w:rPr>
                <w:rtl/>
              </w:rPr>
            </w:pPr>
            <w:r>
              <w:rPr>
                <w:rtl/>
                <w:rFonts w:cs="Arial"/>
                <w:lang w:bidi="he-IL"/>
              </w:rPr>
            </w:r>
            <w:r>
              <w:rPr>
                <w:rtl/>
                <w:rFonts w:cs="Arial"/>
                <w:lang w:bidi="he-IL"/>
              </w:rPr>
              <w:t>8</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פעיל</w:t>
            </w:r>
          </w:p>
        </w:tc>
        <w:tc>
          <w:tcPr>
            <w:tcW w:type="dxa" w:w="1728"/>
          </w:tcPr>
          <w:p>
            <w:pPr>
              <w:bidi/>
              <w:jc w:val="both"/>
              <w:rPr>
                <w:rtl/>
              </w:rPr>
            </w:pPr>
            <w:r>
              <w:rPr>
                <w:rtl/>
                <w:rFonts w:cs="Arial"/>
                <w:lang w:bidi="he-IL"/>
              </w:rPr>
            </w:r>
            <w:r>
              <w:rPr>
                <w:rtl/>
                <w:rFonts w:cs="Arial"/>
                <w:lang w:bidi="he-IL"/>
              </w:rPr>
              <w:t>1,4-dioxane 1,293% (מדידה ראשונה)</w:t>
            </w:r>
          </w:p>
        </w:tc>
      </w:tr>
      <w:tr>
        <w:tc>
          <w:tcPr>
            <w:tcW w:type="dxa" w:w="1728"/>
          </w:tcPr>
          <w:p>
            <w:pPr>
              <w:bidi/>
              <w:jc w:val="both"/>
              <w:rPr>
                <w:rtl/>
              </w:rPr>
            </w:pPr>
            <w:r>
              <w:rPr>
                <w:rtl/>
                <w:rFonts w:cs="Arial"/>
                <w:lang w:bidi="he-IL"/>
              </w:rPr>
            </w:r>
            <w:r>
              <w:rPr>
                <w:rtl/>
                <w:rFonts w:cs="Arial"/>
                <w:lang w:bidi="he-IL"/>
              </w:rPr>
              <w:t>מק חולון 14</w:t>
            </w:r>
          </w:p>
        </w:tc>
        <w:tc>
          <w:tcPr>
            <w:tcW w:type="dxa" w:w="1728"/>
          </w:tcPr>
          <w:p>
            <w:pPr>
              <w:bidi/>
              <w:jc w:val="both"/>
              <w:rPr>
                <w:rtl/>
              </w:rPr>
            </w:pPr>
            <w:r>
              <w:rPr>
                <w:rtl/>
                <w:rFonts w:cs="Arial"/>
                <w:lang w:bidi="he-IL"/>
              </w:rPr>
            </w:r>
            <w:r>
              <w:rPr>
                <w:rtl/>
                <w:rFonts w:cs="Arial"/>
                <w:lang w:bidi="he-IL"/>
              </w:rPr>
              <w:t>5 (TCE)</w:t>
            </w:r>
          </w:p>
        </w:tc>
        <w:tc>
          <w:tcPr>
            <w:tcW w:type="dxa" w:w="1728"/>
          </w:tcPr>
          <w:p>
            <w:pPr>
              <w:bidi/>
              <w:jc w:val="both"/>
              <w:rPr>
                <w:rtl/>
              </w:rPr>
            </w:pPr>
            <w:r>
              <w:rPr>
                <w:rtl/>
                <w:rFonts w:cs="Arial"/>
                <w:lang w:bidi="he-IL"/>
              </w:rPr>
            </w:r>
            <w:r>
              <w:rPr>
                <w:rtl/>
                <w:rFonts w:cs="Arial"/>
                <w:lang w:bidi="he-IL"/>
              </w:rPr>
              <w:t>CVOC</w:t>
            </w:r>
          </w:p>
        </w:tc>
        <w:tc>
          <w:tcPr>
            <w:tcW w:type="dxa" w:w="1728"/>
          </w:tcPr>
          <w:p>
            <w:pPr>
              <w:bidi/>
              <w:jc w:val="both"/>
              <w:rPr>
                <w:rtl/>
              </w:rPr>
            </w:pPr>
            <w:r>
              <w:rPr>
                <w:rtl/>
                <w:rFonts w:cs="Arial"/>
                <w:lang w:bidi="he-IL"/>
              </w:rPr>
            </w:r>
            <w:r>
              <w:rPr>
                <w:rtl/>
                <w:rFonts w:cs="Arial"/>
                <w:lang w:bidi="he-IL"/>
              </w:rPr>
              <w:t>פעיל (הפקה)</w:t>
            </w:r>
          </w:p>
        </w:tc>
        <w:tc>
          <w:tcPr>
            <w:tcW w:type="dxa" w:w="1728"/>
          </w:tcPr>
          <w:p>
            <w:pPr>
              <w:bidi/>
              <w:jc w:val="both"/>
              <w:rPr>
                <w:rtl/>
              </w:rPr>
            </w:pPr>
            <w:r>
              <w:rPr>
                <w:rtl/>
                <w:rFonts w:cs="Arial"/>
                <w:lang w:bidi="he-IL"/>
              </w:rPr>
            </w:r>
            <w:r>
              <w:rPr>
                <w:rtl/>
                <w:rFonts w:cs="Arial"/>
                <w:lang w:bidi="he-IL"/>
              </w:rPr>
              <w:t>C_max 116%; חצה תקן 04/2025 (101%)</w:t>
            </w:r>
          </w:p>
        </w:tc>
      </w:tr>
      <w:tr>
        <w:tc>
          <w:tcPr>
            <w:tcW w:type="dxa" w:w="1728"/>
          </w:tcPr>
          <w:p>
            <w:pPr>
              <w:bidi/>
              <w:jc w:val="both"/>
              <w:rPr>
                <w:rtl/>
              </w:rPr>
            </w:pPr>
            <w:r>
              <w:rPr>
                <w:rtl/>
                <w:rFonts w:cs="Arial"/>
                <w:lang w:bidi="he-IL"/>
              </w:rPr>
            </w:r>
            <w:r>
              <w:rPr>
                <w:rtl/>
                <w:rFonts w:cs="Arial"/>
                <w:lang w:bidi="he-IL"/>
              </w:rPr>
              <w:t>מק חולון 12</w:t>
            </w:r>
          </w:p>
        </w:tc>
        <w:tc>
          <w:tcPr>
            <w:tcW w:type="dxa" w:w="1728"/>
          </w:tcPr>
          <w:p>
            <w:pPr>
              <w:bidi/>
              <w:jc w:val="both"/>
              <w:rPr>
                <w:rtl/>
              </w:rPr>
            </w:pPr>
            <w:r>
              <w:rPr>
                <w:rtl/>
                <w:rFonts w:cs="Arial"/>
                <w:lang w:bidi="he-IL"/>
              </w:rPr>
            </w:r>
            <w:r>
              <w:rPr>
                <w:rtl/>
                <w:rFonts w:cs="Arial"/>
                <w:lang w:bidi="he-IL"/>
              </w:rPr>
              <w:t>6</w:t>
            </w:r>
          </w:p>
        </w:tc>
        <w:tc>
          <w:tcPr>
            <w:tcW w:type="dxa" w:w="1728"/>
          </w:tcPr>
          <w:p>
            <w:pPr>
              <w:bidi/>
              <w:jc w:val="both"/>
              <w:rPr>
                <w:rtl/>
              </w:rPr>
            </w:pPr>
            <w:r>
              <w:rPr>
                <w:rtl/>
                <w:rFonts w:cs="Arial"/>
                <w:lang w:bidi="he-IL"/>
              </w:rPr>
            </w:r>
            <w:r>
              <w:rPr>
                <w:rtl/>
                <w:rFonts w:cs="Arial"/>
                <w:lang w:bidi="he-IL"/>
              </w:rPr>
              <w:t>METALS</w:t>
            </w:r>
          </w:p>
        </w:tc>
        <w:tc>
          <w:tcPr>
            <w:tcW w:type="dxa" w:w="1728"/>
          </w:tcPr>
          <w:p>
            <w:pPr>
              <w:bidi/>
              <w:jc w:val="both"/>
              <w:rPr>
                <w:rtl/>
              </w:rPr>
            </w:pPr>
            <w:r>
              <w:rPr>
                <w:rtl/>
                <w:rFonts w:cs="Arial"/>
                <w:lang w:bidi="he-IL"/>
              </w:rPr>
            </w:r>
            <w:r>
              <w:rPr>
                <w:rtl/>
                <w:rFonts w:cs="Arial"/>
                <w:lang w:bidi="he-IL"/>
              </w:rPr>
              <w:t>פעיל (הפקה)</w:t>
            </w:r>
          </w:p>
        </w:tc>
        <w:tc>
          <w:tcPr>
            <w:tcW w:type="dxa" w:w="1728"/>
          </w:tcPr>
          <w:p>
            <w:pPr>
              <w:bidi/>
              <w:jc w:val="both"/>
              <w:rPr>
                <w:rtl/>
              </w:rPr>
            </w:pPr>
            <w:r>
              <w:rPr>
                <w:rtl/>
                <w:rFonts w:cs="Arial"/>
                <w:lang w:bidi="he-IL"/>
              </w:rPr>
            </w:r>
            <w:r>
              <w:rPr>
                <w:rtl/>
                <w:rFonts w:cs="Arial"/>
                <w:lang w:bidi="he-IL"/>
              </w:rPr>
              <w:t>קשיות; כלוריד עולה</w:t>
            </w:r>
          </w:p>
        </w:tc>
      </w:tr>
    </w:tbl>
    <w:p>
      <w:pPr>
        <w:bidi/>
        <w:jc w:val="both"/>
        <w:rPr>
          <w:rtl/>
        </w:rPr>
      </w:pPr>
      <w:r>
        <w:rPr>
          <w:rtl/>
          <w:rFonts w:cs="Arial"/>
          <w:lang w:bidi="he-IL"/>
        </w:rPr>
        <w:t>(רשימה חלקית — קידוחים נבחרים. הרשימה המלאה ב-</w:t>
      </w:r>
      <w:r>
        <w:rPr>
          <w:rFonts w:ascii="Courier New" w:hAnsi="Courier New" w:cs="Arial"/>
          <w:color w:val="800000"/>
          <w:rtl/>
          <w:lang w:bidi="he-IL"/>
        </w:rPr>
        <w:t>severity_by_well_family.csv</w:t>
      </w:r>
      <w:r>
        <w:rPr>
          <w:rtl/>
          <w:rFonts w:cs="Arial"/>
          <w:lang w:bidi="he-IL"/>
        </w:rPr>
        <w:t>.)</w:t>
      </w:r>
    </w:p>
    <w:p>
      <w:pPr>
        <w:bidi/>
        <w:pStyle w:val="Heading2"/>
        <w:jc w:val="both"/>
        <w:rPr>
          <w:rtl/>
        </w:rPr>
      </w:pPr>
      <w:r>
        <w:rPr>
          <w:rtl/>
          <w:rFonts w:cs="Arial"/>
          <w:lang w:bidi="he-IL"/>
        </w:rPr>
        <w:t>נספח ב: מקורות חיצוניים שנסקרו</w:t>
      </w:r>
    </w:p>
    <w:p>
      <w:pPr>
        <w:bidi/>
        <w:pStyle w:val="ListBullet"/>
        <w:jc w:val="both"/>
        <w:rPr>
          <w:rtl/>
        </w:rPr>
      </w:pPr>
      <w:r>
        <w:rPr>
          <w:b/>
          <w:rtl/>
          <w:rFonts w:cs="Arial"/>
          <w:lang w:bidi="he-IL"/>
        </w:rPr>
        <w:t>תה"ל 2007</w:t>
      </w:r>
      <w:r>
        <w:rPr>
          <w:rtl/>
          <w:rFonts w:cs="Arial"/>
          <w:lang w:bidi="he-IL"/>
        </w:rPr>
        <w:t xml:space="preserve"> — "מצב מקורות מים, חולון-בת ים": סקר מתחמי מקור, אינדקסי פוטנציאל זיהום, ריכוזי בסיס (שיא TCE היסטורי 6,457 µg/L בתדירגן).</w:t>
      </w:r>
    </w:p>
    <w:p>
      <w:pPr>
        <w:bidi/>
        <w:pStyle w:val="ListBullet"/>
        <w:jc w:val="both"/>
        <w:rPr>
          <w:rtl/>
        </w:rPr>
      </w:pPr>
      <w:r>
        <w:rPr>
          <w:b/>
          <w:rtl/>
          <w:rFonts w:cs="Arial"/>
          <w:lang w:bidi="he-IL"/>
        </w:rPr>
        <w:t>אקולוג 2009</w:t>
      </w:r>
      <w:r>
        <w:rPr>
          <w:rtl/>
          <w:rFonts w:cs="Arial"/>
          <w:lang w:bidi="he-IL"/>
        </w:rPr>
        <w:t xml:space="preserve"> — דוח אתר רימטל: תיעוד עליית ניקל (0.6→2.0 mg/L, 2005–2008) ושיקום.</w:t>
      </w:r>
    </w:p>
    <w:p>
      <w:pPr>
        <w:bidi/>
        <w:pStyle w:val="ListBullet"/>
        <w:jc w:val="both"/>
        <w:rPr>
          <w:rtl/>
        </w:rPr>
      </w:pPr>
      <w:r>
        <w:rPr>
          <w:b/>
          <w:rtl/>
          <w:rFonts w:cs="Arial"/>
          <w:lang w:bidi="he-IL"/>
        </w:rPr>
        <w:t>אקולוג 2012 א/ב</w:t>
      </w:r>
      <w:r>
        <w:rPr>
          <w:rtl/>
          <w:rFonts w:cs="Arial"/>
          <w:lang w:bidi="he-IL"/>
        </w:rPr>
        <w:t xml:space="preserve"> — מודל ממוחשב, פלאומי משנה, סטטוס מפעלים, תרחישי שיקום.</w:t>
      </w:r>
    </w:p>
    <w:p>
      <w:pPr>
        <w:bidi/>
        <w:pStyle w:val="ListBullet"/>
        <w:jc w:val="both"/>
        <w:rPr>
          <w:rtl/>
        </w:rPr>
      </w:pPr>
      <w:r>
        <w:rPr>
          <w:b/>
          <w:rtl/>
          <w:rFonts w:cs="Arial"/>
          <w:lang w:bidi="he-IL"/>
        </w:rPr>
        <w:t>רשות המים 2021</w:t>
      </w:r>
      <w:r>
        <w:rPr>
          <w:rtl/>
          <w:rFonts w:cs="Arial"/>
          <w:lang w:bidi="he-IL"/>
        </w:rPr>
        <w:t xml:space="preserve"> — "בקרת איכות מים 2021", פרק חולון, עמ' 29–35: שיוך מקורות, אינדקסים, שיקום ISCO, כיוון זרימה.</w:t>
      </w:r>
    </w:p>
    <w:p>
      <w:pPr>
        <w:bidi/>
        <w:pStyle w:val="ListBullet"/>
        <w:jc w:val="both"/>
        <w:rPr>
          <w:rtl/>
        </w:rPr>
      </w:pPr>
      <w:r>
        <w:rPr>
          <w:rtl/>
          <w:rFonts w:cs="Arial"/>
          <w:lang w:bidi="he-IL"/>
        </w:rPr>
        <w:t xml:space="preserve">חבילת ההקשר המלאה: </w:t>
      </w:r>
      <w:r>
        <w:rPr>
          <w:rFonts w:ascii="Courier New" w:hAnsi="Courier New" w:cs="Arial"/>
          <w:color w:val="800000"/>
          <w:rtl/>
          <w:lang w:bidi="he-IL"/>
        </w:rPr>
        <w:t>Holon/context_pack/03_context/reports_context.md</w:t>
      </w:r>
      <w:r>
        <w:rPr>
          <w:rtl/>
          <w:rFonts w:cs="Arial"/>
          <w:lang w:bidi="he-IL"/>
        </w:rPr>
        <w:t>.</w:t>
      </w:r>
    </w:p>
    <w:p>
      <w:pPr>
        <w:bidi/>
        <w:pStyle w:val="Heading2"/>
        <w:jc w:val="both"/>
        <w:rPr>
          <w:rtl/>
        </w:rPr>
      </w:pPr>
      <w:r>
        <w:rPr>
          <w:rtl/>
          <w:rFonts w:cs="Arial"/>
          <w:lang w:bidi="he-IL"/>
        </w:rPr>
        <w:t>נספח ג: אינדקס מועמדי מקור (רמות ביטחון)</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both"/>
              <w:rPr>
                <w:rtl/>
              </w:rPr>
            </w:pPr>
            <w:r>
              <w:rPr>
                <w:b/>
                <w:rtl/>
                <w:rFonts w:cs="Arial"/>
                <w:lang w:bidi="he-IL"/>
              </w:rPr>
            </w:r>
            <w:r>
              <w:rPr>
                <w:b/>
                <w:rtl/>
                <w:rFonts w:cs="Arial"/>
                <w:lang w:bidi="he-IL"/>
              </w:rPr>
              <w:t>מועמד</w:t>
            </w:r>
          </w:p>
        </w:tc>
        <w:tc>
          <w:tcPr>
            <w:tcW w:type="dxa" w:w="1728"/>
          </w:tcPr>
          <w:p>
            <w:pPr>
              <w:bidi/>
              <w:jc w:val="both"/>
              <w:rPr>
                <w:rtl/>
              </w:rPr>
            </w:pPr>
            <w:r>
              <w:rPr>
                <w:b/>
                <w:rtl/>
                <w:rFonts w:cs="Arial"/>
                <w:lang w:bidi="he-IL"/>
              </w:rPr>
            </w:r>
            <w:r>
              <w:rPr>
                <w:b/>
                <w:rtl/>
                <w:rFonts w:cs="Arial"/>
                <w:lang w:bidi="he-IL"/>
              </w:rPr>
              <w:t>סוג</w:t>
            </w:r>
          </w:p>
        </w:tc>
        <w:tc>
          <w:tcPr>
            <w:tcW w:type="dxa" w:w="1728"/>
          </w:tcPr>
          <w:p>
            <w:pPr>
              <w:bidi/>
              <w:jc w:val="both"/>
              <w:rPr>
                <w:rtl/>
              </w:rPr>
            </w:pPr>
            <w:r>
              <w:rPr>
                <w:b/>
                <w:rtl/>
                <w:rFonts w:cs="Arial"/>
                <w:lang w:bidi="he-IL"/>
              </w:rPr>
            </w:r>
            <w:r>
              <w:rPr>
                <w:b/>
                <w:rtl/>
                <w:rFonts w:cs="Arial"/>
                <w:lang w:bidi="he-IL"/>
              </w:rPr>
              <w:t>מזהמים</w:t>
            </w:r>
          </w:p>
        </w:tc>
        <w:tc>
          <w:tcPr>
            <w:tcW w:type="dxa" w:w="1728"/>
          </w:tcPr>
          <w:p>
            <w:pPr>
              <w:bidi/>
              <w:jc w:val="both"/>
              <w:rPr>
                <w:rtl/>
              </w:rPr>
            </w:pPr>
            <w:r>
              <w:rPr>
                <w:b/>
                <w:rtl/>
                <w:rFonts w:cs="Arial"/>
                <w:lang w:bidi="he-IL"/>
              </w:rPr>
            </w:r>
            <w:r>
              <w:rPr>
                <w:b/>
                <w:rtl/>
                <w:rFonts w:cs="Arial"/>
                <w:lang w:bidi="he-IL"/>
              </w:rPr>
              <w:t>רמת ביטחון</w:t>
            </w:r>
          </w:p>
        </w:tc>
        <w:tc>
          <w:tcPr>
            <w:tcW w:type="dxa" w:w="1728"/>
          </w:tcPr>
          <w:p>
            <w:pPr>
              <w:bidi/>
              <w:jc w:val="both"/>
              <w:rPr>
                <w:rtl/>
              </w:rPr>
            </w:pPr>
            <w:r>
              <w:rPr>
                <w:b/>
                <w:rtl/>
                <w:rFonts w:cs="Arial"/>
                <w:lang w:bidi="he-IL"/>
              </w:rPr>
            </w:r>
            <w:r>
              <w:rPr>
                <w:b/>
                <w:rtl/>
                <w:rFonts w:cs="Arial"/>
                <w:lang w:bidi="he-IL"/>
              </w:rPr>
              <w:t>מחלקת ראיה</w:t>
            </w:r>
          </w:p>
        </w:tc>
      </w:tr>
      <w:tr>
        <w:tc>
          <w:tcPr>
            <w:tcW w:type="dxa" w:w="1728"/>
          </w:tcPr>
          <w:p>
            <w:pPr>
              <w:bidi/>
              <w:jc w:val="both"/>
              <w:rPr>
                <w:rtl/>
              </w:rPr>
            </w:pPr>
            <w:r>
              <w:rPr>
                <w:rtl/>
                <w:rFonts w:cs="Arial"/>
                <w:lang w:bidi="he-IL"/>
              </w:rPr>
            </w:r>
            <w:r>
              <w:rPr>
                <w:rtl/>
                <w:rFonts w:cs="Arial"/>
                <w:lang w:bidi="he-IL"/>
              </w:rPr>
              <w:t>תדיראן-קשר/אלביט</w:t>
            </w:r>
          </w:p>
        </w:tc>
        <w:tc>
          <w:tcPr>
            <w:tcW w:type="dxa" w:w="1728"/>
          </w:tcPr>
          <w:p>
            <w:pPr>
              <w:bidi/>
              <w:jc w:val="both"/>
              <w:rPr>
                <w:rtl/>
              </w:rPr>
            </w:pPr>
            <w:r>
              <w:rPr>
                <w:rtl/>
                <w:rFonts w:cs="Arial"/>
                <w:lang w:bidi="he-IL"/>
              </w:rPr>
            </w:r>
            <w:r>
              <w:rPr>
                <w:rtl/>
                <w:rFonts w:cs="Arial"/>
                <w:lang w:bidi="he-IL"/>
              </w:rPr>
              <w:t>אלקטרוניקה/ציפוי</w:t>
            </w:r>
          </w:p>
        </w:tc>
        <w:tc>
          <w:tcPr>
            <w:tcW w:type="dxa" w:w="1728"/>
          </w:tcPr>
          <w:p>
            <w:pPr>
              <w:bidi/>
              <w:jc w:val="both"/>
              <w:rPr>
                <w:rtl/>
              </w:rPr>
            </w:pPr>
            <w:r>
              <w:rPr>
                <w:rtl/>
                <w:rFonts w:cs="Arial"/>
                <w:lang w:bidi="he-IL"/>
              </w:rPr>
            </w:r>
            <w:r>
              <w:rPr>
                <w:rtl/>
                <w:rFonts w:cs="Arial"/>
                <w:lang w:bidi="he-IL"/>
              </w:rPr>
              <w:t>TCE, PCE, DCE</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תדירגן</w:t>
            </w:r>
          </w:p>
        </w:tc>
        <w:tc>
          <w:tcPr>
            <w:tcW w:type="dxa" w:w="1728"/>
          </w:tcPr>
          <w:p>
            <w:pPr>
              <w:bidi/>
              <w:jc w:val="both"/>
              <w:rPr>
                <w:rtl/>
              </w:rPr>
            </w:pPr>
            <w:r>
              <w:rPr>
                <w:rtl/>
                <w:rFonts w:cs="Arial"/>
                <w:lang w:bidi="he-IL"/>
              </w:rPr>
            </w:r>
            <w:r>
              <w:rPr>
                <w:rtl/>
                <w:rFonts w:cs="Arial"/>
                <w:lang w:bidi="he-IL"/>
              </w:rPr>
              <w:t>ציפוי/שבבי</w:t>
            </w:r>
          </w:p>
        </w:tc>
        <w:tc>
          <w:tcPr>
            <w:tcW w:type="dxa" w:w="1728"/>
          </w:tcPr>
          <w:p>
            <w:pPr>
              <w:bidi/>
              <w:jc w:val="both"/>
              <w:rPr>
                <w:rtl/>
              </w:rPr>
            </w:pPr>
            <w:r>
              <w:rPr>
                <w:rtl/>
                <w:rFonts w:cs="Arial"/>
                <w:lang w:bidi="he-IL"/>
              </w:rPr>
            </w:r>
            <w:r>
              <w:rPr>
                <w:rtl/>
                <w:rFonts w:cs="Arial"/>
                <w:lang w:bidi="he-IL"/>
              </w:rPr>
              <w:t>TCE, PCE, Cr</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תרשיש</w:t>
            </w:r>
          </w:p>
        </w:tc>
        <w:tc>
          <w:tcPr>
            <w:tcW w:type="dxa" w:w="1728"/>
          </w:tcPr>
          <w:p>
            <w:pPr>
              <w:bidi/>
              <w:jc w:val="both"/>
              <w:rPr>
                <w:rtl/>
              </w:rPr>
            </w:pPr>
            <w:r>
              <w:rPr>
                <w:rtl/>
                <w:rFonts w:cs="Arial"/>
                <w:lang w:bidi="he-IL"/>
              </w:rPr>
            </w:r>
            <w:r>
              <w:rPr>
                <w:rtl/>
                <w:rFonts w:cs="Arial"/>
                <w:lang w:bidi="he-IL"/>
              </w:rPr>
              <w:t>ציפוי</w:t>
            </w:r>
          </w:p>
        </w:tc>
        <w:tc>
          <w:tcPr>
            <w:tcW w:type="dxa" w:w="1728"/>
          </w:tcPr>
          <w:p>
            <w:pPr>
              <w:bidi/>
              <w:jc w:val="both"/>
              <w:rPr>
                <w:rtl/>
              </w:rPr>
            </w:pPr>
            <w:r>
              <w:rPr>
                <w:rtl/>
                <w:rFonts w:cs="Arial"/>
                <w:lang w:bidi="he-IL"/>
              </w:rPr>
            </w:r>
            <w:r>
              <w:rPr>
                <w:rtl/>
                <w:rFonts w:cs="Arial"/>
                <w:lang w:bidi="he-IL"/>
              </w:rPr>
              <w:t>TCE, Cr</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אמינוגרף</w:t>
            </w:r>
          </w:p>
        </w:tc>
        <w:tc>
          <w:tcPr>
            <w:tcW w:type="dxa" w:w="1728"/>
          </w:tcPr>
          <w:p>
            <w:pPr>
              <w:bidi/>
              <w:jc w:val="both"/>
              <w:rPr>
                <w:rtl/>
              </w:rPr>
            </w:pPr>
            <w:r>
              <w:rPr>
                <w:rtl/>
                <w:rFonts w:cs="Arial"/>
                <w:lang w:bidi="he-IL"/>
              </w:rPr>
            </w:r>
            <w:r>
              <w:rPr>
                <w:rtl/>
                <w:rFonts w:cs="Arial"/>
                <w:lang w:bidi="he-IL"/>
              </w:rPr>
              <w:t>ציפוי</w:t>
            </w:r>
          </w:p>
        </w:tc>
        <w:tc>
          <w:tcPr>
            <w:tcW w:type="dxa" w:w="1728"/>
          </w:tcPr>
          <w:p>
            <w:pPr>
              <w:bidi/>
              <w:jc w:val="both"/>
              <w:rPr>
                <w:rtl/>
              </w:rPr>
            </w:pPr>
            <w:r>
              <w:rPr>
                <w:rtl/>
                <w:rFonts w:cs="Arial"/>
                <w:lang w:bidi="he-IL"/>
              </w:rPr>
            </w:r>
            <w:r>
              <w:rPr>
                <w:rtl/>
                <w:rFonts w:cs="Arial"/>
                <w:lang w:bidi="he-IL"/>
              </w:rPr>
              <w:t>TCE, DCE</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כור מתכת</w:t>
            </w:r>
          </w:p>
        </w:tc>
        <w:tc>
          <w:tcPr>
            <w:tcW w:type="dxa" w:w="1728"/>
          </w:tcPr>
          <w:p>
            <w:pPr>
              <w:bidi/>
              <w:jc w:val="both"/>
              <w:rPr>
                <w:rtl/>
              </w:rPr>
            </w:pPr>
            <w:r>
              <w:rPr>
                <w:rtl/>
                <w:rFonts w:cs="Arial"/>
                <w:lang w:bidi="he-IL"/>
              </w:rPr>
            </w:r>
            <w:r>
              <w:rPr>
                <w:rtl/>
                <w:rFonts w:cs="Arial"/>
                <w:lang w:bidi="he-IL"/>
              </w:rPr>
              <w:t>ציפוי</w:t>
            </w:r>
          </w:p>
        </w:tc>
        <w:tc>
          <w:tcPr>
            <w:tcW w:type="dxa" w:w="1728"/>
          </w:tcPr>
          <w:p>
            <w:pPr>
              <w:bidi/>
              <w:jc w:val="both"/>
              <w:rPr>
                <w:rtl/>
              </w:rPr>
            </w:pPr>
            <w:r>
              <w:rPr>
                <w:rtl/>
                <w:rFonts w:cs="Arial"/>
                <w:lang w:bidi="he-IL"/>
              </w:rPr>
            </w:r>
            <w:r>
              <w:rPr>
                <w:rtl/>
                <w:rFonts w:cs="Arial"/>
                <w:lang w:bidi="he-IL"/>
              </w:rPr>
              <w:t>TCE, DCE, Cr, 1,4-dioxane</w:t>
            </w:r>
          </w:p>
        </w:tc>
        <w:tc>
          <w:tcPr>
            <w:tcW w:type="dxa" w:w="1728"/>
          </w:tcPr>
          <w:p>
            <w:pPr>
              <w:bidi/>
              <w:jc w:val="both"/>
              <w:rPr>
                <w:rtl/>
              </w:rPr>
            </w:pPr>
            <w:r>
              <w:rPr>
                <w:rtl/>
                <w:rFonts w:cs="Arial"/>
                <w:lang w:bidi="he-IL"/>
              </w:rPr>
            </w:r>
            <w:r>
              <w:rPr>
                <w:rtl/>
                <w:rFonts w:cs="Arial"/>
                <w:lang w:bidi="he-IL"/>
              </w:rPr>
              <w:t>MEDIUM-HIGH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רימטל/ארן-מטל</w:t>
            </w:r>
          </w:p>
        </w:tc>
        <w:tc>
          <w:tcPr>
            <w:tcW w:type="dxa" w:w="1728"/>
          </w:tcPr>
          <w:p>
            <w:pPr>
              <w:bidi/>
              <w:jc w:val="both"/>
              <w:rPr>
                <w:rtl/>
              </w:rPr>
            </w:pPr>
            <w:r>
              <w:rPr>
                <w:rtl/>
                <w:rFonts w:cs="Arial"/>
                <w:lang w:bidi="he-IL"/>
              </w:rPr>
            </w:r>
            <w:r>
              <w:rPr>
                <w:rtl/>
                <w:rFonts w:cs="Arial"/>
                <w:lang w:bidi="he-IL"/>
              </w:rPr>
              <w:t>מחזור מתכות</w:t>
            </w:r>
          </w:p>
        </w:tc>
        <w:tc>
          <w:tcPr>
            <w:tcW w:type="dxa" w:w="1728"/>
          </w:tcPr>
          <w:p>
            <w:pPr>
              <w:bidi/>
              <w:jc w:val="both"/>
              <w:rPr>
                <w:rtl/>
              </w:rPr>
            </w:pPr>
            <w:r>
              <w:rPr>
                <w:rtl/>
                <w:rFonts w:cs="Arial"/>
                <w:lang w:bidi="he-IL"/>
              </w:rPr>
            </w:r>
            <w:r>
              <w:rPr>
                <w:rtl/>
                <w:rFonts w:cs="Arial"/>
                <w:lang w:bidi="he-IL"/>
              </w:rPr>
              <w:t>Ni, Al, Fe, Pb</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אמקור פליז</w:t>
            </w:r>
          </w:p>
        </w:tc>
        <w:tc>
          <w:tcPr>
            <w:tcW w:type="dxa" w:w="1728"/>
          </w:tcPr>
          <w:p>
            <w:pPr>
              <w:bidi/>
              <w:jc w:val="both"/>
              <w:rPr>
                <w:rtl/>
              </w:rPr>
            </w:pPr>
            <w:r>
              <w:rPr>
                <w:rtl/>
                <w:rFonts w:cs="Arial"/>
                <w:lang w:bidi="he-IL"/>
              </w:rPr>
            </w:r>
            <w:r>
              <w:rPr>
                <w:rtl/>
                <w:rFonts w:cs="Arial"/>
                <w:lang w:bidi="he-IL"/>
              </w:rPr>
              <w:t>ציפוי/צביעה</w:t>
            </w:r>
          </w:p>
        </w:tc>
        <w:tc>
          <w:tcPr>
            <w:tcW w:type="dxa" w:w="1728"/>
          </w:tcPr>
          <w:p>
            <w:pPr>
              <w:bidi/>
              <w:jc w:val="both"/>
              <w:rPr>
                <w:rtl/>
              </w:rPr>
            </w:pPr>
            <w:r>
              <w:rPr>
                <w:rtl/>
                <w:rFonts w:cs="Arial"/>
                <w:lang w:bidi="he-IL"/>
              </w:rPr>
            </w:r>
            <w:r>
              <w:rPr>
                <w:rtl/>
                <w:rFonts w:cs="Arial"/>
                <w:lang w:bidi="he-IL"/>
              </w:rPr>
              <w:t>TCE, PCE, Cd</w:t>
            </w:r>
          </w:p>
        </w:tc>
        <w:tc>
          <w:tcPr>
            <w:tcW w:type="dxa" w:w="1728"/>
          </w:tcPr>
          <w:p>
            <w:pPr>
              <w:bidi/>
              <w:jc w:val="both"/>
              <w:rPr>
                <w:rtl/>
              </w:rPr>
            </w:pPr>
            <w:r>
              <w:rPr>
                <w:rtl/>
                <w:rFonts w:cs="Arial"/>
                <w:lang w:bidi="he-IL"/>
              </w:rPr>
            </w:r>
            <w:r>
              <w:rPr>
                <w:rtl/>
                <w:rFonts w:cs="Arial"/>
                <w:lang w:bidi="he-IL"/>
              </w:rPr>
              <w:t>HIGH/MEDIUM</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אלגונל</w:t>
            </w:r>
          </w:p>
        </w:tc>
        <w:tc>
          <w:tcPr>
            <w:tcW w:type="dxa" w:w="1728"/>
          </w:tcPr>
          <w:p>
            <w:pPr>
              <w:bidi/>
              <w:jc w:val="both"/>
              <w:rPr>
                <w:rtl/>
              </w:rPr>
            </w:pPr>
            <w:r>
              <w:rPr>
                <w:rtl/>
                <w:rFonts w:cs="Arial"/>
                <w:lang w:bidi="he-IL"/>
              </w:rPr>
            </w:r>
            <w:r>
              <w:rPr>
                <w:rtl/>
                <w:rFonts w:cs="Arial"/>
                <w:lang w:bidi="he-IL"/>
              </w:rPr>
              <w:t>ציפוי</w:t>
            </w:r>
          </w:p>
        </w:tc>
        <w:tc>
          <w:tcPr>
            <w:tcW w:type="dxa" w:w="1728"/>
          </w:tcPr>
          <w:p>
            <w:pPr>
              <w:bidi/>
              <w:jc w:val="both"/>
              <w:rPr>
                <w:rtl/>
              </w:rPr>
            </w:pPr>
            <w:r>
              <w:rPr>
                <w:rtl/>
                <w:rFonts w:cs="Arial"/>
                <w:lang w:bidi="he-IL"/>
              </w:rPr>
            </w:r>
            <w:r>
              <w:rPr>
                <w:rtl/>
                <w:rFonts w:cs="Arial"/>
                <w:lang w:bidi="he-IL"/>
              </w:rPr>
              <w:t>TCE, PCE</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בהק</w:t>
            </w:r>
          </w:p>
        </w:tc>
        <w:tc>
          <w:tcPr>
            <w:tcW w:type="dxa" w:w="1728"/>
          </w:tcPr>
          <w:p>
            <w:pPr>
              <w:bidi/>
              <w:jc w:val="both"/>
              <w:rPr>
                <w:rtl/>
              </w:rPr>
            </w:pPr>
            <w:r>
              <w:rPr>
                <w:rtl/>
                <w:rFonts w:cs="Arial"/>
                <w:lang w:bidi="he-IL"/>
              </w:rPr>
            </w:r>
            <w:r>
              <w:rPr>
                <w:rtl/>
                <w:rFonts w:cs="Arial"/>
                <w:lang w:bidi="he-IL"/>
              </w:rPr>
              <w:t>ציפוי</w:t>
            </w:r>
          </w:p>
        </w:tc>
        <w:tc>
          <w:tcPr>
            <w:tcW w:type="dxa" w:w="1728"/>
          </w:tcPr>
          <w:p>
            <w:pPr>
              <w:bidi/>
              <w:jc w:val="both"/>
              <w:rPr>
                <w:rtl/>
              </w:rPr>
            </w:pPr>
            <w:r>
              <w:rPr>
                <w:rtl/>
                <w:rFonts w:cs="Arial"/>
                <w:lang w:bidi="he-IL"/>
              </w:rPr>
            </w:r>
            <w:r>
              <w:rPr>
                <w:rtl/>
                <w:rFonts w:cs="Arial"/>
                <w:lang w:bidi="he-IL"/>
              </w:rPr>
              <w:t>TCE (פלאום נפרד)</w:t>
            </w:r>
          </w:p>
        </w:tc>
        <w:tc>
          <w:tcPr>
            <w:tcW w:type="dxa" w:w="1728"/>
          </w:tcPr>
          <w:p>
            <w:pPr>
              <w:bidi/>
              <w:jc w:val="both"/>
              <w:rPr>
                <w:rtl/>
              </w:rPr>
            </w:pPr>
            <w:r>
              <w:rPr>
                <w:rtl/>
                <w:rFonts w:cs="Arial"/>
                <w:lang w:bidi="he-IL"/>
              </w:rPr>
            </w:r>
            <w:r>
              <w:rPr>
                <w:rtl/>
                <w:rFonts w:cs="Arial"/>
                <w:lang w:bidi="he-IL"/>
              </w:rPr>
              <w:t>HIGH (פלאום) / LOW (קידוח)</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חניון אגד</w:t>
            </w:r>
          </w:p>
        </w:tc>
        <w:tc>
          <w:tcPr>
            <w:tcW w:type="dxa" w:w="1728"/>
          </w:tcPr>
          <w:p>
            <w:pPr>
              <w:bidi/>
              <w:jc w:val="both"/>
              <w:rPr>
                <w:rtl/>
              </w:rPr>
            </w:pPr>
            <w:r>
              <w:rPr>
                <w:rtl/>
                <w:rFonts w:cs="Arial"/>
                <w:lang w:bidi="he-IL"/>
              </w:rPr>
            </w:r>
            <w:r>
              <w:rPr>
                <w:rtl/>
                <w:rFonts w:cs="Arial"/>
                <w:lang w:bidi="he-IL"/>
              </w:rPr>
              <w:t>תדלוק/חניון</w:t>
            </w:r>
          </w:p>
        </w:tc>
        <w:tc>
          <w:tcPr>
            <w:tcW w:type="dxa" w:w="1728"/>
          </w:tcPr>
          <w:p>
            <w:pPr>
              <w:bidi/>
              <w:jc w:val="both"/>
              <w:rPr>
                <w:rtl/>
              </w:rPr>
            </w:pPr>
            <w:r>
              <w:rPr>
                <w:rtl/>
                <w:rFonts w:cs="Arial"/>
                <w:lang w:bidi="he-IL"/>
              </w:rPr>
            </w:r>
            <w:r>
              <w:rPr>
                <w:rtl/>
                <w:rFonts w:cs="Arial"/>
                <w:lang w:bidi="he-IL"/>
              </w:rPr>
              <w:t>BTEX, MTBE</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מרכבות האש</w:t>
            </w:r>
          </w:p>
        </w:tc>
        <w:tc>
          <w:tcPr>
            <w:tcW w:type="dxa" w:w="1728"/>
          </w:tcPr>
          <w:p>
            <w:pPr>
              <w:bidi/>
              <w:jc w:val="both"/>
              <w:rPr>
                <w:rtl/>
              </w:rPr>
            </w:pPr>
            <w:r>
              <w:rPr>
                <w:rtl/>
                <w:rFonts w:cs="Arial"/>
                <w:lang w:bidi="he-IL"/>
              </w:rPr>
            </w:r>
            <w:r>
              <w:rPr>
                <w:rtl/>
                <w:rFonts w:cs="Arial"/>
                <w:lang w:bidi="he-IL"/>
              </w:rPr>
              <w:t>תדלוק</w:t>
            </w:r>
          </w:p>
        </w:tc>
        <w:tc>
          <w:tcPr>
            <w:tcW w:type="dxa" w:w="1728"/>
          </w:tcPr>
          <w:p>
            <w:pPr>
              <w:bidi/>
              <w:jc w:val="both"/>
              <w:rPr>
                <w:rtl/>
              </w:rPr>
            </w:pPr>
            <w:r>
              <w:rPr>
                <w:rtl/>
                <w:rFonts w:cs="Arial"/>
                <w:lang w:bidi="he-IL"/>
              </w:rPr>
            </w:r>
            <w:r>
              <w:rPr>
                <w:rtl/>
                <w:rFonts w:cs="Arial"/>
                <w:lang w:bidi="he-IL"/>
              </w:rPr>
              <w:t>BTEX, MTBE, TBA</w:t>
            </w:r>
          </w:p>
        </w:tc>
        <w:tc>
          <w:tcPr>
            <w:tcW w:type="dxa" w:w="1728"/>
          </w:tcPr>
          <w:p>
            <w:pPr>
              <w:bidi/>
              <w:jc w:val="both"/>
              <w:rPr>
                <w:rtl/>
              </w:rPr>
            </w:pPr>
            <w:r>
              <w:rPr>
                <w:rtl/>
                <w:rFonts w:cs="Arial"/>
                <w:lang w:bidi="he-IL"/>
              </w:rPr>
            </w:r>
            <w:r>
              <w:rPr>
                <w:rtl/>
                <w:rFonts w:cs="Arial"/>
                <w:lang w:bidi="he-IL"/>
              </w:rPr>
              <w:t>HIGH</w:t>
            </w:r>
          </w:p>
        </w:tc>
        <w:tc>
          <w:tcPr>
            <w:tcW w:type="dxa" w:w="1728"/>
          </w:tcPr>
          <w:p>
            <w:pPr>
              <w:bidi/>
              <w:jc w:val="both"/>
              <w:rPr>
                <w:rtl/>
              </w:rPr>
            </w:pPr>
            <w:r>
              <w:rPr>
                <w:rtl/>
                <w:rFonts w:cs="Arial"/>
                <w:lang w:bidi="he-IL"/>
              </w:rPr>
            </w:r>
            <w:r>
              <w:rPr>
                <w:rtl/>
                <w:rFonts w:cs="Arial"/>
                <w:lang w:bidi="he-IL"/>
              </w:rPr>
              <w:t>A+B</w:t>
            </w:r>
          </w:p>
        </w:tc>
      </w:tr>
      <w:tr>
        <w:tc>
          <w:tcPr>
            <w:tcW w:type="dxa" w:w="1728"/>
          </w:tcPr>
          <w:p>
            <w:pPr>
              <w:bidi/>
              <w:jc w:val="both"/>
              <w:rPr>
                <w:rtl/>
              </w:rPr>
            </w:pPr>
            <w:r>
              <w:rPr>
                <w:rtl/>
                <w:rFonts w:cs="Arial"/>
                <w:lang w:bidi="he-IL"/>
              </w:rPr>
            </w:r>
            <w:r>
              <w:rPr>
                <w:rtl/>
                <w:rFonts w:cs="Arial"/>
                <w:lang w:bidi="he-IL"/>
              </w:rPr>
              <w:t>לודג'יה</w:t>
            </w:r>
          </w:p>
        </w:tc>
        <w:tc>
          <w:tcPr>
            <w:tcW w:type="dxa" w:w="1728"/>
          </w:tcPr>
          <w:p>
            <w:pPr>
              <w:bidi/>
              <w:jc w:val="both"/>
              <w:rPr>
                <w:rtl/>
              </w:rPr>
            </w:pPr>
            <w:r>
              <w:rPr>
                <w:rtl/>
                <w:rFonts w:cs="Arial"/>
                <w:lang w:bidi="he-IL"/>
              </w:rPr>
            </w:r>
            <w:r>
              <w:rPr>
                <w:rtl/>
                <w:rFonts w:cs="Arial"/>
                <w:lang w:bidi="he-IL"/>
              </w:rPr>
              <w:t>טקסטיל</w:t>
            </w:r>
          </w:p>
        </w:tc>
        <w:tc>
          <w:tcPr>
            <w:tcW w:type="dxa" w:w="1728"/>
          </w:tcPr>
          <w:p>
            <w:pPr>
              <w:bidi/>
              <w:jc w:val="both"/>
              <w:rPr>
                <w:rtl/>
              </w:rPr>
            </w:pPr>
            <w:r>
              <w:rPr>
                <w:rtl/>
                <w:rFonts w:cs="Arial"/>
                <w:lang w:bidi="he-IL"/>
              </w:rPr>
            </w:r>
            <w:r>
              <w:rPr>
                <w:rtl/>
                <w:rFonts w:cs="Arial"/>
                <w:lang w:bidi="he-IL"/>
              </w:rPr>
              <w:t>דטרגנטים, Cr</w:t>
            </w:r>
          </w:p>
        </w:tc>
        <w:tc>
          <w:tcPr>
            <w:tcW w:type="dxa" w:w="1728"/>
          </w:tcPr>
          <w:p>
            <w:pPr>
              <w:bidi/>
              <w:jc w:val="both"/>
              <w:rPr>
                <w:rtl/>
              </w:rPr>
            </w:pPr>
            <w:r>
              <w:rPr>
                <w:rtl/>
                <w:rFonts w:cs="Arial"/>
                <w:lang w:bidi="he-IL"/>
              </w:rPr>
            </w:r>
            <w:r>
              <w:rPr>
                <w:rtl/>
                <w:rFonts w:cs="Arial"/>
                <w:lang w:bidi="he-IL"/>
              </w:rPr>
              <w:t>HIGH (גודל) / LOW (זיהוי)</w:t>
            </w:r>
          </w:p>
        </w:tc>
        <w:tc>
          <w:tcPr>
            <w:tcW w:type="dxa" w:w="1728"/>
          </w:tcPr>
          <w:p>
            <w:pPr>
              <w:bidi/>
              <w:jc w:val="both"/>
              <w:rPr>
                <w:rtl/>
              </w:rPr>
            </w:pPr>
            <w:r>
              <w:rPr>
                <w:rtl/>
                <w:rFonts w:cs="Arial"/>
                <w:lang w:bidi="he-IL"/>
              </w:rPr>
            </w:r>
            <w:r>
              <w:rPr>
                <w:rtl/>
                <w:rFonts w:cs="Arial"/>
                <w:lang w:bidi="he-IL"/>
              </w:rPr>
              <w:t>B</w:t>
            </w:r>
          </w:p>
        </w:tc>
      </w:tr>
      <w:tr>
        <w:tc>
          <w:tcPr>
            <w:tcW w:type="dxa" w:w="1728"/>
          </w:tcPr>
          <w:p>
            <w:pPr>
              <w:bidi/>
              <w:jc w:val="both"/>
              <w:rPr>
                <w:rtl/>
              </w:rPr>
            </w:pPr>
            <w:r>
              <w:rPr>
                <w:rtl/>
                <w:rFonts w:cs="Arial"/>
                <w:lang w:bidi="he-IL"/>
              </w:rPr>
            </w:r>
            <w:r>
              <w:rPr>
                <w:rtl/>
                <w:rFonts w:cs="Arial"/>
                <w:lang w:bidi="he-IL"/>
              </w:rPr>
              <w:t>מקורות רקע (צה"ל, אתרי פסולת)</w:t>
            </w:r>
          </w:p>
        </w:tc>
        <w:tc>
          <w:tcPr>
            <w:tcW w:type="dxa" w:w="1728"/>
          </w:tcPr>
          <w:p>
            <w:pPr>
              <w:bidi/>
              <w:jc w:val="both"/>
              <w:rPr>
                <w:rtl/>
              </w:rPr>
            </w:pPr>
            <w:r>
              <w:rPr>
                <w:rtl/>
                <w:rFonts w:cs="Arial"/>
                <w:lang w:bidi="he-IL"/>
              </w:rPr>
            </w:r>
            <w:r>
              <w:rPr>
                <w:rtl/>
                <w:rFonts w:cs="Arial"/>
                <w:lang w:bidi="he-IL"/>
              </w:rPr>
              <w:t>שונים</w:t>
            </w:r>
          </w:p>
        </w:tc>
        <w:tc>
          <w:tcPr>
            <w:tcW w:type="dxa" w:w="1728"/>
          </w:tcPr>
          <w:p>
            <w:pPr>
              <w:bidi/>
              <w:jc w:val="both"/>
              <w:rPr>
                <w:rtl/>
              </w:rPr>
            </w:pPr>
            <w:r>
              <w:rPr>
                <w:rtl/>
                <w:rFonts w:cs="Arial"/>
                <w:lang w:bidi="he-IL"/>
              </w:rPr>
            </w:r>
            <w:r>
              <w:rPr>
                <w:rtl/>
                <w:rFonts w:cs="Arial"/>
                <w:lang w:bidi="he-IL"/>
              </w:rPr>
              <w:t>שונים</w:t>
            </w:r>
          </w:p>
        </w:tc>
        <w:tc>
          <w:tcPr>
            <w:tcW w:type="dxa" w:w="1728"/>
          </w:tcPr>
          <w:p>
            <w:pPr>
              <w:bidi/>
              <w:jc w:val="both"/>
              <w:rPr>
                <w:rtl/>
              </w:rPr>
            </w:pPr>
            <w:r>
              <w:rPr>
                <w:rtl/>
                <w:rFonts w:cs="Arial"/>
                <w:lang w:bidi="he-IL"/>
              </w:rPr>
            </w:r>
            <w:r>
              <w:rPr>
                <w:rtl/>
                <w:rFonts w:cs="Arial"/>
                <w:lang w:bidi="he-IL"/>
              </w:rPr>
              <w:t>רקע בלבד</w:t>
            </w:r>
          </w:p>
        </w:tc>
        <w:tc>
          <w:tcPr>
            <w:tcW w:type="dxa" w:w="1728"/>
          </w:tcPr>
          <w:p>
            <w:pPr>
              <w:bidi/>
              <w:jc w:val="both"/>
              <w:rPr>
                <w:rtl/>
              </w:rPr>
            </w:pPr>
            <w:r>
              <w:rPr>
                <w:rtl/>
                <w:rFonts w:cs="Arial"/>
                <w:lang w:bidi="he-IL"/>
              </w:rPr>
            </w:r>
            <w:r>
              <w:rPr>
                <w:rtl/>
                <w:rFonts w:cs="Arial"/>
                <w:lang w:bidi="he-IL"/>
              </w:rPr>
              <w:t>C/D/E</w:t>
            </w:r>
          </w:p>
        </w:tc>
      </w:tr>
    </w:tbl>
    <w:p>
      <w:pPr>
        <w:bidi/>
        <w:jc w:val="both"/>
        <w:rPr>
          <w:rtl/>
        </w:rPr>
      </w:pPr>
      <w:r>
        <w:rPr>
          <w:rtl/>
          <w:rFonts w:cs="Arial"/>
          <w:lang w:bidi="he-IL"/>
        </w:rPr>
        <w:t>(הפירוט המלא ב-</w:t>
      </w:r>
      <w:r>
        <w:rPr>
          <w:rFonts w:ascii="Courier New" w:hAnsi="Courier New" w:cs="Arial"/>
          <w:color w:val="800000"/>
          <w:rtl/>
          <w:lang w:bidi="he-IL"/>
        </w:rPr>
        <w:t>Holon/context_pack/03_context/source_candidates_context.md</w:t>
      </w:r>
      <w:r>
        <w:rPr>
          <w:rtl/>
          <w:rFonts w:cs="Arial"/>
          <w:lang w:bidi="he-IL"/>
        </w:rPr>
        <w:t>.)</w:t>
      </w:r>
    </w:p>
    <w:p>
      <w:pPr>
        <w:bidi/>
        <w:pStyle w:val="Heading2"/>
        <w:jc w:val="both"/>
        <w:rPr>
          <w:rtl/>
        </w:rPr>
      </w:pPr>
      <w:r>
        <w:rPr>
          <w:rtl/>
          <w:rFonts w:cs="Arial"/>
          <w:lang w:bidi="he-IL"/>
        </w:rPr>
        <w:t>נספח ד: קיצורים ומונחים</w:t>
      </w:r>
    </w:p>
    <w:p>
      <w:pPr>
        <w:bidi/>
        <w:pStyle w:val="ListBullet"/>
        <w:jc w:val="both"/>
        <w:rPr>
          <w:rtl/>
        </w:rPr>
      </w:pPr>
      <w:r>
        <w:rPr>
          <w:b/>
          <w:rtl/>
          <w:rFonts w:cs="Arial"/>
          <w:lang w:bidi="he-IL"/>
        </w:rPr>
        <w:t>CVOC</w:t>
      </w:r>
      <w:r>
        <w:rPr>
          <w:rtl/>
          <w:rFonts w:cs="Arial"/>
          <w:lang w:bidi="he-IL"/>
        </w:rPr>
        <w:t xml:space="preserve"> — תרכובות אורגניות נדיפות מוכלרות (TCE, PCE, DCE, VC).</w:t>
      </w:r>
    </w:p>
    <w:p>
      <w:pPr>
        <w:bidi/>
        <w:pStyle w:val="ListBullet"/>
        <w:jc w:val="both"/>
        <w:rPr>
          <w:rtl/>
        </w:rPr>
      </w:pPr>
      <w:r>
        <w:rPr>
          <w:b/>
          <w:rtl/>
          <w:rFonts w:cs="Arial"/>
          <w:lang w:bidi="he-IL"/>
        </w:rPr>
        <w:t>TCE / PCE</w:t>
      </w:r>
      <w:r>
        <w:rPr>
          <w:rtl/>
          <w:rFonts w:cs="Arial"/>
          <w:lang w:bidi="he-IL"/>
        </w:rPr>
        <w:t xml:space="preserve"> — טריכלורואתילן / פרכלורואתילן.</w:t>
      </w:r>
    </w:p>
    <w:p>
      <w:pPr>
        <w:bidi/>
        <w:pStyle w:val="ListBullet"/>
        <w:jc w:val="both"/>
        <w:rPr>
          <w:rtl/>
        </w:rPr>
      </w:pPr>
      <w:r>
        <w:rPr>
          <w:b/>
          <w:rtl/>
          <w:rFonts w:cs="Arial"/>
          <w:lang w:bidi="he-IL"/>
        </w:rPr>
        <w:t>1,1-DCE / cis-1,2-DCE</w:t>
      </w:r>
      <w:r>
        <w:rPr>
          <w:rtl/>
          <w:rFonts w:cs="Arial"/>
          <w:lang w:bidi="he-IL"/>
        </w:rPr>
        <w:t xml:space="preserve"> — איזומרים של דיכלורואתילן.</w:t>
      </w:r>
    </w:p>
    <w:p>
      <w:pPr>
        <w:bidi/>
        <w:pStyle w:val="ListBullet"/>
        <w:jc w:val="both"/>
        <w:rPr>
          <w:rtl/>
        </w:rPr>
      </w:pPr>
      <w:r>
        <w:rPr>
          <w:b/>
          <w:rtl/>
          <w:rFonts w:cs="Arial"/>
          <w:lang w:bidi="he-IL"/>
        </w:rPr>
        <w:t>VC</w:t>
      </w:r>
      <w:r>
        <w:rPr>
          <w:rtl/>
          <w:rFonts w:cs="Arial"/>
          <w:lang w:bidi="he-IL"/>
        </w:rPr>
        <w:t xml:space="preserve"> — ויניל כלוריד (תוצר פירוק סופי; קרצינוגן מודרג).</w:t>
      </w:r>
    </w:p>
    <w:p>
      <w:pPr>
        <w:bidi/>
        <w:pStyle w:val="ListBullet"/>
        <w:jc w:val="both"/>
        <w:rPr>
          <w:rtl/>
        </w:rPr>
      </w:pPr>
      <w:r>
        <w:rPr>
          <w:b/>
          <w:rtl/>
          <w:rFonts w:cs="Arial"/>
          <w:lang w:bidi="he-IL"/>
        </w:rPr>
        <w:t>1,4-dioxane</w:t>
      </w:r>
      <w:r>
        <w:rPr>
          <w:rtl/>
          <w:rFonts w:cs="Arial"/>
          <w:lang w:bidi="he-IL"/>
        </w:rPr>
        <w:t xml:space="preserve"> — מזהם מתפתח; קרצינוגן אפשרי לפי EPA.</w:t>
      </w:r>
    </w:p>
    <w:p>
      <w:pPr>
        <w:bidi/>
        <w:pStyle w:val="ListBullet"/>
        <w:jc w:val="both"/>
        <w:rPr>
          <w:rtl/>
        </w:rPr>
      </w:pPr>
      <w:r>
        <w:rPr>
          <w:b/>
          <w:rtl/>
          <w:rFonts w:cs="Arial"/>
          <w:lang w:bidi="he-IL"/>
        </w:rPr>
        <w:t>BTEX</w:t>
      </w:r>
      <w:r>
        <w:rPr>
          <w:rtl/>
          <w:rFonts w:cs="Arial"/>
          <w:lang w:bidi="he-IL"/>
        </w:rPr>
        <w:t xml:space="preserve"> — בנזן, טולואן, אתיל-בנזן, קסילן (מזהמי דלק).</w:t>
      </w:r>
    </w:p>
    <w:p>
      <w:pPr>
        <w:bidi/>
        <w:pStyle w:val="ListBullet"/>
        <w:jc w:val="both"/>
        <w:rPr>
          <w:rtl/>
        </w:rPr>
      </w:pPr>
      <w:r>
        <w:rPr>
          <w:b/>
          <w:rtl/>
          <w:rFonts w:cs="Arial"/>
          <w:lang w:bidi="he-IL"/>
        </w:rPr>
        <w:t>MTBE / TBA</w:t>
      </w:r>
      <w:r>
        <w:rPr>
          <w:rtl/>
          <w:rFonts w:cs="Arial"/>
          <w:lang w:bidi="he-IL"/>
        </w:rPr>
        <w:t xml:space="preserve"> — מתיל-טרט-בוטיל-אתר / טרט-בוטיל-אלכוהול (תוסף דלק ותוצר פירוקו).</w:t>
      </w:r>
    </w:p>
    <w:p>
      <w:pPr>
        <w:bidi/>
        <w:pStyle w:val="ListBullet"/>
        <w:jc w:val="both"/>
        <w:rPr>
          <w:rtl/>
        </w:rPr>
      </w:pPr>
      <w:r>
        <w:rPr>
          <w:b/>
          <w:rtl/>
          <w:rFonts w:cs="Arial"/>
          <w:lang w:bidi="he-IL"/>
        </w:rPr>
        <w:t>PFAS</w:t>
      </w:r>
      <w:r>
        <w:rPr>
          <w:rtl/>
          <w:rFonts w:cs="Arial"/>
          <w:lang w:bidi="he-IL"/>
        </w:rPr>
        <w:t xml:space="preserve"> — חומרים פר/פולי-פלואוראלקיליים.</w:t>
      </w:r>
    </w:p>
    <w:p>
      <w:pPr>
        <w:bidi/>
        <w:pStyle w:val="ListBullet"/>
        <w:jc w:val="both"/>
        <w:rPr>
          <w:rtl/>
        </w:rPr>
      </w:pPr>
      <w:r>
        <w:rPr>
          <w:b/>
          <w:rtl/>
          <w:rFonts w:cs="Arial"/>
          <w:lang w:bidi="he-IL"/>
        </w:rPr>
        <w:t>LNAPL / DNAPL</w:t>
      </w:r>
      <w:r>
        <w:rPr>
          <w:rtl/>
          <w:rFonts w:cs="Arial"/>
          <w:lang w:bidi="he-IL"/>
        </w:rPr>
        <w:t xml:space="preserve"> — נוזל לא-מימי קל/כבד ממים.</w:t>
      </w:r>
    </w:p>
    <w:p>
      <w:pPr>
        <w:bidi/>
        <w:pStyle w:val="ListBullet"/>
        <w:jc w:val="both"/>
        <w:rPr>
          <w:rtl/>
        </w:rPr>
      </w:pPr>
      <w:r>
        <w:rPr>
          <w:b/>
          <w:rtl/>
          <w:rFonts w:cs="Arial"/>
          <w:lang w:bidi="he-IL"/>
        </w:rPr>
        <w:t>DWS</w:t>
      </w:r>
      <w:r>
        <w:rPr>
          <w:rtl/>
          <w:rFonts w:cs="Arial"/>
          <w:lang w:bidi="he-IL"/>
        </w:rPr>
        <w:t xml:space="preserve"> — תקן מי שתייה (Drinking Water Standard).</w:t>
      </w:r>
    </w:p>
    <w:p>
      <w:pPr>
        <w:bidi/>
        <w:pStyle w:val="ListBullet"/>
        <w:jc w:val="both"/>
        <w:rPr>
          <w:rtl/>
        </w:rPr>
      </w:pPr>
      <w:r>
        <w:rPr>
          <w:b/>
          <w:rtl/>
          <w:rFonts w:cs="Arial"/>
          <w:lang w:bidi="he-IL"/>
        </w:rPr>
        <w:t>C_max_5y</w:t>
      </w:r>
      <w:r>
        <w:rPr>
          <w:rtl/>
          <w:rFonts w:cs="Arial"/>
          <w:lang w:bidi="he-IL"/>
        </w:rPr>
        <w:t xml:space="preserve"> — ריכוז מירבי בחלון 5 השנים.</w:t>
      </w:r>
    </w:p>
    <w:p>
      <w:pPr>
        <w:bidi/>
        <w:pStyle w:val="ListBullet"/>
        <w:jc w:val="both"/>
        <w:rPr>
          <w:rtl/>
        </w:rPr>
      </w:pPr>
      <w:r>
        <w:rPr>
          <w:b/>
          <w:rtl/>
          <w:rFonts w:cs="Arial"/>
          <w:lang w:bidi="he-IL"/>
        </w:rPr>
        <w:t>Mann-Kendall</w:t>
      </w:r>
      <w:r>
        <w:rPr>
          <w:rtl/>
          <w:rFonts w:cs="Arial"/>
          <w:lang w:bidi="he-IL"/>
        </w:rPr>
        <w:t xml:space="preserve"> — מבחן מגמה לא-פרמטרי; </w:t>
      </w:r>
      <w:r>
        <w:rPr>
          <w:b/>
          <w:rtl/>
          <w:rFonts w:cs="Arial"/>
          <w:lang w:bidi="he-IL"/>
        </w:rPr>
        <w:t>SNR</w:t>
      </w:r>
      <w:r>
        <w:rPr>
          <w:rtl/>
          <w:rFonts w:cs="Arial"/>
          <w:lang w:bidi="he-IL"/>
        </w:rPr>
        <w:t xml:space="preserve"> — יחס אות-לרעש; </w:t>
      </w:r>
      <w:r>
        <w:rPr>
          <w:b/>
          <w:rtl/>
          <w:rFonts w:cs="Arial"/>
          <w:lang w:bidi="he-IL"/>
        </w:rPr>
        <w:t>ISCO</w:t>
      </w:r>
      <w:r>
        <w:rPr>
          <w:rtl/>
          <w:rFonts w:cs="Arial"/>
          <w:lang w:bidi="he-IL"/>
        </w:rPr>
        <w:t xml:space="preserve"> — חמצון כימי באתר.</w:t>
      </w:r>
    </w:p>
    <w:p>
      <w:pPr>
        <w:bidi/>
        <w:jc w:val="both"/>
        <w:rPr>
          <w:rtl/>
        </w:rPr>
      </w:pPr>
      <w:r>
        <w:rPr>
          <w:rtl/>
          <w:rFonts w:cs="Arial"/>
          <w:lang w:bidi="he-IL"/>
        </w:rPr>
        <w:t>──────────────────────────────────────────────────</w:t>
      </w:r>
    </w:p>
    <w:p>
      <w:pPr>
        <w:bidi/>
        <w:jc w:val="both"/>
        <w:rPr>
          <w:rtl/>
        </w:rPr>
      </w:pPr>
      <w:r>
        <w:rPr>
          <w:i/>
          <w:rtl/>
          <w:rFonts w:cs="Arial"/>
          <w:lang w:bidi="he-IL"/>
        </w:rPr>
        <w:t>דוח זה הופק במסגרת ה-V5 Hybrid Pipeline. כל ייחוס מקור הוא פרשני בלבד עד לאישור הידרולוג מוסמך, ואינו תחליף להערכת סיכון רשמית. האיורים יופקו בשלב נפרד לאחר הדוח.</w:t>
      </w:r>
    </w:p>
    <w:p>
      <w:pPr>
        <w:bidi/>
        <w:jc w:val="both"/>
        <w:rPr>
          <w:rtl/>
        </w:rPr>
      </w:pPr>
      <w:r>
        <w:rPr>
          <w:b/>
          <w:rtl/>
          <w:rFonts w:cs="Arial"/>
          <w:lang w:bidi="he-IL"/>
        </w:rPr>
        <w:t>תאריך</w:t>
      </w:r>
      <w:r>
        <w:rPr>
          <w:rtl/>
          <w:rFonts w:cs="Arial"/>
          <w:lang w:bidi="he-IL"/>
        </w:rPr>
        <w:t xml:space="preserve">: מאי 2026 | </w:t>
      </w:r>
      <w:r>
        <w:rPr>
          <w:b/>
          <w:rtl/>
          <w:rFonts w:cs="Arial"/>
          <w:lang w:bidi="he-IL"/>
        </w:rPr>
        <w:t>גרסה</w:t>
      </w:r>
      <w:r>
        <w:rPr>
          <w:rtl/>
          <w:rFonts w:cs="Arial"/>
          <w:lang w:bidi="he-IL"/>
        </w:rPr>
        <w:t xml:space="preserve">: V5 | </w:t>
      </w:r>
      <w:r>
        <w:rPr>
          <w:b/>
          <w:rtl/>
          <w:rFonts w:cs="Arial"/>
          <w:lang w:bidi="he-IL"/>
        </w:rPr>
        <w:t>מבוסס על</w:t>
      </w:r>
      <w:r>
        <w:rPr>
          <w:rtl/>
          <w:rFonts w:cs="Arial"/>
          <w:lang w:bidi="he-IL"/>
        </w:rPr>
        <w:t>: 6 קבצי CSV (</w:t>
      </w:r>
      <w:r>
        <w:rPr>
          <w:rFonts w:ascii="Courier New" w:hAnsi="Courier New" w:cs="Arial"/>
          <w:color w:val="800000"/>
          <w:rtl/>
          <w:lang w:bidi="he-IL"/>
        </w:rPr>
        <w:t>Holon/02_data/</w:t>
      </w:r>
      <w:r>
        <w:rPr>
          <w:rtl/>
          <w:rFonts w:cs="Arial"/>
          <w:lang w:bidi="he-IL"/>
        </w:rPr>
        <w:t>), Zone Diagnosis (2026-05-19), עוגנים (31+27), חבילת הקשר היסטורי.</w:t>
      </w:r>
    </w:p>
    <w:p>
      <w:pPr>
        <w:jc w:val="center"/>
      </w:pPr>
      <w:r>
        <w:drawing>
          <wp:inline xmlns:a="http://schemas.openxmlformats.org/drawingml/2006/main" xmlns:pic="http://schemas.openxmlformats.org/drawingml/2006/picture">
            <wp:extent cx="5029200" cy="32689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268980"/>
                    </a:xfrm>
                    <a:prstGeom prst="rect"/>
                  </pic:spPr>
                </pic:pic>
              </a:graphicData>
            </a:graphic>
          </wp:inline>
        </w:drawing>
      </w:r>
    </w:p>
    <w:p>
      <w:pPr>
        <w:bidi/>
        <w:spacing w:before="120" w:after="240"/>
        <w:jc w:val="center"/>
      </w:pPr>
      <w:r>
        <w:rPr>
          <w:i/>
          <w:sz w:val="20"/>
          <w:rtl/>
        </w:rPr>
        <w:t>איור 4: תרשים ניתוח זיהום</w:t>
      </w:r>
    </w:p>
    <w:p>
      <w:pPr>
        <w:jc w:val="center"/>
      </w:pPr>
      <w:r>
        <w:drawing>
          <wp:inline xmlns:a="http://schemas.openxmlformats.org/drawingml/2006/main" xmlns:pic="http://schemas.openxmlformats.org/drawingml/2006/picture">
            <wp:extent cx="5029200" cy="3086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086100"/>
                    </a:xfrm>
                    <a:prstGeom prst="rect"/>
                  </pic:spPr>
                </pic:pic>
              </a:graphicData>
            </a:graphic>
          </wp:inline>
        </w:drawing>
      </w:r>
    </w:p>
    <w:p>
      <w:pPr>
        <w:bidi/>
        <w:spacing w:before="120" w:after="240"/>
        <w:jc w:val="center"/>
      </w:pPr>
      <w:r>
        <w:rPr>
          <w:i/>
          <w:sz w:val="20"/>
          <w:rtl/>
        </w:rPr>
        <w:t>איור 3: תרשים ניתוח זיהום</w:t>
      </w:r>
    </w:p>
    <w:p>
      <w:pPr>
        <w:jc w:val="center"/>
      </w:pPr>
      <w:r>
        <w:drawing>
          <wp:inline xmlns:a="http://schemas.openxmlformats.org/drawingml/2006/main" xmlns:pic="http://schemas.openxmlformats.org/drawingml/2006/picture">
            <wp:extent cx="5029200" cy="32689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268980"/>
                    </a:xfrm>
                    <a:prstGeom prst="rect"/>
                  </pic:spPr>
                </pic:pic>
              </a:graphicData>
            </a:graphic>
          </wp:inline>
        </w:drawing>
      </w:r>
    </w:p>
    <w:p>
      <w:pPr>
        <w:bidi/>
        <w:spacing w:before="120" w:after="240"/>
        <w:jc w:val="center"/>
      </w:pPr>
      <w:r>
        <w:rPr>
          <w:i/>
          <w:sz w:val="20"/>
          <w:rtl/>
        </w:rPr>
        <w:t>איור 2: תרשים ניתוח זיהום</w:t>
      </w:r>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771900"/>
                    </a:xfrm>
                    <a:prstGeom prst="rect"/>
                  </pic:spPr>
                </pic:pic>
              </a:graphicData>
            </a:graphic>
          </wp:inline>
        </w:drawing>
      </w:r>
    </w:p>
    <w:p>
      <w:pPr>
        <w:bidi/>
        <w:spacing w:before="120" w:after="240"/>
        <w:jc w:val="center"/>
      </w:pPr>
      <w:r>
        <w:rPr>
          <w:i/>
          <w:sz w:val="20"/>
          <w:rtl/>
        </w:rPr>
        <w:t>איור 1: תרשים ניתוח זיהום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Arial"/>
      <w:sz w:val="22"/>
      <w:rtl/>
      <w:lang w:val="en-US" w:bidi="he-IL"/>
    </w:rPr>
    <w:pPr>
      <w:bidi/>
      <w:jc w:val="both"/>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