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Heading1"/>
        <w:jc w:val="both"/>
        <w:rPr>
          <w:rtl/>
        </w:rPr>
      </w:pPr>
      <w:r>
        <w:rPr>
          <w:rtl/>
          <w:rFonts w:cs="Arial"/>
          <w:lang w:bidi="he-IL"/>
        </w:rPr>
        <w:t>דו"ח ניטור איכות מי תהום — אזה"ת חולון</w:t>
      </w:r>
    </w:p>
    <w:p>
      <w:pPr>
        <w:bidi/>
        <w:pStyle w:val="Heading2"/>
        <w:jc w:val="both"/>
        <w:rPr>
          <w:rtl/>
        </w:rPr>
      </w:pPr>
      <w:r>
        <w:rPr>
          <w:rtl/>
          <w:rFonts w:cs="Arial"/>
          <w:lang w:bidi="he-IL"/>
        </w:rPr>
        <w:t>גרסה V8 | יוני 2026</w:t>
      </w:r>
    </w:p>
    <w:p>
      <w:pPr>
        <w:bidi/>
        <w:pStyle w:val="IntenseQuote"/>
        <w:jc w:val="both"/>
        <w:rPr>
          <w:rtl/>
        </w:rPr>
      </w:pPr>
      <w:r>
        <w:rPr>
          <w:rtl/>
          <w:rFonts w:cs="Arial"/>
          <w:lang w:bidi="he-IL"/>
        </w:rPr>
        <w:t>דוח אזורי מובנה לאיכות מי תהום. כל ייחוס מקור הוא פרשני עד לאישור הידרולוג מוסמך. רמות ודאות מצוינות במפורש (גבוהה / בינונית / נמוכה). אינדקס החומרה מבוסס על היחס בין הריכוז המרבי בחלון 5 שנים לבין תקן מי השתייה (ראה §7).</w:t>
      </w:r>
    </w:p>
    <w:p>
      <w:pPr>
        <w:bidi/>
        <w:jc w:val="both"/>
        <w:rPr>
          <w:rtl/>
        </w:rPr>
      </w:pPr>
      <w:r>
        <w:rPr>
          <w:rtl/>
          <w:rFonts w:cs="Arial"/>
          <w:lang w:bidi="he-IL"/>
        </w:rPr>
        <w:t>──────────────────────────────────────────────────</w:t>
      </w:r>
    </w:p>
    <w:p>
      <w:pPr>
        <w:bidi/>
        <w:pStyle w:val="Heading2"/>
        <w:jc w:val="both"/>
        <w:rPr>
          <w:rtl/>
        </w:rPr>
      </w:pPr>
      <w:r>
        <w:rPr>
          <w:rtl/>
          <w:rFonts w:cs="Arial"/>
          <w:lang w:bidi="he-IL"/>
        </w:rPr>
        <w:t>1. תקציר מקצועי</w:t>
      </w:r>
    </w:p>
    <w:p>
      <w:pPr>
        <w:bidi/>
        <w:jc w:val="both"/>
        <w:rPr>
          <w:rtl/>
        </w:rPr>
      </w:pPr>
      <w:r>
        <w:rPr>
          <w:rtl/>
          <w:rFonts w:cs="Arial"/>
          <w:lang w:bidi="he-IL"/>
        </w:rPr>
        <w:t>אזה"ת חולון הוא המורכב שבמערך הניטור האזורי שנותח עד כה: בו-זמנית פעילות בו שלוש משפחות מזהמים ראשיות — ממסים מוכלרים תעשייתיים (CVOC), דלק (BTEX/MTBE) ומתכות כבדות — בתוספת מזהם מתפתח, 1,4-dioxane, המופיע כעת בריכוזים גבוהים מאוד (עד 2,961% מתקן US EPA). הזיהום ברובו מורשת היסטורית של עשרות מפעלי ציפוי מתכות, טקסטיל ובורסקאות שפעלו בין שנות הארבעים לשנות התשעים, אך הוא אינו רדום: מספר מוקדים מציגים ריכוזים גבוהים מאוד בדגימות העדכניות ביותר (2024–2026), חלקם במגמת עלייה מובהקת סטטיסטית. הריכוז העדכני ביותר באזור — TCE 36,297% מהתקן ב-נד סונול המלאכה מ-1 (ינואר 2026) — מוכיח שהליבה התעשייתית חיה וגבוהה מאוד בהווה.</w:t>
      </w:r>
    </w:p>
    <w:p>
      <w:pPr>
        <w:bidi/>
        <w:jc w:val="both"/>
        <w:rPr>
          <w:rtl/>
        </w:rPr>
      </w:pPr>
      <w:r>
        <w:rPr>
          <w:rtl/>
          <w:rFonts w:cs="Arial"/>
          <w:lang w:bidi="he-IL"/>
        </w:rPr>
        <w:t>מתוך 111 הקידוחים הפעילים (46 ניטור כללי + 63 דלק) ניתן להבחין בשבעה מוקדים גיאו-כימיים בני-הפרדה מרחבית, ולאחריהם בלוק פערי-כיסוי כלל-אזורי. שלושה מוקדים מגיעים לאינדקס החומרה המרבי (8): הליבה התעשייתית (CVOC בעוצמת DNAPL), מוקד הדלק המערבי במחניון אגד (בנזן 85,000% מהתקן, פברואר 2025 — חתימת מוצר חופשי פעיל), ומוקד התדלוק הדרומי הפעיל (המוקד היחיד עם חתימת שחרור-טרי במגמות 2025). מוקד מתכות נקודתי (כרום 7,540% מהתקן ב-נת חולון 26) ומוקד דלק "ישן" (TBA עד 120,000 µg/L) משלימים את התמונה. ציר קידוחי ההפקה (מק חולון) הוא הקולטן הסופי — חמישה קידוחי אספקה כבר נפסלו היסטורית, ו-מק חולון 14 נמצא כיום קרוב לתקן (TCE 88.5%) עם מגמות עולות.</w:t>
      </w:r>
    </w:p>
    <w:p>
      <w:pPr>
        <w:bidi/>
        <w:jc w:val="both"/>
        <w:rPr>
          <w:rtl/>
        </w:rPr>
      </w:pPr>
      <w:r>
        <w:rPr>
          <w:rtl/>
          <w:rFonts w:cs="Arial"/>
          <w:lang w:bidi="he-IL"/>
        </w:rPr>
        <w:t>שני פערים מכריעים מסגרים את הניתוח: כיסוי PFAS דל ביותר — 4 מתוך 111 הקידוחים בלבד נדגמו, כולם ללא גילוי — המחייב התייחסות כאל לא-ראיה ולא כאל ראיה-להיעדר; והפסקות ניטור בשישה מקידוחי הליבה (2022–2023), חלקם בשיא ובמגמת עלייה, כך שמצבן הנוכחי של כמה מהפלומות החמורות אינו ניתן להערכה. רמת הדחיפות: גבוהה.</w:t>
      </w:r>
    </w:p>
    <w:p>
      <w:pPr>
        <w:bidi/>
        <w:jc w:val="both"/>
        <w:rPr>
          <w:rtl/>
        </w:rPr>
      </w:pPr>
      <w:r>
        <w:rPr>
          <w:rtl/>
          <w:rFonts w:cs="Arial"/>
          <w:lang w:bidi="he-IL"/>
        </w:rPr>
        <w:t>──────────────────────────────────────────────────</w:t>
      </w:r>
    </w:p>
    <w:p>
      <w:pPr>
        <w:bidi/>
        <w:pStyle w:val="Heading2"/>
        <w:jc w:val="both"/>
        <w:rPr>
          <w:rtl/>
        </w:rPr>
      </w:pPr>
      <w:r>
        <w:rPr>
          <w:rtl/>
          <w:rFonts w:cs="Arial"/>
          <w:lang w:bidi="he-IL"/>
        </w:rPr>
        <w:t>2. תמונת מצב אזורית ומערך הניטור</w:t>
      </w:r>
    </w:p>
    <w:p>
      <w:pPr>
        <w:bidi/>
        <w:pStyle w:val="Heading3"/>
        <w:jc w:val="both"/>
        <w:rPr>
          <w:rtl/>
        </w:rPr>
      </w:pPr>
      <w:r>
        <w:rPr>
          <w:rtl/>
          <w:rFonts w:cs="Arial"/>
          <w:lang w:bidi="he-IL"/>
        </w:rPr>
        <w:t>הידרוגיאולוגיה</w:t>
      </w:r>
    </w:p>
    <w:p>
      <w:pPr>
        <w:bidi/>
        <w:jc w:val="both"/>
        <w:rPr>
          <w:rtl/>
        </w:rPr>
      </w:pPr>
      <w:r>
        <w:rPr>
          <w:rtl/>
          <w:rFonts w:cs="Arial"/>
          <w:lang w:bidi="he-IL"/>
        </w:rPr>
        <w:t>האזור נמצא מעל אקוויפר החוף — חתך של חול צהוב מחלחל היטב, עם רצועות חרסית חוצצות המחלקות את החתך ליחידות-משנה לעומק (דוח 2007, דוח 2021). מפלס המים נמצא בכ-40 מ' מפני הקרקע. כיוון הזרימה האזורי הוא ממזרח למערב (לכיוון הים), אך בפועל הוא מוטה חזק לדרום-מערב בשל שאיבת קידוחי חברת מקורות ותאגיד בת-ים; שקע הידרולוגי מזרחית לבת-ים (מפלסים שליליים עד 4- מ' שתועדו) "שואב" את הזיהום ממרכז חולון לכיוון ציר ההפקה ובת-ים (דוח 2021, עמ' 29–30; דוח 2007). החדירות היחסית של החול הצהוב גבוהה, ומקנה ניידות גבוהה למזהמים מסיסים; הקידוחים הרב-מפלסיים נת חולון 5, 6, 7 ו-18 (מסננות פתוחות עד 40 מ' מתחת למפלס) הם המקור היחיד לפרופיל עומק הזיהום. כשמונה נקודות שאיבה פעילות ברדיוס 2 ק"מ (כ-0.6 מלמ"ק/שנה, 2020/2021).</w:t>
      </w:r>
    </w:p>
    <w:p>
      <w:pPr>
        <w:bidi/>
        <w:pStyle w:val="Heading3"/>
        <w:jc w:val="both"/>
        <w:rPr>
          <w:rtl/>
        </w:rPr>
      </w:pPr>
      <w:r>
        <w:rPr>
          <w:rtl/>
          <w:rFonts w:cs="Arial"/>
          <w:lang w:bidi="he-IL"/>
        </w:rPr>
        <w:t>הקשר גיאוגרפי ותקופתי</w:t>
      </w:r>
    </w:p>
    <w:p>
      <w:pPr>
        <w:bidi/>
        <w:jc w:val="both"/>
        <w:rPr>
          <w:rtl/>
        </w:rPr>
      </w:pPr>
      <w:r>
        <w:rPr>
          <w:rtl/>
          <w:rFonts w:cs="Arial"/>
          <w:lang w:bidi="he-IL"/>
        </w:rPr>
        <w:t>אזה"ת חולון משתרע מדרום-מערב לכביש 44 (יפו–רמלה), במרכז מטרופולין תל-אביב. האזור החל להתפתח בשנות הארבעים של המאה הקודמת במקביל להקמת העיר חולון, ובו צמחה תעשיית ציפוי מתכות ענפה של כמה עשרות מפעלים (הגדולים: תדיראן, כור ואמקור), לצד תעשיית טקסטיל (לודג'יה), בורסקאות, וייצור דבקים וכימיקלים (דוח 2007, עמ' 17). במהלך שנות התשעים התרחש מעבר משמעותי מתעשייה כבדה למסחר ולתעשיית מזון, וכמעט כל מקורות הזיהום הגדולים נסגרו לפני 20–40 שנים. הניטור המוסדר באזור החל באמצע העשור הקודם (סקר היסטורי 2007; קידוחי אקולוג 2009 ו-2012); דוח 2021 כיסה 16 נקודות ניטור בלבד, ואילו מערך הניטור הנוכחי רחב פי שבעה.</w:t>
      </w:r>
    </w:p>
    <w:p>
      <w:pPr>
        <w:bidi/>
        <w:pStyle w:val="Heading3"/>
        <w:jc w:val="both"/>
        <w:rPr>
          <w:rtl/>
        </w:rPr>
      </w:pPr>
      <w:r>
        <w:rPr>
          <w:rtl/>
          <w:rFonts w:cs="Arial"/>
          <w:lang w:bidi="he-IL"/>
        </w:rPr>
        <w:t>מערך הניטור</w:t>
      </w:r>
    </w:p>
    <w:p>
      <w:pPr>
        <w:bidi/>
        <w:jc w:val="both"/>
        <w:rPr>
          <w:rtl/>
        </w:rPr>
      </w:pPr>
      <w:r>
        <w:rPr>
          <w:rtl/>
          <w:rFonts w:cs="Arial"/>
          <w:lang w:bidi="he-IL"/>
        </w:rPr>
        <w:t>מערך הניטור הנוכחי מונה 111 קידוחים פעילים: 46 לניטור כללי (אשכולות נת חולון, אלביט, תדירגן, סונול, ארן-מטל וכן קידוחי ההפקה מק חולון) ו-63 לניטור דלק (אשכולות אגד, פז צבר, פז סיירים, סונול משמר השבעה, מרכבות האש ועוד). חלון הניתוח הוא 5 שנים (פברואר 2021 – פברואר 2026), עם נתונים החל מ-2010, ובסך הכל כ-15,170 מדידות (לאחר החרגת TPFAS ו-BETK). אזהרת הטיית-מדגם: קידוחי הניטור הוצבו במכוון בקרבת מקורות חשודים, ולכן הם אינם מדגם מייצג של איכות המים בכלל האזור (ראה §4 ו-§8).</w:t>
      </w:r>
    </w:p>
    <w:p>
      <w:pPr>
        <w:bidi/>
        <w:jc w:val="both"/>
        <w:rPr>
          <w:rtl/>
        </w:rPr>
      </w:pPr>
      <w:r>
        <w:rPr>
          <w:rtl/>
          <w:rFonts w:cs="Arial"/>
          <w:lang w:bidi="he-IL"/>
        </w:rPr>
        <w:t>![](fig_01_severity_ledger.png)</w:t>
      </w:r>
    </w:p>
    <w:p>
      <w:pPr>
        <w:bidi/>
        <w:jc w:val="both"/>
        <w:rPr>
          <w:rtl/>
        </w:rPr>
      </w:pPr>
      <w:r>
        <w:rPr>
          <w:b/>
          <w:rtl/>
          <w:rFonts w:cs="Arial"/>
          <w:lang w:bidi="he-IL"/>
        </w:rPr>
        <w:t>איור 1</w:t>
      </w:r>
      <w:r>
        <w:rPr>
          <w:rtl/>
          <w:rFonts w:cs="Arial"/>
          <w:lang w:bidi="he-IL"/>
        </w:rPr>
        <w:t>: מפת מוקדי הזיהום באזה"ת חולון — מיקום הקידוחים, שבעת המוקדים הגיאו-כימיים, ציר הזרימה דרום-מערבי וקו קידוחי ההפקה (מק חולון).</w:t>
      </w:r>
    </w:p>
    <w:p/>
    <w:p>
      <w:pPr>
        <w:bidi/>
        <w:jc w:val="both"/>
        <w:rPr>
          <w:rtl/>
        </w:rPr>
      </w:pPr>
      <w:r>
        <w:rPr>
          <w:rtl/>
          <w:rFonts w:cs="Arial"/>
          <w:lang w:bidi="he-IL"/>
        </w:rPr>
        <w:t>──────────────────────────────────────────────────</w:t>
      </w:r>
    </w:p>
    <w:p>
      <w:pPr>
        <w:bidi/>
        <w:pStyle w:val="Heading2"/>
        <w:jc w:val="both"/>
        <w:rPr>
          <w:rtl/>
        </w:rPr>
      </w:pPr>
      <w:r>
        <w:rPr>
          <w:rtl/>
          <w:rFonts w:cs="Arial"/>
          <w:lang w:bidi="he-IL"/>
        </w:rPr>
        <w:t>3. מוקדי זיהום עיקריים</w:t>
      </w:r>
    </w:p>
    <w:p>
      <w:pPr>
        <w:bidi/>
        <w:jc w:val="both"/>
        <w:rPr>
          <w:rtl/>
        </w:rPr>
      </w:pPr>
      <w:r>
        <w:rPr>
          <w:rtl/>
          <w:rFonts w:cs="Arial"/>
          <w:lang w:bidi="he-IL"/>
        </w:rPr>
        <w:t>הסעיף מאורגן לפי מוקד גיאוגרפי, בסדר חומרה יורד (אינדקס החומרה המרבי במוקד). בתוך כל מוקד מוצגות המשפחות לפי חומרה יורדת, עם קישור מנגנוני תוך-מוקדי במקום שבו משפחה אחת קשורה כימית לאחרת. בלוק "פערי הכיסוי" מובא אחרון. בכל טבלה הערך המרכזי הוא הריכוז העדכני האחרון, עם המקסימום ההיסטורי בסוגריים.</w:t>
      </w:r>
    </w:p>
    <w:p>
      <w:pPr>
        <w:bidi/>
        <w:pStyle w:val="Heading3"/>
        <w:jc w:val="both"/>
        <w:rPr>
          <w:rtl/>
        </w:rPr>
      </w:pPr>
      <w:r>
        <w:rPr>
          <w:rtl/>
          <w:rFonts w:cs="Arial"/>
          <w:lang w:bidi="he-IL"/>
        </w:rPr>
        <w:t>3.1 הליבה התעשייתית — נת חולון / אלביט / תדירגן / סונול המלאכה</w:t>
      </w:r>
    </w:p>
    <w:p>
      <w:pPr>
        <w:bidi/>
        <w:jc w:val="both"/>
        <w:rPr>
          <w:rtl/>
        </w:rPr>
      </w:pPr>
      <w:r>
        <w:rPr>
          <w:b/>
          <w:rtl/>
          <w:rFonts w:cs="Arial"/>
          <w:lang w:bidi="he-IL"/>
        </w:rPr>
        <w:t>מיקום</w:t>
      </w:r>
      <w:r>
        <w:rPr>
          <w:rtl/>
          <w:rFonts w:cs="Arial"/>
          <w:lang w:bidi="he-IL"/>
        </w:rPr>
        <w:t xml:space="preserve">: החלק המרכזי-מזרחי של אזה"ת, סביב רחובות המלאכה / הנחושת / היוצר. </w:t>
      </w:r>
      <w:r>
        <w:rPr>
          <w:b/>
          <w:rtl/>
          <w:rFonts w:cs="Arial"/>
          <w:lang w:bidi="he-IL"/>
        </w:rPr>
        <w:t>משפחה מובילה</w:t>
      </w:r>
      <w:r>
        <w:rPr>
          <w:rtl/>
          <w:rFonts w:cs="Arial"/>
          <w:lang w:bidi="he-IL"/>
        </w:rPr>
        <w:t>: CVOC (אינדקס 8). זהו המוקד הגדול, העמוק והרב-משפחתי ביותר, ומקיף כ-20 מתוך 111 הקידוחים.</w:t>
      </w:r>
    </w:p>
    <w:p>
      <w:pPr>
        <w:bidi/>
        <w:jc w:val="both"/>
        <w:rPr>
          <w:rtl/>
        </w:rPr>
      </w:pPr>
      <w:r>
        <w:rPr>
          <w:b/>
          <w:rtl/>
          <w:rFonts w:cs="Arial"/>
          <w:lang w:bidi="he-IL"/>
        </w:rPr>
        <w:t>ממסים מוכלרים בעוצמת DNAPL</w:t>
      </w:r>
      <w:r>
        <w:rPr>
          <w:rtl/>
          <w:rFonts w:cs="Arial"/>
          <w:lang w:bidi="he-IL"/>
        </w:rPr>
        <w:t>. ארבעה קידוחים מגיעים לאינדקס החומרה המרבי: נת חולון 11 (TCE 68,660% מהתקן, נובמבר 2024; מקסימום היסטורי 27,860 µg/L), נד סונול המלאכה מ-1 (TCE 36,297% — הדגימה העדכנית ביותר באזור, ינואר 2026), נת אלביט חולון 1 (35,573%, אך אחרון מרץ 2018), ו-נת חולון 2 (16,751%, אחרון יוני 2022). ריכוזים בטווח אלפי µg/L הם בתחום מסה חופשית/קרובת-מקור (DNAPL). מסביבם מעגל קידוחים באינדקס 5–7, בהם נת חולון 5 (8,460%), נת חולון 7 (7,588%) ו-נת חולון 1 (5,591%).</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מזהם מוביל</w:t>
            </w:r>
          </w:p>
        </w:tc>
        <w:tc>
          <w:tcPr>
            <w:tcW w:type="dxa" w:w="1728"/>
          </w:tcPr>
          <w:p>
            <w:pPr>
              <w:bidi/>
              <w:jc w:val="both"/>
              <w:rPr>
                <w:rtl/>
              </w:rPr>
            </w:pPr>
            <w:r>
              <w:rPr>
                <w:b/>
                <w:rtl/>
                <w:rFonts w:cs="Arial"/>
                <w:lang w:bidi="he-IL"/>
              </w:rPr>
            </w:r>
            <w:r>
              <w:rPr>
                <w:b/>
                <w:rtl/>
                <w:rFonts w:cs="Arial"/>
                <w:lang w:bidi="he-IL"/>
              </w:rPr>
              <w:t>ריכוז אחרון (מקס' היסטורי)</w:t>
            </w:r>
          </w:p>
        </w:tc>
        <w:tc>
          <w:tcPr>
            <w:tcW w:type="dxa" w:w="1728"/>
          </w:tcPr>
          <w:p>
            <w:pPr>
              <w:bidi/>
              <w:jc w:val="both"/>
              <w:rPr>
                <w:rtl/>
              </w:rPr>
            </w:pPr>
            <w:r>
              <w:rPr>
                <w:b/>
                <w:rtl/>
                <w:rFonts w:cs="Arial"/>
                <w:lang w:bidi="he-IL"/>
              </w:rPr>
            </w:r>
            <w:r>
              <w:rPr>
                <w:b/>
                <w:rtl/>
                <w:rFonts w:cs="Arial"/>
                <w:lang w:bidi="he-IL"/>
              </w:rPr>
              <w:t>תאריך דיגום אחרון</w:t>
            </w:r>
          </w:p>
        </w:tc>
        <w:tc>
          <w:tcPr>
            <w:tcW w:type="dxa" w:w="1728"/>
          </w:tcPr>
          <w:p>
            <w:pPr>
              <w:bidi/>
              <w:jc w:val="both"/>
              <w:rPr>
                <w:rtl/>
              </w:rPr>
            </w:pPr>
            <w:r>
              <w:rPr>
                <w:b/>
                <w:rtl/>
                <w:rFonts w:cs="Arial"/>
                <w:lang w:bidi="he-IL"/>
              </w:rPr>
            </w:r>
            <w:r>
              <w:rPr>
                <w:b/>
                <w:rtl/>
                <w:rFonts w:cs="Arial"/>
                <w:lang w:bidi="he-IL"/>
              </w:rPr>
              <w:t>מגמה</w:t>
            </w:r>
          </w:p>
        </w:tc>
      </w:tr>
      <w:tr>
        <w:tc>
          <w:tcPr>
            <w:tcW w:type="dxa" w:w="1728"/>
          </w:tcPr>
          <w:p>
            <w:pPr>
              <w:bidi/>
              <w:jc w:val="both"/>
              <w:rPr>
                <w:rtl/>
              </w:rPr>
            </w:pPr>
            <w:r>
              <w:rPr>
                <w:rtl/>
                <w:rFonts w:cs="Arial"/>
                <w:lang w:bidi="he-IL"/>
              </w:rPr>
            </w:r>
            <w:r>
              <w:rPr>
                <w:rtl/>
                <w:rFonts w:cs="Arial"/>
                <w:lang w:bidi="he-IL"/>
              </w:rPr>
              <w:t>נת חולון 11</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5,150 (27,860) µg/L</w:t>
            </w:r>
          </w:p>
        </w:tc>
        <w:tc>
          <w:tcPr>
            <w:tcW w:type="dxa" w:w="1728"/>
          </w:tcPr>
          <w:p>
            <w:pPr>
              <w:bidi/>
              <w:jc w:val="both"/>
              <w:rPr>
                <w:rtl/>
              </w:rPr>
            </w:pPr>
            <w:r>
              <w:rPr>
                <w:rtl/>
                <w:rFonts w:cs="Arial"/>
                <w:lang w:bidi="he-IL"/>
              </w:rPr>
            </w:r>
            <w:r>
              <w:rPr>
                <w:rtl/>
                <w:rFonts w:cs="Arial"/>
                <w:lang w:bidi="he-IL"/>
              </w:rPr>
              <w:t>נובמבר 2024</w:t>
            </w:r>
          </w:p>
        </w:tc>
        <w:tc>
          <w:tcPr>
            <w:tcW w:type="dxa" w:w="1728"/>
          </w:tcPr>
          <w:p>
            <w:pPr>
              <w:bidi/>
              <w:jc w:val="both"/>
              <w:rPr>
                <w:rtl/>
              </w:rPr>
            </w:pPr>
            <w:r>
              <w:rPr>
                <w:rtl/>
                <w:rFonts w:cs="Arial"/>
                <w:lang w:bidi="he-IL"/>
              </w:rPr>
            </w:r>
            <w:r>
              <w:rPr>
                <w:rtl/>
                <w:rFonts w:cs="Arial"/>
                <w:lang w:bidi="he-IL"/>
              </w:rPr>
              <w:t>יציבה ברמה גבוהה מאוד</w:t>
            </w:r>
          </w:p>
        </w:tc>
      </w:tr>
      <w:tr>
        <w:tc>
          <w:tcPr>
            <w:tcW w:type="dxa" w:w="1728"/>
          </w:tcPr>
          <w:p>
            <w:pPr>
              <w:bidi/>
              <w:jc w:val="both"/>
              <w:rPr>
                <w:rtl/>
              </w:rPr>
            </w:pPr>
            <w:r>
              <w:rPr>
                <w:rtl/>
                <w:rFonts w:cs="Arial"/>
                <w:lang w:bidi="he-IL"/>
              </w:rPr>
            </w:r>
            <w:r>
              <w:rPr>
                <w:rtl/>
                <w:rFonts w:cs="Arial"/>
                <w:lang w:bidi="he-IL"/>
              </w:rPr>
              <w:t>נד סונול המלאכה מ-1</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2,722 µg/L</w:t>
            </w:r>
          </w:p>
        </w:tc>
        <w:tc>
          <w:tcPr>
            <w:tcW w:type="dxa" w:w="1728"/>
          </w:tcPr>
          <w:p>
            <w:pPr>
              <w:bidi/>
              <w:jc w:val="both"/>
              <w:rPr>
                <w:rtl/>
              </w:rPr>
            </w:pPr>
            <w:r>
              <w:rPr>
                <w:rtl/>
                <w:rFonts w:cs="Arial"/>
                <w:lang w:bidi="he-IL"/>
              </w:rPr>
            </w:r>
            <w:r>
              <w:rPr>
                <w:rtl/>
                <w:rFonts w:cs="Arial"/>
                <w:lang w:bidi="he-IL"/>
              </w:rPr>
              <w:t>ינואר 2026</w:t>
            </w:r>
          </w:p>
        </w:tc>
        <w:tc>
          <w:tcPr>
            <w:tcW w:type="dxa" w:w="1728"/>
          </w:tcPr>
          <w:p>
            <w:pPr>
              <w:bidi/>
              <w:jc w:val="both"/>
              <w:rPr>
                <w:rtl/>
              </w:rPr>
            </w:pPr>
            <w:r>
              <w:rPr>
                <w:rtl/>
                <w:rFonts w:cs="Arial"/>
                <w:lang w:bidi="he-IL"/>
              </w:rPr>
            </w:r>
            <w:r>
              <w:rPr>
                <w:rtl/>
                <w:rFonts w:cs="Arial"/>
                <w:lang w:bidi="he-IL"/>
              </w:rPr>
              <w:t>גבוהה מאוד בהווה</w:t>
            </w:r>
          </w:p>
        </w:tc>
      </w:tr>
      <w:tr>
        <w:tc>
          <w:tcPr>
            <w:tcW w:type="dxa" w:w="1728"/>
          </w:tcPr>
          <w:p>
            <w:pPr>
              <w:bidi/>
              <w:jc w:val="both"/>
              <w:rPr>
                <w:rtl/>
              </w:rPr>
            </w:pPr>
            <w:r>
              <w:rPr>
                <w:rtl/>
                <w:rFonts w:cs="Arial"/>
                <w:lang w:bidi="he-IL"/>
              </w:rPr>
            </w:r>
            <w:r>
              <w:rPr>
                <w:rtl/>
                <w:rFonts w:cs="Arial"/>
                <w:lang w:bidi="he-IL"/>
              </w:rPr>
              <w:t>נת אלביט חולון 1</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2,668 µg/L</w:t>
            </w:r>
          </w:p>
        </w:tc>
        <w:tc>
          <w:tcPr>
            <w:tcW w:type="dxa" w:w="1728"/>
          </w:tcPr>
          <w:p>
            <w:pPr>
              <w:bidi/>
              <w:jc w:val="both"/>
              <w:rPr>
                <w:rtl/>
              </w:rPr>
            </w:pPr>
            <w:r>
              <w:rPr>
                <w:rtl/>
                <w:rFonts w:cs="Arial"/>
                <w:lang w:bidi="he-IL"/>
              </w:rPr>
            </w:r>
            <w:r>
              <w:rPr>
                <w:rtl/>
                <w:rFonts w:cs="Arial"/>
                <w:lang w:bidi="he-IL"/>
              </w:rPr>
              <w:t>מרץ 2018</w:t>
            </w:r>
          </w:p>
        </w:tc>
        <w:tc>
          <w:tcPr>
            <w:tcW w:type="dxa" w:w="1728"/>
          </w:tcPr>
          <w:p>
            <w:pPr>
              <w:bidi/>
              <w:jc w:val="both"/>
              <w:rPr>
                <w:rtl/>
              </w:rPr>
            </w:pPr>
            <w:r>
              <w:rPr>
                <w:rtl/>
                <w:rFonts w:cs="Arial"/>
                <w:lang w:bidi="he-IL"/>
              </w:rPr>
            </w:r>
            <w:r>
              <w:rPr>
                <w:rtl/>
                <w:rFonts w:cs="Arial"/>
                <w:lang w:bidi="he-IL"/>
              </w:rPr>
              <w:t>הופסק הניטור (~98 חודשים)</w:t>
            </w:r>
          </w:p>
        </w:tc>
      </w:tr>
      <w:tr>
        <w:tc>
          <w:tcPr>
            <w:tcW w:type="dxa" w:w="1728"/>
          </w:tcPr>
          <w:p>
            <w:pPr>
              <w:bidi/>
              <w:jc w:val="both"/>
              <w:rPr>
                <w:rtl/>
              </w:rPr>
            </w:pPr>
            <w:r>
              <w:rPr>
                <w:rtl/>
                <w:rFonts w:cs="Arial"/>
                <w:lang w:bidi="he-IL"/>
              </w:rPr>
            </w:r>
            <w:r>
              <w:rPr>
                <w:rtl/>
                <w:rFonts w:cs="Arial"/>
                <w:lang w:bidi="he-IL"/>
              </w:rPr>
              <w:t>נת חולון 2</w:t>
            </w:r>
          </w:p>
        </w:tc>
        <w:tc>
          <w:tcPr>
            <w:tcW w:type="dxa" w:w="1728"/>
          </w:tcPr>
          <w:p>
            <w:pPr>
              <w:bidi/>
              <w:jc w:val="both"/>
              <w:rPr>
                <w:rtl/>
              </w:rPr>
            </w:pPr>
            <w:r>
              <w:rPr>
                <w:rtl/>
                <w:rFonts w:cs="Arial"/>
                <w:lang w:bidi="he-IL"/>
              </w:rPr>
            </w:r>
            <w:r>
              <w:rPr>
                <w:rtl/>
                <w:rFonts w:cs="Arial"/>
                <w:lang w:bidi="he-IL"/>
              </w:rPr>
              <w:t>TCE / PCE</w:t>
            </w:r>
          </w:p>
        </w:tc>
        <w:tc>
          <w:tcPr>
            <w:tcW w:type="dxa" w:w="1728"/>
          </w:tcPr>
          <w:p>
            <w:pPr>
              <w:bidi/>
              <w:jc w:val="both"/>
              <w:rPr>
                <w:rtl/>
              </w:rPr>
            </w:pPr>
            <w:r>
              <w:rPr>
                <w:rtl/>
                <w:rFonts w:cs="Arial"/>
                <w:lang w:bidi="he-IL"/>
              </w:rPr>
            </w:r>
            <w:r>
              <w:rPr>
                <w:rtl/>
                <w:rFonts w:cs="Arial"/>
                <w:lang w:bidi="he-IL"/>
              </w:rPr>
              <w:t>1,256 / 498 µg/L</w:t>
            </w:r>
          </w:p>
        </w:tc>
        <w:tc>
          <w:tcPr>
            <w:tcW w:type="dxa" w:w="1728"/>
          </w:tcPr>
          <w:p>
            <w:pPr>
              <w:bidi/>
              <w:jc w:val="both"/>
              <w:rPr>
                <w:rtl/>
              </w:rPr>
            </w:pPr>
            <w:r>
              <w:rPr>
                <w:rtl/>
                <w:rFonts w:cs="Arial"/>
                <w:lang w:bidi="he-IL"/>
              </w:rPr>
            </w:r>
            <w:r>
              <w:rPr>
                <w:rtl/>
                <w:rFonts w:cs="Arial"/>
                <w:lang w:bidi="he-IL"/>
              </w:rPr>
              <w:t>יוני 2022</w:t>
            </w:r>
          </w:p>
        </w:tc>
        <w:tc>
          <w:tcPr>
            <w:tcW w:type="dxa" w:w="1728"/>
          </w:tcPr>
          <w:p>
            <w:pPr>
              <w:bidi/>
              <w:jc w:val="both"/>
              <w:rPr>
                <w:rtl/>
              </w:rPr>
            </w:pPr>
            <w:r>
              <w:rPr>
                <w:rtl/>
                <w:rFonts w:cs="Arial"/>
                <w:lang w:bidi="he-IL"/>
              </w:rPr>
            </w:r>
            <w:r>
              <w:rPr>
                <w:rtl/>
                <w:rFonts w:cs="Arial"/>
                <w:lang w:bidi="he-IL"/>
              </w:rPr>
              <w:t>PCE עולה (z=2.13, p=0.034); הופסק הניטור</w:t>
            </w:r>
          </w:p>
        </w:tc>
      </w:tr>
      <w:tr>
        <w:tc>
          <w:tcPr>
            <w:tcW w:type="dxa" w:w="1728"/>
          </w:tcPr>
          <w:p>
            <w:pPr>
              <w:bidi/>
              <w:jc w:val="both"/>
              <w:rPr>
                <w:rtl/>
              </w:rPr>
            </w:pPr>
            <w:r>
              <w:rPr>
                <w:rtl/>
                <w:rFonts w:cs="Arial"/>
                <w:lang w:bidi="he-IL"/>
              </w:rPr>
            </w:r>
            <w:r>
              <w:rPr>
                <w:rtl/>
                <w:rFonts w:cs="Arial"/>
                <w:lang w:bidi="he-IL"/>
              </w:rPr>
              <w:t>נת חולון 5</w:t>
            </w:r>
          </w:p>
        </w:tc>
        <w:tc>
          <w:tcPr>
            <w:tcW w:type="dxa" w:w="1728"/>
          </w:tcPr>
          <w:p>
            <w:pPr>
              <w:bidi/>
              <w:jc w:val="both"/>
              <w:rPr>
                <w:rtl/>
              </w:rPr>
            </w:pPr>
            <w:r>
              <w:rPr>
                <w:rtl/>
                <w:rFonts w:cs="Arial"/>
                <w:lang w:bidi="he-IL"/>
              </w:rPr>
            </w:r>
            <w:r>
              <w:rPr>
                <w:rtl/>
                <w:rFonts w:cs="Arial"/>
                <w:lang w:bidi="he-IL"/>
              </w:rPr>
              <w:t>1,1-DCE / TCE</w:t>
            </w:r>
          </w:p>
        </w:tc>
        <w:tc>
          <w:tcPr>
            <w:tcW w:type="dxa" w:w="1728"/>
          </w:tcPr>
          <w:p>
            <w:pPr>
              <w:bidi/>
              <w:jc w:val="both"/>
              <w:rPr>
                <w:rtl/>
              </w:rPr>
            </w:pPr>
            <w:r>
              <w:rPr>
                <w:rtl/>
                <w:rFonts w:cs="Arial"/>
                <w:lang w:bidi="he-IL"/>
              </w:rPr>
            </w:r>
            <w:r>
              <w:rPr>
                <w:rtl/>
                <w:rFonts w:cs="Arial"/>
                <w:lang w:bidi="he-IL"/>
              </w:rPr>
              <w:t>635 µg/L TCE</w:t>
            </w:r>
          </w:p>
        </w:tc>
        <w:tc>
          <w:tcPr>
            <w:tcW w:type="dxa" w:w="1728"/>
          </w:tcPr>
          <w:p>
            <w:pPr>
              <w:bidi/>
              <w:jc w:val="both"/>
              <w:rPr>
                <w:rtl/>
              </w:rPr>
            </w:pPr>
            <w:r>
              <w:rPr>
                <w:rtl/>
                <w:rFonts w:cs="Arial"/>
                <w:lang w:bidi="he-IL"/>
              </w:rPr>
            </w:r>
            <w:r>
              <w:rPr>
                <w:rtl/>
                <w:rFonts w:cs="Arial"/>
                <w:lang w:bidi="he-IL"/>
              </w:rPr>
              <w:t>ינואר 2023</w:t>
            </w:r>
          </w:p>
        </w:tc>
        <w:tc>
          <w:tcPr>
            <w:tcW w:type="dxa" w:w="1728"/>
          </w:tcPr>
          <w:p>
            <w:pPr>
              <w:bidi/>
              <w:jc w:val="both"/>
              <w:rPr>
                <w:rtl/>
              </w:rPr>
            </w:pPr>
            <w:r>
              <w:rPr>
                <w:rtl/>
                <w:rFonts w:cs="Arial"/>
                <w:lang w:bidi="he-IL"/>
              </w:rPr>
            </w:r>
            <w:r>
              <w:rPr>
                <w:rtl/>
                <w:rFonts w:cs="Arial"/>
                <w:lang w:bidi="he-IL"/>
              </w:rPr>
              <w:t>יציבה גבוהה; הופסק הניטור</w:t>
            </w:r>
          </w:p>
        </w:tc>
      </w:tr>
    </w:tbl>
    <w:p>
      <w:pPr>
        <w:bidi/>
        <w:jc w:val="both"/>
        <w:rPr>
          <w:rtl/>
        </w:rPr>
      </w:pPr>
      <w:r>
        <w:rPr>
          <w:b/>
          <w:rtl/>
          <w:rFonts w:cs="Arial"/>
          <w:lang w:bidi="he-IL"/>
        </w:rPr>
        <w:t>הסמן הפורנזי המרכזי — 1,1-DCE כמייצג מקור לא-ביוטי</w:t>
      </w:r>
      <w:r>
        <w:rPr>
          <w:rtl/>
          <w:rFonts w:cs="Arial"/>
          <w:lang w:bidi="he-IL"/>
        </w:rPr>
        <w:t>. באשכול נת חולון יחס 1,1-DCE / cis-1,2-DCE הוא ‎&gt;&gt;1‎ (ב-נת חולון 11 כ-64:1; ב-נת חולון 5 ה-1,1-DCE 2,903 µg/L עולה על ה-TCE 1,088 µg/L), בעוד שפירוק מיקרוביאלי של TCE מניב בעיקר cis-1,2-DCE (יחס אופייני ‎&lt;0.2‎). שתי השערות מתחרות: (א) שחרור ישיר של 1,1-DCE / vinylidene-chloride כחומר-גלם תעשייתי; (ב) התמרה אנ-אירובית/אַ-ביוטית של 1,1,1-TCA — אך מאזן-המסה של ה-TCA (קיים ב-21 מקידוחי האזור ברמות מתונות) אינו סוגר בבירור. הבחנה זו היא ממצא פורנזי מרכזי, שכן באשכול אגד (מוקד 3.2) היחס הפוך — עדות לשני סוגי-מקור CVOC נפרדים באזור.</w:t>
      </w:r>
    </w:p>
    <w:p>
      <w:pPr>
        <w:bidi/>
        <w:jc w:val="both"/>
        <w:rPr>
          <w:rtl/>
        </w:rPr>
      </w:pPr>
      <w:r>
        <w:rPr>
          <w:b/>
          <w:rtl/>
          <w:rFonts w:cs="Arial"/>
          <w:lang w:bidi="he-IL"/>
        </w:rPr>
        <w:t>מזהם מתפתח — 1,4-dioxane מתפרץ (קישור מנגנוני תוך-מוקדי)</w:t>
      </w:r>
      <w:r>
        <w:rPr>
          <w:rtl/>
          <w:rFonts w:cs="Arial"/>
          <w:lang w:bidi="he-IL"/>
        </w:rPr>
        <w:t>. ב-נת חולון 11 הגיע ה-1,4-dioxane ל-1,036 µg/L (2,961% מתקן US EPA, פברואר 2026) והוא מופיע בשישה קידוחים (38–1,036 µg/L). דיאוקסן הוא סמן-הובלה — נייד ועמיד יותר מהממס האב — ולכן הוא משמש כסמן לחזית הפלומה המתקדמת. שתי השערות: (א) מקורו במייצב 1,1,1-TCA היסטורי שהוביל את הממס; (ב) שימוש ישיר ב-1,4-dioxane (טקסטיל/פולימרים). הקישור (דיאוקסן כמייצב TCA) תקף תוך-מוקד; הופעתו בקידוח החקלאי הדרומי מטופלת כחציית-סיגנל במוקד 3.7.</w:t>
      </w:r>
    </w:p>
    <w:p>
      <w:pPr>
        <w:bidi/>
        <w:jc w:val="both"/>
        <w:rPr>
          <w:rtl/>
        </w:rPr>
      </w:pPr>
      <w:r>
        <w:rPr>
          <w:b/>
          <w:rtl/>
          <w:rFonts w:cs="Arial"/>
          <w:lang w:bidi="he-IL"/>
        </w:rPr>
        <w:t>מתכות נלוות (חציית סיגנל)</w:t>
      </w:r>
      <w:r>
        <w:rPr>
          <w:rtl/>
          <w:rFonts w:cs="Arial"/>
          <w:lang w:bidi="he-IL"/>
        </w:rPr>
        <w:t>. שלושה ממצאי מתכות חריגים יושבים על קידוחים תעשייתיים: ארסן 427–553 µg/L ב-נת חולון 5/6/7 (43–55× התקן, אך אחרון 2011); כרום היסטורי ב-נת חולון 3 (2,424 µg/L ב-2009); וכרום עולה ב-נת חולון 14. ההכרעה בין מקור אנתרופוגני (קוטלי-מזיקים, חומר-עץ CCA) לבין שחרור גאוגני בתנאי רדוקציה אינה אפשרית ללא ספציאציה ונתונים עדכניים.</w:t>
      </w:r>
    </w:p>
    <w:p>
      <w:pPr>
        <w:bidi/>
        <w:jc w:val="both"/>
        <w:rPr>
          <w:rtl/>
        </w:rPr>
      </w:pPr>
      <w:r>
        <w:rPr>
          <w:b/>
          <w:rtl/>
          <w:rFonts w:cs="Arial"/>
          <w:lang w:bidi="he-IL"/>
        </w:rPr>
        <w:t>מקורות אפשריים</w:t>
      </w:r>
      <w:r>
        <w:rPr>
          <w:rtl/>
          <w:rFonts w:cs="Arial"/>
          <w:lang w:bidi="he-IL"/>
        </w:rPr>
        <w:t>: תדיראן-קשר/אלביט (נת חולון 11; TCE היסטורי 12,982 µg/L; רמת ודאות גבוהה); תדירגן (ציפוי; שוקם 2013–2020; רמת ודאות גבוהה); תרשיש (נת חולון 3; רמת ודאות גבוהה); כור מתכת או כרומט (נת חולון 1; דוח 2021 מציין אי-ודאות מפורשת; רמת ודאות בינונית). שמונה קידוחים חולקים חתימת TCE+1,1-DCE זהה — אך חתימה זהה אינה מוכיחה מקור יחיד.</w:t>
      </w:r>
    </w:p>
    <w:p>
      <w:pPr>
        <w:bidi/>
        <w:jc w:val="both"/>
        <w:rPr>
          <w:rtl/>
        </w:rPr>
      </w:pPr>
      <w:r>
        <w:rPr>
          <w:b/>
          <w:rtl/>
          <w:rFonts w:cs="Arial"/>
          <w:lang w:bidi="he-IL"/>
        </w:rPr>
        <w:t>פערי מידע</w:t>
      </w:r>
      <w:r>
        <w:rPr>
          <w:rtl/>
          <w:rFonts w:cs="Arial"/>
          <w:lang w:bidi="he-IL"/>
        </w:rPr>
        <w:t>: שישה מקידוחי הליבה הפסיקו דיווח ב-2022–2023 (ראה §4); אתֵן/אתאן ו-Dehalococcoides אינם נמדדים, ולכן לא ניתן לקבוע אם הפירוק מושלם או נתקע ב-VC.</w:t>
      </w:r>
    </w:p>
    <w:p>
      <w:pPr>
        <w:bidi/>
        <w:jc w:val="both"/>
        <w:rPr>
          <w:rtl/>
        </w:rPr>
      </w:pPr>
      <w:r>
        <w:rPr>
          <w:rtl/>
          <w:rFonts w:cs="Arial"/>
          <w:lang w:bidi="he-IL"/>
        </w:rPr>
        <w:t>![](fig_03_cvoc_panels.png)</w:t>
      </w:r>
    </w:p>
    <w:p>
      <w:pPr>
        <w:bidi/>
        <w:jc w:val="both"/>
        <w:rPr>
          <w:rtl/>
        </w:rPr>
      </w:pPr>
      <w:r>
        <w:rPr>
          <w:b/>
          <w:rtl/>
          <w:rFonts w:cs="Arial"/>
          <w:lang w:bidi="he-IL"/>
        </w:rPr>
        <w:t>איור 2</w:t>
      </w:r>
      <w:r>
        <w:rPr>
          <w:rtl/>
          <w:rFonts w:cs="Arial"/>
          <w:lang w:bidi="he-IL"/>
        </w:rPr>
        <w:t>: סדרות זמן של TCE ותוצרי הפירוק בקידוחי הליבה בעלי הריכוזים הגבוהים מאוד (נת חולון 11, 5, 2; נד סונול המלאכה מ-1), עם סימון הפסקות הניטור 2022–2023.</w:t>
      </w:r>
    </w:p>
    <w:p/>
    <w:p>
      <w:pPr>
        <w:bidi/>
        <w:pStyle w:val="Heading3"/>
        <w:jc w:val="both"/>
        <w:rPr>
          <w:rtl/>
        </w:rPr>
      </w:pPr>
      <w:r>
        <w:rPr>
          <w:rtl/>
          <w:rFonts w:cs="Arial"/>
          <w:lang w:bidi="he-IL"/>
        </w:rPr>
        <w:t>3.2 מוקד הדלק המערבי — מחניון אגד</w:t>
      </w:r>
    </w:p>
    <w:p>
      <w:pPr>
        <w:bidi/>
        <w:jc w:val="both"/>
        <w:rPr>
          <w:rtl/>
        </w:rPr>
      </w:pPr>
      <w:r>
        <w:rPr>
          <w:b/>
          <w:rtl/>
          <w:rFonts w:cs="Arial"/>
          <w:lang w:bidi="he-IL"/>
        </w:rPr>
        <w:t>מיקום</w:t>
      </w:r>
      <w:r>
        <w:rPr>
          <w:rtl/>
          <w:rFonts w:cs="Arial"/>
          <w:lang w:bidi="he-IL"/>
        </w:rPr>
        <w:t xml:space="preserve">: מערב אזה"ת, מתחם מחניון אגד (תחנת תדלוק תפעולית פעילה). </w:t>
      </w:r>
      <w:r>
        <w:rPr>
          <w:b/>
          <w:rtl/>
          <w:rFonts w:cs="Arial"/>
          <w:lang w:bidi="he-IL"/>
        </w:rPr>
        <w:t>משפחה מובילה</w:t>
      </w:r>
      <w:r>
        <w:rPr>
          <w:rtl/>
          <w:rFonts w:cs="Arial"/>
          <w:lang w:bidi="he-IL"/>
        </w:rPr>
        <w:t xml:space="preserve">: FUEL (BTEX/MTBE, אינדקס 8). </w:t>
      </w:r>
      <w:r>
        <w:rPr>
          <w:b/>
          <w:rtl/>
          <w:rFonts w:cs="Arial"/>
          <w:lang w:bidi="he-IL"/>
        </w:rPr>
        <w:t>רמת ודאות לשיוך למחניון אגד</w:t>
      </w:r>
      <w:r>
        <w:rPr>
          <w:rtl/>
          <w:rFonts w:cs="Arial"/>
          <w:lang w:bidi="he-IL"/>
        </w:rPr>
        <w:t>: גבוהה (דוח 2021, עמ' 32).</w:t>
      </w:r>
    </w:p>
    <w:p>
      <w:pPr>
        <w:bidi/>
        <w:jc w:val="both"/>
        <w:rPr>
          <w:rtl/>
        </w:rPr>
      </w:pPr>
      <w:r>
        <w:rPr>
          <w:b/>
          <w:rtl/>
          <w:rFonts w:cs="Arial"/>
          <w:lang w:bidi="he-IL"/>
        </w:rPr>
        <w:t>מוצר חופשי פעיל</w:t>
      </w:r>
      <w:r>
        <w:rPr>
          <w:rtl/>
          <w:rFonts w:cs="Arial"/>
          <w:lang w:bidi="he-IL"/>
        </w:rPr>
        <w:t>. שבעה קידוחים מגיעים לאינדקס 8. ב-נד אגד אזור 1 נמדד בנזן 85,000% מהתקן (4,250 µg/L, פברואר 2025), עם MTBE 46,000 µg/L וסכום BTEX+MTBE של כ-110,000 µg/L — בנזן בכ-30% מהמסיסות הטהורה, אינדיקציה חזקה למוצר חופשי (LNAPL) סמוך ופעיל, לא זנב היסטורי.</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מזהם מוביל</w:t>
            </w:r>
          </w:p>
        </w:tc>
        <w:tc>
          <w:tcPr>
            <w:tcW w:type="dxa" w:w="1728"/>
          </w:tcPr>
          <w:p>
            <w:pPr>
              <w:bidi/>
              <w:jc w:val="both"/>
              <w:rPr>
                <w:rtl/>
              </w:rPr>
            </w:pPr>
            <w:r>
              <w:rPr>
                <w:b/>
                <w:rtl/>
                <w:rFonts w:cs="Arial"/>
                <w:lang w:bidi="he-IL"/>
              </w:rPr>
            </w:r>
            <w:r>
              <w:rPr>
                <w:b/>
                <w:rtl/>
                <w:rFonts w:cs="Arial"/>
                <w:lang w:bidi="he-IL"/>
              </w:rPr>
              <w:t>ריכוז אחרון (מקס' היסטורי)</w:t>
            </w:r>
          </w:p>
        </w:tc>
        <w:tc>
          <w:tcPr>
            <w:tcW w:type="dxa" w:w="1728"/>
          </w:tcPr>
          <w:p>
            <w:pPr>
              <w:bidi/>
              <w:jc w:val="both"/>
              <w:rPr>
                <w:rtl/>
              </w:rPr>
            </w:pPr>
            <w:r>
              <w:rPr>
                <w:b/>
                <w:rtl/>
                <w:rFonts w:cs="Arial"/>
                <w:lang w:bidi="he-IL"/>
              </w:rPr>
            </w:r>
            <w:r>
              <w:rPr>
                <w:b/>
                <w:rtl/>
                <w:rFonts w:cs="Arial"/>
                <w:lang w:bidi="he-IL"/>
              </w:rPr>
              <w:t>תאריך דיגום אחרון</w:t>
            </w:r>
          </w:p>
        </w:tc>
        <w:tc>
          <w:tcPr>
            <w:tcW w:type="dxa" w:w="1728"/>
          </w:tcPr>
          <w:p>
            <w:pPr>
              <w:bidi/>
              <w:jc w:val="both"/>
              <w:rPr>
                <w:rtl/>
              </w:rPr>
            </w:pPr>
            <w:r>
              <w:rPr>
                <w:b/>
                <w:rtl/>
                <w:rFonts w:cs="Arial"/>
                <w:lang w:bidi="he-IL"/>
              </w:rPr>
            </w:r>
            <w:r>
              <w:rPr>
                <w:b/>
                <w:rtl/>
                <w:rFonts w:cs="Arial"/>
                <w:lang w:bidi="he-IL"/>
              </w:rPr>
              <w:t>מגמה</w:t>
            </w:r>
          </w:p>
        </w:tc>
      </w:tr>
      <w:tr>
        <w:tc>
          <w:tcPr>
            <w:tcW w:type="dxa" w:w="1728"/>
          </w:tcPr>
          <w:p>
            <w:pPr>
              <w:bidi/>
              <w:jc w:val="both"/>
              <w:rPr>
                <w:rtl/>
              </w:rPr>
            </w:pPr>
            <w:r>
              <w:rPr>
                <w:rtl/>
                <w:rFonts w:cs="Arial"/>
                <w:lang w:bidi="he-IL"/>
              </w:rPr>
            </w:r>
            <w:r>
              <w:rPr>
                <w:rtl/>
                <w:rFonts w:cs="Arial"/>
                <w:lang w:bidi="he-IL"/>
              </w:rPr>
              <w:t>נד אגד אזור 1</w:t>
            </w:r>
          </w:p>
        </w:tc>
        <w:tc>
          <w:tcPr>
            <w:tcW w:type="dxa" w:w="1728"/>
          </w:tcPr>
          <w:p>
            <w:pPr>
              <w:bidi/>
              <w:jc w:val="both"/>
              <w:rPr>
                <w:rtl/>
              </w:rPr>
            </w:pPr>
            <w:r>
              <w:rPr>
                <w:rtl/>
                <w:rFonts w:cs="Arial"/>
                <w:lang w:bidi="he-IL"/>
              </w:rPr>
            </w:r>
            <w:r>
              <w:rPr>
                <w:rtl/>
                <w:rFonts w:cs="Arial"/>
                <w:lang w:bidi="he-IL"/>
              </w:rPr>
              <w:t>בנזן</w:t>
            </w:r>
          </w:p>
        </w:tc>
        <w:tc>
          <w:tcPr>
            <w:tcW w:type="dxa" w:w="1728"/>
          </w:tcPr>
          <w:p>
            <w:pPr>
              <w:bidi/>
              <w:jc w:val="both"/>
              <w:rPr>
                <w:rtl/>
              </w:rPr>
            </w:pPr>
            <w:r>
              <w:rPr>
                <w:rtl/>
                <w:rFonts w:cs="Arial"/>
                <w:lang w:bidi="he-IL"/>
              </w:rPr>
            </w:r>
            <w:r>
              <w:rPr>
                <w:rtl/>
                <w:rFonts w:cs="Arial"/>
                <w:lang w:bidi="he-IL"/>
              </w:rPr>
              <w:t>4,250 (11,400) µg/L</w:t>
            </w:r>
          </w:p>
        </w:tc>
        <w:tc>
          <w:tcPr>
            <w:tcW w:type="dxa" w:w="1728"/>
          </w:tcPr>
          <w:p>
            <w:pPr>
              <w:bidi/>
              <w:jc w:val="both"/>
              <w:rPr>
                <w:rtl/>
              </w:rPr>
            </w:pPr>
            <w:r>
              <w:rPr>
                <w:rtl/>
                <w:rFonts w:cs="Arial"/>
                <w:lang w:bidi="he-IL"/>
              </w:rPr>
            </w:r>
            <w:r>
              <w:rPr>
                <w:rtl/>
                <w:rFonts w:cs="Arial"/>
                <w:lang w:bidi="he-IL"/>
              </w:rPr>
              <w:t>פברואר 2025</w:t>
            </w:r>
          </w:p>
        </w:tc>
        <w:tc>
          <w:tcPr>
            <w:tcW w:type="dxa" w:w="1728"/>
          </w:tcPr>
          <w:p>
            <w:pPr>
              <w:bidi/>
              <w:jc w:val="both"/>
              <w:rPr>
                <w:rtl/>
              </w:rPr>
            </w:pPr>
            <w:r>
              <w:rPr>
                <w:rtl/>
                <w:rFonts w:cs="Arial"/>
                <w:lang w:bidi="he-IL"/>
              </w:rPr>
            </w:r>
            <w:r>
              <w:rPr>
                <w:rtl/>
                <w:rFonts w:cs="Arial"/>
                <w:lang w:bidi="he-IL"/>
              </w:rPr>
              <w:t>גבוהה מאוד; טולואן עולה (z=2.10, p=0.036)</w:t>
            </w:r>
          </w:p>
        </w:tc>
      </w:tr>
      <w:tr>
        <w:tc>
          <w:tcPr>
            <w:tcW w:type="dxa" w:w="1728"/>
          </w:tcPr>
          <w:p>
            <w:pPr>
              <w:bidi/>
              <w:jc w:val="both"/>
              <w:rPr>
                <w:rtl/>
              </w:rPr>
            </w:pPr>
            <w:r>
              <w:rPr>
                <w:rtl/>
                <w:rFonts w:cs="Arial"/>
                <w:lang w:bidi="he-IL"/>
              </w:rPr>
            </w:r>
            <w:r>
              <w:rPr>
                <w:rtl/>
                <w:rFonts w:cs="Arial"/>
                <w:lang w:bidi="he-IL"/>
              </w:rPr>
              <w:t>נד אגד אזור 12</w:t>
            </w:r>
          </w:p>
        </w:tc>
        <w:tc>
          <w:tcPr>
            <w:tcW w:type="dxa" w:w="1728"/>
          </w:tcPr>
          <w:p>
            <w:pPr>
              <w:bidi/>
              <w:jc w:val="both"/>
              <w:rPr>
                <w:rtl/>
              </w:rPr>
            </w:pPr>
            <w:r>
              <w:rPr>
                <w:rtl/>
                <w:rFonts w:cs="Arial"/>
                <w:lang w:bidi="he-IL"/>
              </w:rPr>
            </w:r>
            <w:r>
              <w:rPr>
                <w:rtl/>
                <w:rFonts w:cs="Arial"/>
                <w:lang w:bidi="he-IL"/>
              </w:rPr>
              <w:t>MTBE</w:t>
            </w:r>
          </w:p>
        </w:tc>
        <w:tc>
          <w:tcPr>
            <w:tcW w:type="dxa" w:w="1728"/>
          </w:tcPr>
          <w:p>
            <w:pPr>
              <w:bidi/>
              <w:jc w:val="both"/>
              <w:rPr>
                <w:rtl/>
              </w:rPr>
            </w:pPr>
            <w:r>
              <w:rPr>
                <w:rtl/>
                <w:rFonts w:cs="Arial"/>
                <w:lang w:bidi="he-IL"/>
              </w:rPr>
            </w:r>
            <w:r>
              <w:rPr>
                <w:rtl/>
                <w:rFonts w:cs="Arial"/>
                <w:lang w:bidi="he-IL"/>
              </w:rPr>
              <w:t>9,660 (13,700) µg/L</w:t>
            </w:r>
          </w:p>
        </w:tc>
        <w:tc>
          <w:tcPr>
            <w:tcW w:type="dxa" w:w="1728"/>
          </w:tcPr>
          <w:p>
            <w:pPr>
              <w:bidi/>
              <w:jc w:val="both"/>
              <w:rPr>
                <w:rtl/>
              </w:rPr>
            </w:pPr>
            <w:r>
              <w:rPr>
                <w:rtl/>
                <w:rFonts w:cs="Arial"/>
                <w:lang w:bidi="he-IL"/>
              </w:rPr>
            </w:r>
            <w:r>
              <w:rPr>
                <w:rtl/>
                <w:rFonts w:cs="Arial"/>
                <w:lang w:bidi="he-IL"/>
              </w:rPr>
              <w:t>ינואר 2024</w:t>
            </w:r>
          </w:p>
        </w:tc>
        <w:tc>
          <w:tcPr>
            <w:tcW w:type="dxa" w:w="1728"/>
          </w:tcPr>
          <w:p>
            <w:pPr>
              <w:bidi/>
              <w:jc w:val="both"/>
              <w:rPr>
                <w:rtl/>
              </w:rPr>
            </w:pPr>
            <w:r>
              <w:rPr>
                <w:rtl/>
                <w:rFonts w:cs="Arial"/>
                <w:lang w:bidi="he-IL"/>
              </w:rPr>
            </w:r>
            <w:r>
              <w:rPr>
                <w:rtl/>
                <w:rFonts w:cs="Arial"/>
                <w:lang w:bidi="he-IL"/>
              </w:rPr>
              <w:t>אינדקס 8; הופסק הניטור</w:t>
            </w:r>
          </w:p>
        </w:tc>
      </w:tr>
      <w:tr>
        <w:tc>
          <w:tcPr>
            <w:tcW w:type="dxa" w:w="1728"/>
          </w:tcPr>
          <w:p>
            <w:pPr>
              <w:bidi/>
              <w:jc w:val="both"/>
              <w:rPr>
                <w:rtl/>
              </w:rPr>
            </w:pPr>
            <w:r>
              <w:rPr>
                <w:rtl/>
                <w:rFonts w:cs="Arial"/>
                <w:lang w:bidi="he-IL"/>
              </w:rPr>
            </w:r>
            <w:r>
              <w:rPr>
                <w:rtl/>
                <w:rFonts w:cs="Arial"/>
                <w:lang w:bidi="he-IL"/>
              </w:rPr>
              <w:t>נד אגד אזור n3</w:t>
            </w:r>
          </w:p>
        </w:tc>
        <w:tc>
          <w:tcPr>
            <w:tcW w:type="dxa" w:w="1728"/>
          </w:tcPr>
          <w:p>
            <w:pPr>
              <w:bidi/>
              <w:jc w:val="both"/>
              <w:rPr>
                <w:rtl/>
              </w:rPr>
            </w:pPr>
            <w:r>
              <w:rPr>
                <w:rtl/>
                <w:rFonts w:cs="Arial"/>
                <w:lang w:bidi="he-IL"/>
              </w:rPr>
            </w:r>
            <w:r>
              <w:rPr>
                <w:rtl/>
                <w:rFonts w:cs="Arial"/>
                <w:lang w:bidi="he-IL"/>
              </w:rPr>
              <w:t>בנזן</w:t>
            </w:r>
          </w:p>
        </w:tc>
        <w:tc>
          <w:tcPr>
            <w:tcW w:type="dxa" w:w="1728"/>
          </w:tcPr>
          <w:p>
            <w:pPr>
              <w:bidi/>
              <w:jc w:val="both"/>
              <w:rPr>
                <w:rtl/>
              </w:rPr>
            </w:pPr>
            <w:r>
              <w:rPr>
                <w:rtl/>
                <w:rFonts w:cs="Arial"/>
                <w:lang w:bidi="he-IL"/>
              </w:rPr>
            </w:r>
            <w:r>
              <w:rPr>
                <w:rtl/>
                <w:rFonts w:cs="Arial"/>
                <w:lang w:bidi="he-IL"/>
              </w:rPr>
              <w:t>629 µg/L</w:t>
            </w:r>
          </w:p>
        </w:tc>
        <w:tc>
          <w:tcPr>
            <w:tcW w:type="dxa" w:w="1728"/>
          </w:tcPr>
          <w:p>
            <w:pPr>
              <w:bidi/>
              <w:jc w:val="both"/>
              <w:rPr>
                <w:rtl/>
              </w:rPr>
            </w:pPr>
            <w:r>
              <w:rPr>
                <w:rtl/>
                <w:rFonts w:cs="Arial"/>
                <w:lang w:bidi="he-IL"/>
              </w:rPr>
            </w:r>
            <w:r>
              <w:rPr>
                <w:rtl/>
                <w:rFonts w:cs="Arial"/>
                <w:lang w:bidi="he-IL"/>
              </w:rPr>
              <w:t>פברואר 2025</w:t>
            </w:r>
          </w:p>
        </w:tc>
        <w:tc>
          <w:tcPr>
            <w:tcW w:type="dxa" w:w="1728"/>
          </w:tcPr>
          <w:p>
            <w:pPr>
              <w:bidi/>
              <w:jc w:val="both"/>
              <w:rPr>
                <w:rtl/>
              </w:rPr>
            </w:pPr>
            <w:r>
              <w:rPr>
                <w:rtl/>
                <w:rFonts w:cs="Arial"/>
                <w:lang w:bidi="he-IL"/>
              </w:rPr>
            </w:r>
            <w:r>
              <w:rPr>
                <w:rtl/>
                <w:rFonts w:cs="Arial"/>
                <w:lang w:bidi="he-IL"/>
              </w:rPr>
              <w:t>פעיל</w:t>
            </w:r>
          </w:p>
        </w:tc>
      </w:tr>
      <w:tr>
        <w:tc>
          <w:tcPr>
            <w:tcW w:type="dxa" w:w="1728"/>
          </w:tcPr>
          <w:p>
            <w:pPr>
              <w:bidi/>
              <w:jc w:val="both"/>
              <w:rPr>
                <w:rtl/>
              </w:rPr>
            </w:pPr>
            <w:r>
              <w:rPr>
                <w:rtl/>
                <w:rFonts w:cs="Arial"/>
                <w:lang w:bidi="he-IL"/>
              </w:rPr>
            </w:r>
            <w:r>
              <w:rPr>
                <w:rtl/>
                <w:rFonts w:cs="Arial"/>
                <w:lang w:bidi="he-IL"/>
              </w:rPr>
              <w:t>נד אגד אזור 7</w:t>
            </w:r>
          </w:p>
        </w:tc>
        <w:tc>
          <w:tcPr>
            <w:tcW w:type="dxa" w:w="1728"/>
          </w:tcPr>
          <w:p>
            <w:pPr>
              <w:bidi/>
              <w:jc w:val="both"/>
              <w:rPr>
                <w:rtl/>
              </w:rPr>
            </w:pPr>
            <w:r>
              <w:rPr>
                <w:rtl/>
                <w:rFonts w:cs="Arial"/>
                <w:lang w:bidi="he-IL"/>
              </w:rPr>
            </w:r>
            <w:r>
              <w:rPr>
                <w:rtl/>
                <w:rFonts w:cs="Arial"/>
                <w:lang w:bidi="he-IL"/>
              </w:rPr>
              <w:t>בנזן</w:t>
            </w:r>
          </w:p>
        </w:tc>
        <w:tc>
          <w:tcPr>
            <w:tcW w:type="dxa" w:w="1728"/>
          </w:tcPr>
          <w:p>
            <w:pPr>
              <w:bidi/>
              <w:jc w:val="both"/>
              <w:rPr>
                <w:rtl/>
              </w:rPr>
            </w:pPr>
            <w:r>
              <w:rPr>
                <w:rtl/>
                <w:rFonts w:cs="Arial"/>
                <w:lang w:bidi="he-IL"/>
              </w:rPr>
            </w:r>
            <w:r>
              <w:rPr>
                <w:rtl/>
                <w:rFonts w:cs="Arial"/>
                <w:lang w:bidi="he-IL"/>
              </w:rPr>
              <w:t>14.4 µg/L (שיא 71,000% מהתקן)</w:t>
            </w:r>
          </w:p>
        </w:tc>
        <w:tc>
          <w:tcPr>
            <w:tcW w:type="dxa" w:w="1728"/>
          </w:tcPr>
          <w:p>
            <w:pPr>
              <w:bidi/>
              <w:jc w:val="both"/>
              <w:rPr>
                <w:rtl/>
              </w:rPr>
            </w:pPr>
            <w:r>
              <w:rPr>
                <w:rtl/>
                <w:rFonts w:cs="Arial"/>
                <w:lang w:bidi="he-IL"/>
              </w:rPr>
            </w:r>
            <w:r>
              <w:rPr>
                <w:rtl/>
                <w:rFonts w:cs="Arial"/>
                <w:lang w:bidi="he-IL"/>
              </w:rPr>
              <w:t>אפריל 2022 (שיא)</w:t>
            </w:r>
          </w:p>
        </w:tc>
        <w:tc>
          <w:tcPr>
            <w:tcW w:type="dxa" w:w="1728"/>
          </w:tcPr>
          <w:p>
            <w:pPr>
              <w:bidi/>
              <w:jc w:val="both"/>
              <w:rPr>
                <w:rtl/>
              </w:rPr>
            </w:pPr>
            <w:r>
              <w:rPr>
                <w:rtl/>
                <w:rFonts w:cs="Arial"/>
                <w:lang w:bidi="he-IL"/>
              </w:rPr>
            </w:r>
            <w:r>
              <w:rPr>
                <w:rtl/>
                <w:rFonts w:cs="Arial"/>
                <w:lang w:bidi="he-IL"/>
              </w:rPr>
              <w:t>הופסק הניטור בשיא</w:t>
            </w:r>
          </w:p>
        </w:tc>
      </w:tr>
    </w:tbl>
    <w:p>
      <w:pPr>
        <w:bidi/>
        <w:jc w:val="both"/>
        <w:rPr>
          <w:rtl/>
        </w:rPr>
      </w:pPr>
      <w:r>
        <w:rPr>
          <w:b/>
          <w:rtl/>
          <w:rFonts w:cs="Arial"/>
          <w:lang w:bidi="he-IL"/>
        </w:rPr>
        <w:t>פלומה משולבת (commingled) — קישור מנגנוני</w:t>
      </w:r>
      <w:r>
        <w:rPr>
          <w:rtl/>
          <w:rFonts w:cs="Arial"/>
          <w:lang w:bidi="he-IL"/>
        </w:rPr>
        <w:t>. ב-נד אגד אזור 1 מתקיים co-occurrence של BTEX+MTBE בעוצמת מוצר-חופשי לצד תוצרי פירוק CVOC (VC 25 µg/L, cis-DCE). שלוש השערות: שני מקורות עצמאיים הנפגשים בקידוח; מפעל יחיד שטיפל בדלק ובממסים; או פלומת CVOC חיצונית שבה הפחמימנים מספקים תורמי-אלקטרונים המניעים פירוק מקומי ל-VC. ה-VC כאן הוא תוצר-קצה של פירוק מחוזק-דלק, ולכן משפחת CVOC משנית לדלק בתוך מוקד זה. כל אשכול אגד מראה cis-DCE &gt; 1,1-DCE עם VC מצטבר בתשעה קידוחים — חתימה הפוכה לליבה התעשייתית. אזהרה: נתוני ה-CVOC של אגד הם מ-2019 ומצבם הנוכחי לא ידוע, בעוד שנתוני הדלק עדכניים (2025).</w:t>
      </w:r>
    </w:p>
    <w:p>
      <w:pPr>
        <w:bidi/>
        <w:pStyle w:val="Heading3"/>
        <w:jc w:val="both"/>
        <w:rPr>
          <w:rtl/>
        </w:rPr>
      </w:pPr>
      <w:r>
        <w:rPr>
          <w:rtl/>
          <w:rFonts w:cs="Arial"/>
          <w:lang w:bidi="he-IL"/>
        </w:rPr>
        <w:t>3.3 מוקד התדלוק הדרומי הפעיל — פז צבר / פז סיירים / סונול משמר השבעה</w:t>
      </w:r>
    </w:p>
    <w:p>
      <w:pPr>
        <w:bidi/>
        <w:jc w:val="both"/>
        <w:rPr>
          <w:rtl/>
        </w:rPr>
      </w:pPr>
      <w:r>
        <w:rPr>
          <w:b/>
          <w:rtl/>
          <w:rFonts w:cs="Arial"/>
          <w:lang w:bidi="he-IL"/>
        </w:rPr>
        <w:t>מיקום</w:t>
      </w:r>
      <w:r>
        <w:rPr>
          <w:rtl/>
          <w:rFonts w:cs="Arial"/>
          <w:lang w:bidi="he-IL"/>
        </w:rPr>
        <w:t xml:space="preserve">: דרום-מערב אזה"ת. </w:t>
      </w:r>
      <w:r>
        <w:rPr>
          <w:b/>
          <w:rtl/>
          <w:rFonts w:cs="Arial"/>
          <w:lang w:bidi="he-IL"/>
        </w:rPr>
        <w:t>משפחה מובילה</w:t>
      </w:r>
      <w:r>
        <w:rPr>
          <w:rtl/>
          <w:rFonts w:cs="Arial"/>
          <w:lang w:bidi="he-IL"/>
        </w:rPr>
        <w:t xml:space="preserve">: FUEL (BTEX/MTBE, אינדקס 8). </w:t>
      </w:r>
      <w:r>
        <w:rPr>
          <w:b/>
          <w:rtl/>
          <w:rFonts w:cs="Arial"/>
          <w:lang w:bidi="he-IL"/>
        </w:rPr>
        <w:t>רמת ודאות לשיוך לתחנות תדלוק קמעוניות</w:t>
      </w:r>
      <w:r>
        <w:rPr>
          <w:rtl/>
          <w:rFonts w:cs="Arial"/>
          <w:lang w:bidi="he-IL"/>
        </w:rPr>
        <w:t>: גבוהה.</w:t>
      </w:r>
    </w:p>
    <w:p>
      <w:pPr>
        <w:bidi/>
        <w:jc w:val="both"/>
        <w:rPr>
          <w:rtl/>
        </w:rPr>
      </w:pPr>
      <w:r>
        <w:rPr>
          <w:b/>
          <w:rtl/>
          <w:rFonts w:cs="Arial"/>
          <w:lang w:bidi="he-IL"/>
        </w:rPr>
        <w:t>ייחוד המוקד — חתימת שחרור-טרי פעיל</w:t>
      </w:r>
      <w:r>
        <w:rPr>
          <w:rtl/>
          <w:rFonts w:cs="Arial"/>
          <w:lang w:bidi="he-IL"/>
        </w:rPr>
        <w:t>. זהו המוקד היחיד עם מגמות עלייה מובהקות סטטיסטית בדגימות 2025: ב-נד פז סיירים 3 הבנזן עולה (z=2.03, p=0.043, 100% מהתקן, מאי 2025) במקביל ל-MTBE עולה (z=1.73, p=0.084), עם dissolved-oxygen ו-turbidity עולים — דפוס המתאים לשחרור גזולין טרי או מתמשך. ב-נד פז צבר 1 נמדד בנזן 11,800% מהתקן (אוגוסט 2024) עם יחס B:T:X הקרוב לגזולין לא-מבוגר.</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מזהם מוביל</w:t>
            </w:r>
          </w:p>
        </w:tc>
        <w:tc>
          <w:tcPr>
            <w:tcW w:type="dxa" w:w="1728"/>
          </w:tcPr>
          <w:p>
            <w:pPr>
              <w:bidi/>
              <w:jc w:val="both"/>
              <w:rPr>
                <w:rtl/>
              </w:rPr>
            </w:pPr>
            <w:r>
              <w:rPr>
                <w:b/>
                <w:rtl/>
                <w:rFonts w:cs="Arial"/>
                <w:lang w:bidi="he-IL"/>
              </w:rPr>
            </w:r>
            <w:r>
              <w:rPr>
                <w:b/>
                <w:rtl/>
                <w:rFonts w:cs="Arial"/>
                <w:lang w:bidi="he-IL"/>
              </w:rPr>
              <w:t>ריכוז אחרון (מקס' היסטורי)</w:t>
            </w:r>
          </w:p>
        </w:tc>
        <w:tc>
          <w:tcPr>
            <w:tcW w:type="dxa" w:w="1728"/>
          </w:tcPr>
          <w:p>
            <w:pPr>
              <w:bidi/>
              <w:jc w:val="both"/>
              <w:rPr>
                <w:rtl/>
              </w:rPr>
            </w:pPr>
            <w:r>
              <w:rPr>
                <w:b/>
                <w:rtl/>
                <w:rFonts w:cs="Arial"/>
                <w:lang w:bidi="he-IL"/>
              </w:rPr>
            </w:r>
            <w:r>
              <w:rPr>
                <w:b/>
                <w:rtl/>
                <w:rFonts w:cs="Arial"/>
                <w:lang w:bidi="he-IL"/>
              </w:rPr>
              <w:t>תאריך דיגום אחרון</w:t>
            </w:r>
          </w:p>
        </w:tc>
        <w:tc>
          <w:tcPr>
            <w:tcW w:type="dxa" w:w="1728"/>
          </w:tcPr>
          <w:p>
            <w:pPr>
              <w:bidi/>
              <w:jc w:val="both"/>
              <w:rPr>
                <w:rtl/>
              </w:rPr>
            </w:pPr>
            <w:r>
              <w:rPr>
                <w:b/>
                <w:rtl/>
                <w:rFonts w:cs="Arial"/>
                <w:lang w:bidi="he-IL"/>
              </w:rPr>
            </w:r>
            <w:r>
              <w:rPr>
                <w:b/>
                <w:rtl/>
                <w:rFonts w:cs="Arial"/>
                <w:lang w:bidi="he-IL"/>
              </w:rPr>
              <w:t>מגמה</w:t>
            </w:r>
          </w:p>
        </w:tc>
      </w:tr>
      <w:tr>
        <w:tc>
          <w:tcPr>
            <w:tcW w:type="dxa" w:w="1728"/>
          </w:tcPr>
          <w:p>
            <w:pPr>
              <w:bidi/>
              <w:jc w:val="both"/>
              <w:rPr>
                <w:rtl/>
              </w:rPr>
            </w:pPr>
            <w:r>
              <w:rPr>
                <w:rtl/>
                <w:rFonts w:cs="Arial"/>
                <w:lang w:bidi="he-IL"/>
              </w:rPr>
            </w:r>
            <w:r>
              <w:rPr>
                <w:rtl/>
                <w:rFonts w:cs="Arial"/>
                <w:lang w:bidi="he-IL"/>
              </w:rPr>
              <w:t>נד פז צבר 1</w:t>
            </w:r>
          </w:p>
        </w:tc>
        <w:tc>
          <w:tcPr>
            <w:tcW w:type="dxa" w:w="1728"/>
          </w:tcPr>
          <w:p>
            <w:pPr>
              <w:bidi/>
              <w:jc w:val="both"/>
              <w:rPr>
                <w:rtl/>
              </w:rPr>
            </w:pPr>
            <w:r>
              <w:rPr>
                <w:rtl/>
                <w:rFonts w:cs="Arial"/>
                <w:lang w:bidi="he-IL"/>
              </w:rPr>
            </w:r>
            <w:r>
              <w:rPr>
                <w:rtl/>
                <w:rFonts w:cs="Arial"/>
                <w:lang w:bidi="he-IL"/>
              </w:rPr>
              <w:t>בנזן</w:t>
            </w:r>
          </w:p>
        </w:tc>
        <w:tc>
          <w:tcPr>
            <w:tcW w:type="dxa" w:w="1728"/>
          </w:tcPr>
          <w:p>
            <w:pPr>
              <w:bidi/>
              <w:jc w:val="both"/>
              <w:rPr>
                <w:rtl/>
              </w:rPr>
            </w:pPr>
            <w:r>
              <w:rPr>
                <w:rtl/>
                <w:rFonts w:cs="Arial"/>
                <w:lang w:bidi="he-IL"/>
              </w:rPr>
            </w:r>
            <w:r>
              <w:rPr>
                <w:rtl/>
                <w:rFonts w:cs="Arial"/>
                <w:lang w:bidi="he-IL"/>
              </w:rPr>
              <w:t>590 µg/L</w:t>
            </w:r>
          </w:p>
        </w:tc>
        <w:tc>
          <w:tcPr>
            <w:tcW w:type="dxa" w:w="1728"/>
          </w:tcPr>
          <w:p>
            <w:pPr>
              <w:bidi/>
              <w:jc w:val="both"/>
              <w:rPr>
                <w:rtl/>
              </w:rPr>
            </w:pPr>
            <w:r>
              <w:rPr>
                <w:rtl/>
                <w:rFonts w:cs="Arial"/>
                <w:lang w:bidi="he-IL"/>
              </w:rPr>
            </w:r>
            <w:r>
              <w:rPr>
                <w:rtl/>
                <w:rFonts w:cs="Arial"/>
                <w:lang w:bidi="he-IL"/>
              </w:rPr>
              <w:t>אוגוסט 2024</w:t>
            </w:r>
          </w:p>
        </w:tc>
        <w:tc>
          <w:tcPr>
            <w:tcW w:type="dxa" w:w="1728"/>
          </w:tcPr>
          <w:p>
            <w:pPr>
              <w:bidi/>
              <w:jc w:val="both"/>
              <w:rPr>
                <w:rtl/>
              </w:rPr>
            </w:pPr>
            <w:r>
              <w:rPr>
                <w:rtl/>
                <w:rFonts w:cs="Arial"/>
                <w:lang w:bidi="he-IL"/>
              </w:rPr>
            </w:r>
            <w:r>
              <w:rPr>
                <w:rtl/>
                <w:rFonts w:cs="Arial"/>
                <w:lang w:bidi="he-IL"/>
              </w:rPr>
              <w:t>אינדקס 8; חתימת שחרור-טרי</w:t>
            </w:r>
          </w:p>
        </w:tc>
      </w:tr>
      <w:tr>
        <w:tc>
          <w:tcPr>
            <w:tcW w:type="dxa" w:w="1728"/>
          </w:tcPr>
          <w:p>
            <w:pPr>
              <w:bidi/>
              <w:jc w:val="both"/>
              <w:rPr>
                <w:rtl/>
              </w:rPr>
            </w:pPr>
            <w:r>
              <w:rPr>
                <w:rtl/>
                <w:rFonts w:cs="Arial"/>
                <w:lang w:bidi="he-IL"/>
              </w:rPr>
            </w:r>
            <w:r>
              <w:rPr>
                <w:rtl/>
                <w:rFonts w:cs="Arial"/>
                <w:lang w:bidi="he-IL"/>
              </w:rPr>
              <w:t>נד פז סיירים 3</w:t>
            </w:r>
          </w:p>
        </w:tc>
        <w:tc>
          <w:tcPr>
            <w:tcW w:type="dxa" w:w="1728"/>
          </w:tcPr>
          <w:p>
            <w:pPr>
              <w:bidi/>
              <w:jc w:val="both"/>
              <w:rPr>
                <w:rtl/>
              </w:rPr>
            </w:pPr>
            <w:r>
              <w:rPr>
                <w:rtl/>
                <w:rFonts w:cs="Arial"/>
                <w:lang w:bidi="he-IL"/>
              </w:rPr>
            </w:r>
            <w:r>
              <w:rPr>
                <w:rtl/>
                <w:rFonts w:cs="Arial"/>
                <w:lang w:bidi="he-IL"/>
              </w:rPr>
              <w:t>בנזן</w:t>
            </w:r>
          </w:p>
        </w:tc>
        <w:tc>
          <w:tcPr>
            <w:tcW w:type="dxa" w:w="1728"/>
          </w:tcPr>
          <w:p>
            <w:pPr>
              <w:bidi/>
              <w:jc w:val="both"/>
              <w:rPr>
                <w:rtl/>
              </w:rPr>
            </w:pPr>
            <w:r>
              <w:rPr>
                <w:rtl/>
                <w:rFonts w:cs="Arial"/>
                <w:lang w:bidi="he-IL"/>
              </w:rPr>
            </w:r>
            <w:r>
              <w:rPr>
                <w:rtl/>
                <w:rFonts w:cs="Arial"/>
                <w:lang w:bidi="he-IL"/>
              </w:rPr>
              <w:t>5.0 µg/L</w:t>
            </w:r>
          </w:p>
        </w:tc>
        <w:tc>
          <w:tcPr>
            <w:tcW w:type="dxa" w:w="1728"/>
          </w:tcPr>
          <w:p>
            <w:pPr>
              <w:bidi/>
              <w:jc w:val="both"/>
              <w:rPr>
                <w:rtl/>
              </w:rPr>
            </w:pPr>
            <w:r>
              <w:rPr>
                <w:rtl/>
                <w:rFonts w:cs="Arial"/>
                <w:lang w:bidi="he-IL"/>
              </w:rPr>
            </w:r>
            <w:r>
              <w:rPr>
                <w:rtl/>
                <w:rFonts w:cs="Arial"/>
                <w:lang w:bidi="he-IL"/>
              </w:rPr>
              <w:t>מאי 2025</w:t>
            </w:r>
          </w:p>
        </w:tc>
        <w:tc>
          <w:tcPr>
            <w:tcW w:type="dxa" w:w="1728"/>
          </w:tcPr>
          <w:p>
            <w:pPr>
              <w:bidi/>
              <w:jc w:val="both"/>
              <w:rPr>
                <w:rtl/>
              </w:rPr>
            </w:pPr>
            <w:r>
              <w:rPr>
                <w:rtl/>
                <w:rFonts w:cs="Arial"/>
                <w:lang w:bidi="he-IL"/>
              </w:rPr>
            </w:r>
            <w:r>
              <w:rPr>
                <w:rtl/>
                <w:rFonts w:cs="Arial"/>
                <w:lang w:bidi="he-IL"/>
              </w:rPr>
              <w:t>עולה (z=2.03, p=0.043)</w:t>
            </w:r>
          </w:p>
        </w:tc>
      </w:tr>
      <w:tr>
        <w:tc>
          <w:tcPr>
            <w:tcW w:type="dxa" w:w="1728"/>
          </w:tcPr>
          <w:p>
            <w:pPr>
              <w:bidi/>
              <w:jc w:val="both"/>
              <w:rPr>
                <w:rtl/>
              </w:rPr>
            </w:pPr>
            <w:r>
              <w:rPr>
                <w:rtl/>
                <w:rFonts w:cs="Arial"/>
                <w:lang w:bidi="he-IL"/>
              </w:rPr>
            </w:r>
            <w:r>
              <w:rPr>
                <w:rtl/>
                <w:rFonts w:cs="Arial"/>
                <w:lang w:bidi="he-IL"/>
              </w:rPr>
              <w:t>נד סונול משמר השבעה 2</w:t>
            </w:r>
          </w:p>
        </w:tc>
        <w:tc>
          <w:tcPr>
            <w:tcW w:type="dxa" w:w="1728"/>
          </w:tcPr>
          <w:p>
            <w:pPr>
              <w:bidi/>
              <w:jc w:val="both"/>
              <w:rPr>
                <w:rtl/>
              </w:rPr>
            </w:pPr>
            <w:r>
              <w:rPr>
                <w:rtl/>
                <w:rFonts w:cs="Arial"/>
                <w:lang w:bidi="he-IL"/>
              </w:rPr>
            </w:r>
            <w:r>
              <w:rPr>
                <w:rtl/>
                <w:rFonts w:cs="Arial"/>
                <w:lang w:bidi="he-IL"/>
              </w:rPr>
              <w:t>בנזן</w:t>
            </w:r>
          </w:p>
        </w:tc>
        <w:tc>
          <w:tcPr>
            <w:tcW w:type="dxa" w:w="1728"/>
          </w:tcPr>
          <w:p>
            <w:pPr>
              <w:bidi/>
              <w:jc w:val="both"/>
              <w:rPr>
                <w:rtl/>
              </w:rPr>
            </w:pPr>
            <w:r>
              <w:rPr>
                <w:rtl/>
                <w:rFonts w:cs="Arial"/>
                <w:lang w:bidi="he-IL"/>
              </w:rPr>
            </w:r>
            <w:r>
              <w:rPr>
                <w:rtl/>
                <w:rFonts w:cs="Arial"/>
                <w:lang w:bidi="he-IL"/>
              </w:rPr>
              <w:t>210 µg/L</w:t>
            </w:r>
          </w:p>
        </w:tc>
        <w:tc>
          <w:tcPr>
            <w:tcW w:type="dxa" w:w="1728"/>
          </w:tcPr>
          <w:p>
            <w:pPr>
              <w:bidi/>
              <w:jc w:val="both"/>
              <w:rPr>
                <w:rtl/>
              </w:rPr>
            </w:pPr>
            <w:r>
              <w:rPr>
                <w:rtl/>
                <w:rFonts w:cs="Arial"/>
                <w:lang w:bidi="he-IL"/>
              </w:rPr>
            </w:r>
            <w:r>
              <w:rPr>
                <w:rtl/>
                <w:rFonts w:cs="Arial"/>
                <w:lang w:bidi="he-IL"/>
              </w:rPr>
              <w:t>ספטמבר 2024</w:t>
            </w:r>
          </w:p>
        </w:tc>
        <w:tc>
          <w:tcPr>
            <w:tcW w:type="dxa" w:w="1728"/>
          </w:tcPr>
          <w:p>
            <w:pPr>
              <w:bidi/>
              <w:jc w:val="both"/>
              <w:rPr>
                <w:rtl/>
              </w:rPr>
            </w:pPr>
            <w:r>
              <w:rPr>
                <w:rtl/>
                <w:rFonts w:cs="Arial"/>
                <w:lang w:bidi="he-IL"/>
              </w:rPr>
            </w:r>
            <w:r>
              <w:rPr>
                <w:rtl/>
                <w:rFonts w:cs="Arial"/>
                <w:lang w:bidi="he-IL"/>
              </w:rPr>
              <w:t>אינדקס 8</w:t>
            </w:r>
          </w:p>
        </w:tc>
      </w:tr>
      <w:tr>
        <w:tc>
          <w:tcPr>
            <w:tcW w:type="dxa" w:w="1728"/>
          </w:tcPr>
          <w:p>
            <w:pPr>
              <w:bidi/>
              <w:jc w:val="both"/>
              <w:rPr>
                <w:rtl/>
              </w:rPr>
            </w:pPr>
            <w:r>
              <w:rPr>
                <w:rtl/>
                <w:rFonts w:cs="Arial"/>
                <w:lang w:bidi="he-IL"/>
              </w:rPr>
            </w:r>
            <w:r>
              <w:rPr>
                <w:rtl/>
                <w:rFonts w:cs="Arial"/>
                <w:lang w:bidi="he-IL"/>
              </w:rPr>
              <w:t>נד פז סיירים 2</w:t>
            </w:r>
          </w:p>
        </w:tc>
        <w:tc>
          <w:tcPr>
            <w:tcW w:type="dxa" w:w="1728"/>
          </w:tcPr>
          <w:p>
            <w:pPr>
              <w:bidi/>
              <w:jc w:val="both"/>
              <w:rPr>
                <w:rtl/>
              </w:rPr>
            </w:pPr>
            <w:r>
              <w:rPr>
                <w:rtl/>
                <w:rFonts w:cs="Arial"/>
                <w:lang w:bidi="he-IL"/>
              </w:rPr>
            </w:r>
            <w:r>
              <w:rPr>
                <w:rtl/>
                <w:rFonts w:cs="Arial"/>
                <w:lang w:bidi="he-IL"/>
              </w:rPr>
              <w:t>קסילן</w:t>
            </w:r>
          </w:p>
        </w:tc>
        <w:tc>
          <w:tcPr>
            <w:tcW w:type="dxa" w:w="1728"/>
          </w:tcPr>
          <w:p>
            <w:pPr>
              <w:bidi/>
              <w:jc w:val="both"/>
              <w:rPr>
                <w:rtl/>
              </w:rPr>
            </w:pPr>
            <w:r>
              <w:rPr>
                <w:rtl/>
                <w:rFonts w:cs="Arial"/>
                <w:lang w:bidi="he-IL"/>
              </w:rPr>
            </w:r>
            <w:r>
              <w:rPr>
                <w:rtl/>
                <w:rFonts w:cs="Arial"/>
                <w:lang w:bidi="he-IL"/>
              </w:rPr>
              <w:t>5,119 µg/L</w:t>
            </w:r>
          </w:p>
        </w:tc>
        <w:tc>
          <w:tcPr>
            <w:tcW w:type="dxa" w:w="1728"/>
          </w:tcPr>
          <w:p>
            <w:pPr>
              <w:bidi/>
              <w:jc w:val="both"/>
              <w:rPr>
                <w:rtl/>
              </w:rPr>
            </w:pPr>
            <w:r>
              <w:rPr>
                <w:rtl/>
                <w:rFonts w:cs="Arial"/>
                <w:lang w:bidi="he-IL"/>
              </w:rPr>
            </w:r>
            <w:r>
              <w:rPr>
                <w:rtl/>
                <w:rFonts w:cs="Arial"/>
                <w:lang w:bidi="he-IL"/>
              </w:rPr>
              <w:t>דצמבר 2022</w:t>
            </w:r>
          </w:p>
        </w:tc>
        <w:tc>
          <w:tcPr>
            <w:tcW w:type="dxa" w:w="1728"/>
          </w:tcPr>
          <w:p>
            <w:pPr>
              <w:bidi/>
              <w:jc w:val="both"/>
              <w:rPr>
                <w:rtl/>
              </w:rPr>
            </w:pPr>
            <w:r>
              <w:rPr>
                <w:rtl/>
                <w:rFonts w:cs="Arial"/>
                <w:lang w:bidi="he-IL"/>
              </w:rPr>
            </w:r>
            <w:r>
              <w:rPr>
                <w:rtl/>
                <w:rFonts w:cs="Arial"/>
                <w:lang w:bidi="he-IL"/>
              </w:rPr>
              <w:t>אינדקס 8</w:t>
            </w:r>
          </w:p>
        </w:tc>
      </w:tr>
    </w:tbl>
    <w:p>
      <w:pPr>
        <w:bidi/>
        <w:jc w:val="both"/>
        <w:rPr>
          <w:rtl/>
        </w:rPr>
      </w:pPr>
      <w:r>
        <w:rPr>
          <w:b/>
          <w:rtl/>
          <w:rFonts w:cs="Arial"/>
          <w:lang w:bidi="he-IL"/>
        </w:rPr>
        <w:t>קישור מנגנוני</w:t>
      </w:r>
      <w:r>
        <w:rPr>
          <w:rtl/>
          <w:rFonts w:cs="Arial"/>
          <w:lang w:bidi="he-IL"/>
        </w:rPr>
        <w:t xml:space="preserve">: בנזן ו-MTBE עולים יחד = חתימת מקור משותף טרי; אין קישור חוצה-משפחות בתוך מוקד זה (דלק בלבד). </w:t>
      </w:r>
      <w:r>
        <w:rPr>
          <w:b/>
          <w:rtl/>
          <w:rFonts w:cs="Arial"/>
          <w:lang w:bidi="he-IL"/>
        </w:rPr>
        <w:t>אי-ודאות</w:t>
      </w:r>
      <w:r>
        <w:rPr>
          <w:rtl/>
          <w:rFonts w:cs="Arial"/>
          <w:lang w:bidi="he-IL"/>
        </w:rPr>
        <w:t>: שחרור-טרי מול שחרור-מיושן-מגויס-מחדש (יחס TBA/MTBE קובע); האם המקור הוא ה-UST של התחנה עצמה או הגירה מתחנה סמוכה — נדרשת בדיקת אטימות מכלים.</w:t>
      </w:r>
    </w:p>
    <w:p>
      <w:pPr>
        <w:bidi/>
        <w:pStyle w:val="Heading3"/>
        <w:jc w:val="both"/>
        <w:rPr>
          <w:rtl/>
        </w:rPr>
      </w:pPr>
      <w:r>
        <w:rPr>
          <w:rtl/>
          <w:rFonts w:cs="Arial"/>
          <w:lang w:bidi="he-IL"/>
        </w:rPr>
        <w:t>3.4 מוקד המתכות — כרום נקודתי + גלווני + רימטל</w:t>
      </w:r>
    </w:p>
    <w:p>
      <w:pPr>
        <w:bidi/>
        <w:jc w:val="both"/>
        <w:rPr>
          <w:rtl/>
        </w:rPr>
      </w:pPr>
      <w:r>
        <w:rPr>
          <w:b/>
          <w:rtl/>
          <w:rFonts w:cs="Arial"/>
          <w:lang w:bidi="he-IL"/>
        </w:rPr>
        <w:t>מיקום</w:t>
      </w:r>
      <w:r>
        <w:rPr>
          <w:rtl/>
          <w:rFonts w:cs="Arial"/>
          <w:lang w:bidi="he-IL"/>
        </w:rPr>
        <w:t xml:space="preserve">: תת-אשכול בתוך/בשולי הליבה התעשייתית + מתחם רימטל ברחוב המנור 54. </w:t>
      </w:r>
      <w:r>
        <w:rPr>
          <w:b/>
          <w:rtl/>
          <w:rFonts w:cs="Arial"/>
          <w:lang w:bidi="he-IL"/>
        </w:rPr>
        <w:t>משפחה מובילה</w:t>
      </w:r>
      <w:r>
        <w:rPr>
          <w:rtl/>
          <w:rFonts w:cs="Arial"/>
          <w:lang w:bidi="he-IL"/>
        </w:rPr>
        <w:t>: METALS (אינדקס 7).</w:t>
      </w:r>
    </w:p>
    <w:p>
      <w:pPr>
        <w:bidi/>
        <w:jc w:val="both"/>
        <w:rPr>
          <w:rtl/>
        </w:rPr>
      </w:pPr>
      <w:r>
        <w:rPr>
          <w:b/>
          <w:rtl/>
          <w:rFonts w:cs="Arial"/>
          <w:lang w:bidi="he-IL"/>
        </w:rPr>
        <w:t>כרום נקודתי באינדקס 7</w:t>
      </w:r>
      <w:r>
        <w:rPr>
          <w:rtl/>
          <w:rFonts w:cs="Arial"/>
          <w:lang w:bidi="he-IL"/>
        </w:rPr>
        <w:t>. ב-נת חולון 26 נמדד Cr 4,036 µg/L (7,540% מהתקן, אינדקס 7, פברואר 2023) — פי 12 מהקידוח הבא בתור (נת חולון 14, 333 µg/L). חתימה נקודתית מובהקת המצביעה על מקור ציפוי/גימור-מתכות בטווח כ-100 מ'. הקידוח נושא גם TCE 2,144% מהתקן (חתימה רב-משפחתית בקידוח יחיד). נדרשת ספציאציה Cr(VI)/Cr(III), והממצא מבוסס על שלוש מדידות בלבד — מחייב דגימת-אישור.</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מזהם מוביל</w:t>
            </w:r>
          </w:p>
        </w:tc>
        <w:tc>
          <w:tcPr>
            <w:tcW w:type="dxa" w:w="1728"/>
          </w:tcPr>
          <w:p>
            <w:pPr>
              <w:bidi/>
              <w:jc w:val="both"/>
              <w:rPr>
                <w:rtl/>
              </w:rPr>
            </w:pPr>
            <w:r>
              <w:rPr>
                <w:b/>
                <w:rtl/>
                <w:rFonts w:cs="Arial"/>
                <w:lang w:bidi="he-IL"/>
              </w:rPr>
            </w:r>
            <w:r>
              <w:rPr>
                <w:b/>
                <w:rtl/>
                <w:rFonts w:cs="Arial"/>
                <w:lang w:bidi="he-IL"/>
              </w:rPr>
              <w:t>ריכוז אחרון (מקס' היסטורי)</w:t>
            </w:r>
          </w:p>
        </w:tc>
        <w:tc>
          <w:tcPr>
            <w:tcW w:type="dxa" w:w="1728"/>
          </w:tcPr>
          <w:p>
            <w:pPr>
              <w:bidi/>
              <w:jc w:val="both"/>
              <w:rPr>
                <w:rtl/>
              </w:rPr>
            </w:pPr>
            <w:r>
              <w:rPr>
                <w:b/>
                <w:rtl/>
                <w:rFonts w:cs="Arial"/>
                <w:lang w:bidi="he-IL"/>
              </w:rPr>
            </w:r>
            <w:r>
              <w:rPr>
                <w:b/>
                <w:rtl/>
                <w:rFonts w:cs="Arial"/>
                <w:lang w:bidi="he-IL"/>
              </w:rPr>
              <w:t>תאריך דיגום אחרון</w:t>
            </w:r>
          </w:p>
        </w:tc>
        <w:tc>
          <w:tcPr>
            <w:tcW w:type="dxa" w:w="1728"/>
          </w:tcPr>
          <w:p>
            <w:pPr>
              <w:bidi/>
              <w:jc w:val="both"/>
              <w:rPr>
                <w:rtl/>
              </w:rPr>
            </w:pPr>
            <w:r>
              <w:rPr>
                <w:b/>
                <w:rtl/>
                <w:rFonts w:cs="Arial"/>
                <w:lang w:bidi="he-IL"/>
              </w:rPr>
            </w:r>
            <w:r>
              <w:rPr>
                <w:b/>
                <w:rtl/>
                <w:rFonts w:cs="Arial"/>
                <w:lang w:bidi="he-IL"/>
              </w:rPr>
              <w:t>מגמה</w:t>
            </w:r>
          </w:p>
        </w:tc>
      </w:tr>
      <w:tr>
        <w:tc>
          <w:tcPr>
            <w:tcW w:type="dxa" w:w="1728"/>
          </w:tcPr>
          <w:p>
            <w:pPr>
              <w:bidi/>
              <w:jc w:val="both"/>
              <w:rPr>
                <w:rtl/>
              </w:rPr>
            </w:pPr>
            <w:r>
              <w:rPr>
                <w:rtl/>
                <w:rFonts w:cs="Arial"/>
                <w:lang w:bidi="he-IL"/>
              </w:rPr>
            </w:r>
            <w:r>
              <w:rPr>
                <w:rtl/>
                <w:rFonts w:cs="Arial"/>
                <w:lang w:bidi="he-IL"/>
              </w:rPr>
              <w:t>נת חולון 26</w:t>
            </w:r>
          </w:p>
        </w:tc>
        <w:tc>
          <w:tcPr>
            <w:tcW w:type="dxa" w:w="1728"/>
          </w:tcPr>
          <w:p>
            <w:pPr>
              <w:bidi/>
              <w:jc w:val="both"/>
              <w:rPr>
                <w:rtl/>
              </w:rPr>
            </w:pPr>
            <w:r>
              <w:rPr>
                <w:rtl/>
                <w:rFonts w:cs="Arial"/>
                <w:lang w:bidi="he-IL"/>
              </w:rPr>
            </w:r>
            <w:r>
              <w:rPr>
                <w:rtl/>
                <w:rFonts w:cs="Arial"/>
                <w:lang w:bidi="he-IL"/>
              </w:rPr>
              <w:t>כרום</w:t>
            </w:r>
          </w:p>
        </w:tc>
        <w:tc>
          <w:tcPr>
            <w:tcW w:type="dxa" w:w="1728"/>
          </w:tcPr>
          <w:p>
            <w:pPr>
              <w:bidi/>
              <w:jc w:val="both"/>
              <w:rPr>
                <w:rtl/>
              </w:rPr>
            </w:pPr>
            <w:r>
              <w:rPr>
                <w:rtl/>
                <w:rFonts w:cs="Arial"/>
                <w:lang w:bidi="he-IL"/>
              </w:rPr>
            </w:r>
            <w:r>
              <w:rPr>
                <w:rtl/>
                <w:rFonts w:cs="Arial"/>
                <w:lang w:bidi="he-IL"/>
              </w:rPr>
              <w:t>4,036 µg/L</w:t>
            </w:r>
          </w:p>
        </w:tc>
        <w:tc>
          <w:tcPr>
            <w:tcW w:type="dxa" w:w="1728"/>
          </w:tcPr>
          <w:p>
            <w:pPr>
              <w:bidi/>
              <w:jc w:val="both"/>
              <w:rPr>
                <w:rtl/>
              </w:rPr>
            </w:pPr>
            <w:r>
              <w:rPr>
                <w:rtl/>
                <w:rFonts w:cs="Arial"/>
                <w:lang w:bidi="he-IL"/>
              </w:rPr>
            </w:r>
            <w:r>
              <w:rPr>
                <w:rtl/>
                <w:rFonts w:cs="Arial"/>
                <w:lang w:bidi="he-IL"/>
              </w:rPr>
              <w:t>פברואר 2023</w:t>
            </w:r>
          </w:p>
        </w:tc>
        <w:tc>
          <w:tcPr>
            <w:tcW w:type="dxa" w:w="1728"/>
          </w:tcPr>
          <w:p>
            <w:pPr>
              <w:bidi/>
              <w:jc w:val="both"/>
              <w:rPr>
                <w:rtl/>
              </w:rPr>
            </w:pPr>
            <w:r>
              <w:rPr>
                <w:rtl/>
                <w:rFonts w:cs="Arial"/>
                <w:lang w:bidi="he-IL"/>
              </w:rPr>
            </w:r>
            <w:r>
              <w:rPr>
                <w:rtl/>
                <w:rFonts w:cs="Arial"/>
                <w:lang w:bidi="he-IL"/>
              </w:rPr>
              <w:t>אינדקס 7; הופסק הניטור</w:t>
            </w:r>
          </w:p>
        </w:tc>
      </w:tr>
      <w:tr>
        <w:tc>
          <w:tcPr>
            <w:tcW w:type="dxa" w:w="1728"/>
          </w:tcPr>
          <w:p>
            <w:pPr>
              <w:bidi/>
              <w:jc w:val="both"/>
              <w:rPr>
                <w:rtl/>
              </w:rPr>
            </w:pPr>
            <w:r>
              <w:rPr>
                <w:rtl/>
                <w:rFonts w:cs="Arial"/>
                <w:lang w:bidi="he-IL"/>
              </w:rPr>
            </w:r>
            <w:r>
              <w:rPr>
                <w:rtl/>
                <w:rFonts w:cs="Arial"/>
                <w:lang w:bidi="he-IL"/>
              </w:rPr>
              <w:t>נת חולון 14</w:t>
            </w:r>
          </w:p>
        </w:tc>
        <w:tc>
          <w:tcPr>
            <w:tcW w:type="dxa" w:w="1728"/>
          </w:tcPr>
          <w:p>
            <w:pPr>
              <w:bidi/>
              <w:jc w:val="both"/>
              <w:rPr>
                <w:rtl/>
              </w:rPr>
            </w:pPr>
            <w:r>
              <w:rPr>
                <w:rtl/>
                <w:rFonts w:cs="Arial"/>
                <w:lang w:bidi="he-IL"/>
              </w:rPr>
            </w:r>
            <w:r>
              <w:rPr>
                <w:rtl/>
                <w:rFonts w:cs="Arial"/>
                <w:lang w:bidi="he-IL"/>
              </w:rPr>
              <w:t>כרום</w:t>
            </w:r>
          </w:p>
        </w:tc>
        <w:tc>
          <w:tcPr>
            <w:tcW w:type="dxa" w:w="1728"/>
          </w:tcPr>
          <w:p>
            <w:pPr>
              <w:bidi/>
              <w:jc w:val="both"/>
              <w:rPr>
                <w:rtl/>
              </w:rPr>
            </w:pPr>
            <w:r>
              <w:rPr>
                <w:rtl/>
                <w:rFonts w:cs="Arial"/>
                <w:lang w:bidi="he-IL"/>
              </w:rPr>
            </w:r>
            <w:r>
              <w:rPr>
                <w:rtl/>
                <w:rFonts w:cs="Arial"/>
                <w:lang w:bidi="he-IL"/>
              </w:rPr>
              <w:t>166 (333) µg/L</w:t>
            </w:r>
          </w:p>
        </w:tc>
        <w:tc>
          <w:tcPr>
            <w:tcW w:type="dxa" w:w="1728"/>
          </w:tcPr>
          <w:p>
            <w:pPr>
              <w:bidi/>
              <w:jc w:val="both"/>
              <w:rPr>
                <w:rtl/>
              </w:rPr>
            </w:pPr>
            <w:r>
              <w:rPr>
                <w:rtl/>
                <w:rFonts w:cs="Arial"/>
                <w:lang w:bidi="he-IL"/>
              </w:rPr>
            </w:r>
            <w:r>
              <w:rPr>
                <w:rtl/>
                <w:rFonts w:cs="Arial"/>
                <w:lang w:bidi="he-IL"/>
              </w:rPr>
              <w:t>יוני 2022</w:t>
            </w:r>
          </w:p>
        </w:tc>
        <w:tc>
          <w:tcPr>
            <w:tcW w:type="dxa" w:w="1728"/>
          </w:tcPr>
          <w:p>
            <w:pPr>
              <w:bidi/>
              <w:jc w:val="both"/>
              <w:rPr>
                <w:rtl/>
              </w:rPr>
            </w:pPr>
            <w:r>
              <w:rPr>
                <w:rtl/>
                <w:rFonts w:cs="Arial"/>
                <w:lang w:bidi="he-IL"/>
              </w:rPr>
            </w:r>
            <w:r>
              <w:rPr>
                <w:rtl/>
                <w:rFonts w:cs="Arial"/>
                <w:lang w:bidi="he-IL"/>
              </w:rPr>
              <w:t>עולה (z=1.87, p=0.062); הופסק הניטור</w:t>
            </w:r>
          </w:p>
        </w:tc>
      </w:tr>
      <w:tr>
        <w:tc>
          <w:tcPr>
            <w:tcW w:type="dxa" w:w="1728"/>
          </w:tcPr>
          <w:p>
            <w:pPr>
              <w:bidi/>
              <w:jc w:val="both"/>
              <w:rPr>
                <w:rtl/>
              </w:rPr>
            </w:pPr>
            <w:r>
              <w:rPr>
                <w:rtl/>
                <w:rFonts w:cs="Arial"/>
                <w:lang w:bidi="he-IL"/>
              </w:rPr>
            </w:r>
            <w:r>
              <w:rPr>
                <w:rtl/>
                <w:rFonts w:cs="Arial"/>
                <w:lang w:bidi="he-IL"/>
              </w:rPr>
              <w:t>נת חולון 23</w:t>
            </w:r>
          </w:p>
        </w:tc>
        <w:tc>
          <w:tcPr>
            <w:tcW w:type="dxa" w:w="1728"/>
          </w:tcPr>
          <w:p>
            <w:pPr>
              <w:bidi/>
              <w:jc w:val="both"/>
              <w:rPr>
                <w:rtl/>
              </w:rPr>
            </w:pPr>
            <w:r>
              <w:rPr>
                <w:rtl/>
                <w:rFonts w:cs="Arial"/>
                <w:lang w:bidi="he-IL"/>
              </w:rPr>
            </w:r>
            <w:r>
              <w:rPr>
                <w:rtl/>
                <w:rFonts w:cs="Arial"/>
                <w:lang w:bidi="he-IL"/>
              </w:rPr>
              <w:t>ניקל / כרום</w:t>
            </w:r>
          </w:p>
        </w:tc>
        <w:tc>
          <w:tcPr>
            <w:tcW w:type="dxa" w:w="1728"/>
          </w:tcPr>
          <w:p>
            <w:pPr>
              <w:bidi/>
              <w:jc w:val="both"/>
              <w:rPr>
                <w:rtl/>
              </w:rPr>
            </w:pPr>
            <w:r>
              <w:rPr>
                <w:rtl/>
                <w:rFonts w:cs="Arial"/>
                <w:lang w:bidi="he-IL"/>
              </w:rPr>
            </w:r>
            <w:r>
              <w:rPr>
                <w:rtl/>
                <w:rFonts w:cs="Arial"/>
                <w:lang w:bidi="he-IL"/>
              </w:rPr>
              <w:t>Ni 39.3, Cr 44.8 µg/L</w:t>
            </w:r>
          </w:p>
        </w:tc>
        <w:tc>
          <w:tcPr>
            <w:tcW w:type="dxa" w:w="1728"/>
          </w:tcPr>
          <w:p>
            <w:pPr>
              <w:bidi/>
              <w:jc w:val="both"/>
              <w:rPr>
                <w:rtl/>
              </w:rPr>
            </w:pPr>
            <w:r>
              <w:rPr>
                <w:rtl/>
                <w:rFonts w:cs="Arial"/>
                <w:lang w:bidi="he-IL"/>
              </w:rPr>
            </w:r>
            <w:r>
              <w:rPr>
                <w:rtl/>
                <w:rFonts w:cs="Arial"/>
                <w:lang w:bidi="he-IL"/>
              </w:rPr>
              <w:t>נובמבר 2022</w:t>
            </w:r>
          </w:p>
        </w:tc>
        <w:tc>
          <w:tcPr>
            <w:tcW w:type="dxa" w:w="1728"/>
          </w:tcPr>
          <w:p>
            <w:pPr>
              <w:bidi/>
              <w:jc w:val="both"/>
              <w:rPr>
                <w:rtl/>
              </w:rPr>
            </w:pPr>
            <w:r>
              <w:rPr>
                <w:rtl/>
                <w:rFonts w:cs="Arial"/>
                <w:lang w:bidi="he-IL"/>
              </w:rPr>
            </w:r>
            <w:r>
              <w:rPr>
                <w:rtl/>
                <w:rFonts w:cs="Arial"/>
                <w:lang w:bidi="he-IL"/>
              </w:rPr>
              <w:t>Ni 197% מהתקן; חתימה גלוונית</w:t>
            </w:r>
          </w:p>
        </w:tc>
      </w:tr>
      <w:tr>
        <w:tc>
          <w:tcPr>
            <w:tcW w:type="dxa" w:w="1728"/>
          </w:tcPr>
          <w:p>
            <w:pPr>
              <w:bidi/>
              <w:jc w:val="both"/>
              <w:rPr>
                <w:rtl/>
              </w:rPr>
            </w:pPr>
            <w:r>
              <w:rPr>
                <w:rtl/>
                <w:rFonts w:cs="Arial"/>
                <w:lang w:bidi="he-IL"/>
              </w:rPr>
            </w:r>
            <w:r>
              <w:rPr>
                <w:rtl/>
                <w:rFonts w:cs="Arial"/>
                <w:lang w:bidi="he-IL"/>
              </w:rPr>
              <w:t>נת תדירגן 4</w:t>
            </w:r>
          </w:p>
        </w:tc>
        <w:tc>
          <w:tcPr>
            <w:tcW w:type="dxa" w:w="1728"/>
          </w:tcPr>
          <w:p>
            <w:pPr>
              <w:bidi/>
              <w:jc w:val="both"/>
              <w:rPr>
                <w:rtl/>
              </w:rPr>
            </w:pPr>
            <w:r>
              <w:rPr>
                <w:rtl/>
                <w:rFonts w:cs="Arial"/>
                <w:lang w:bidi="he-IL"/>
              </w:rPr>
            </w:r>
            <w:r>
              <w:rPr>
                <w:rtl/>
                <w:rFonts w:cs="Arial"/>
                <w:lang w:bidi="he-IL"/>
              </w:rPr>
              <w:t>כרום</w:t>
            </w:r>
          </w:p>
        </w:tc>
        <w:tc>
          <w:tcPr>
            <w:tcW w:type="dxa" w:w="1728"/>
          </w:tcPr>
          <w:p>
            <w:pPr>
              <w:bidi/>
              <w:jc w:val="both"/>
              <w:rPr>
                <w:rtl/>
              </w:rPr>
            </w:pPr>
            <w:r>
              <w:rPr>
                <w:rtl/>
                <w:rFonts w:cs="Arial"/>
                <w:lang w:bidi="he-IL"/>
              </w:rPr>
            </w:r>
            <w:r>
              <w:rPr>
                <w:rtl/>
                <w:rFonts w:cs="Arial"/>
                <w:lang w:bidi="he-IL"/>
              </w:rPr>
              <w:t>133 µg/L</w:t>
            </w:r>
          </w:p>
        </w:tc>
        <w:tc>
          <w:tcPr>
            <w:tcW w:type="dxa" w:w="1728"/>
          </w:tcPr>
          <w:p>
            <w:pPr>
              <w:bidi/>
              <w:jc w:val="both"/>
              <w:rPr>
                <w:rtl/>
              </w:rPr>
            </w:pPr>
            <w:r>
              <w:rPr>
                <w:rtl/>
                <w:rFonts w:cs="Arial"/>
                <w:lang w:bidi="he-IL"/>
              </w:rPr>
            </w:r>
            <w:r>
              <w:rPr>
                <w:rtl/>
                <w:rFonts w:cs="Arial"/>
                <w:lang w:bidi="he-IL"/>
              </w:rPr>
              <w:t>אוקטובר 2011</w:t>
            </w:r>
          </w:p>
        </w:tc>
        <w:tc>
          <w:tcPr>
            <w:tcW w:type="dxa" w:w="1728"/>
          </w:tcPr>
          <w:p>
            <w:pPr>
              <w:bidi/>
              <w:jc w:val="both"/>
              <w:rPr>
                <w:rtl/>
              </w:rPr>
            </w:pPr>
            <w:r>
              <w:rPr>
                <w:rtl/>
                <w:rFonts w:cs="Arial"/>
                <w:lang w:bidi="he-IL"/>
              </w:rPr>
            </w:r>
            <w:r>
              <w:rPr>
                <w:rtl/>
                <w:rFonts w:cs="Arial"/>
                <w:lang w:bidi="he-IL"/>
              </w:rPr>
              <w:t>Cr 266% מהתקן; אחרון 2011</w:t>
            </w:r>
          </w:p>
        </w:tc>
      </w:tr>
      <w:tr>
        <w:tc>
          <w:tcPr>
            <w:tcW w:type="dxa" w:w="1728"/>
          </w:tcPr>
          <w:p>
            <w:pPr>
              <w:bidi/>
              <w:jc w:val="both"/>
              <w:rPr>
                <w:rtl/>
              </w:rPr>
            </w:pPr>
            <w:r>
              <w:rPr>
                <w:rtl/>
                <w:rFonts w:cs="Arial"/>
                <w:lang w:bidi="he-IL"/>
              </w:rPr>
            </w:r>
            <w:r>
              <w:rPr>
                <w:rtl/>
                <w:rFonts w:cs="Arial"/>
                <w:lang w:bidi="he-IL"/>
              </w:rPr>
              <w:t>נת ארן מטל חולון 1</w:t>
            </w:r>
          </w:p>
        </w:tc>
        <w:tc>
          <w:tcPr>
            <w:tcW w:type="dxa" w:w="1728"/>
          </w:tcPr>
          <w:p>
            <w:pPr>
              <w:bidi/>
              <w:jc w:val="both"/>
              <w:rPr>
                <w:rtl/>
              </w:rPr>
            </w:pPr>
            <w:r>
              <w:rPr>
                <w:rtl/>
                <w:rFonts w:cs="Arial"/>
                <w:lang w:bidi="he-IL"/>
              </w:rPr>
            </w:r>
            <w:r>
              <w:rPr>
                <w:rtl/>
                <w:rFonts w:cs="Arial"/>
                <w:lang w:bidi="he-IL"/>
              </w:rPr>
              <w:t>ניקל (היסטורי)</w:t>
            </w:r>
          </w:p>
        </w:tc>
        <w:tc>
          <w:tcPr>
            <w:tcW w:type="dxa" w:w="1728"/>
          </w:tcPr>
          <w:p>
            <w:pPr>
              <w:bidi/>
              <w:jc w:val="both"/>
              <w:rPr>
                <w:rtl/>
              </w:rPr>
            </w:pPr>
            <w:r>
              <w:rPr>
                <w:rtl/>
                <w:rFonts w:cs="Arial"/>
                <w:lang w:bidi="he-IL"/>
              </w:rPr>
            </w:r>
            <w:r>
              <w:rPr>
                <w:rtl/>
                <w:rFonts w:cs="Arial"/>
                <w:lang w:bidi="he-IL"/>
              </w:rPr>
              <w:t>נמוך כיום</w:t>
            </w:r>
          </w:p>
        </w:tc>
        <w:tc>
          <w:tcPr>
            <w:tcW w:type="dxa" w:w="1728"/>
          </w:tcPr>
          <w:p>
            <w:pPr>
              <w:bidi/>
              <w:jc w:val="both"/>
              <w:rPr>
                <w:rtl/>
              </w:rPr>
            </w:pPr>
            <w:r>
              <w:rPr>
                <w:rtl/>
                <w:rFonts w:cs="Arial"/>
                <w:lang w:bidi="he-IL"/>
              </w:rPr>
            </w:r>
            <w:r>
              <w:rPr>
                <w:rtl/>
                <w:rFonts w:cs="Arial"/>
                <w:lang w:bidi="he-IL"/>
              </w:rPr>
              <w:t>אוגוסט 2023</w:t>
            </w:r>
          </w:p>
        </w:tc>
        <w:tc>
          <w:tcPr>
            <w:tcW w:type="dxa" w:w="1728"/>
          </w:tcPr>
          <w:p>
            <w:pPr>
              <w:bidi/>
              <w:jc w:val="both"/>
              <w:rPr>
                <w:rtl/>
              </w:rPr>
            </w:pPr>
            <w:r>
              <w:rPr>
                <w:rtl/>
                <w:rFonts w:cs="Arial"/>
                <w:lang w:bidi="he-IL"/>
              </w:rPr>
            </w:r>
            <w:r>
              <w:rPr>
                <w:rtl/>
                <w:rFonts w:cs="Arial"/>
                <w:lang w:bidi="he-IL"/>
              </w:rPr>
              <w:t>מוקד הניקל ההיסטורי של רימטל</w:t>
            </w:r>
          </w:p>
        </w:tc>
      </w:tr>
    </w:tbl>
    <w:p>
      <w:pPr>
        <w:bidi/>
        <w:jc w:val="both"/>
        <w:rPr>
          <w:rtl/>
        </w:rPr>
      </w:pPr>
      <w:r>
        <w:rPr>
          <w:b/>
          <w:rtl/>
          <w:rFonts w:cs="Arial"/>
          <w:lang w:bidi="he-IL"/>
        </w:rPr>
        <w:t>חתימות מובחנות (קישור מנגנוני)</w:t>
      </w:r>
      <w:r>
        <w:rPr>
          <w:rtl/>
          <w:rFonts w:cs="Arial"/>
          <w:lang w:bidi="he-IL"/>
        </w:rPr>
        <w:t>. נת חולון 22/23/25 + אלביט מציגים Cr+Ni קו-מוגברים (יחס Cr/Ni 0.5–2, טווח חתימת אמבט גלווני). נת חולון 22 נושא בנוסף Mn 8,730 µg/L, Al 4,100 ו-Co — חתימה שעשויה להיות סוללות/אלקטרוניקה או גיוס רדוקטיבי (אזהרה: Al גבוה עשוי להיות artefact של turbidity). נת תדירגן 4 מציג Cr-ללא-Ni — פסיבציית כרומאט. מוקד הניקל ההיסטורי של רימטל/ארן-מטל מתועד 2005–2008 (0.6 → 2.0 מ"ג/ל, פי 40 מהתקן), כ-200 מ' צפונית מקידוח ההפקה מק חולון 5 — מוקד נקודתי למתכות כבדות, נפרד מהפלומה הראשית.</w:t>
      </w:r>
    </w:p>
    <w:p>
      <w:pPr>
        <w:bidi/>
        <w:jc w:val="both"/>
        <w:rPr>
          <w:rtl/>
        </w:rPr>
      </w:pPr>
      <w:r>
        <w:rPr>
          <w:b/>
          <w:rtl/>
          <w:rFonts w:cs="Arial"/>
          <w:lang w:bidi="he-IL"/>
        </w:rPr>
        <w:t>מקורות אפשריים</w:t>
      </w:r>
      <w:r>
        <w:rPr>
          <w:rtl/>
          <w:rFonts w:cs="Arial"/>
          <w:lang w:bidi="he-IL"/>
        </w:rPr>
        <w:t xml:space="preserve">: תרשיש (נת חולון 3; רמת ודאות גבוהה); רימטל/ארן-מטל (Ni מתועד; רמת ודאות גבוהה); אמינוגרף, אמקור פליז, סופר כרום, כרומט (רמת ודאות גבוהה עד בינונית). </w:t>
      </w:r>
      <w:r>
        <w:rPr>
          <w:b/>
          <w:rtl/>
          <w:rFonts w:cs="Arial"/>
          <w:lang w:bidi="he-IL"/>
        </w:rPr>
        <w:t>אי-ודאות</w:t>
      </w:r>
      <w:r>
        <w:rPr>
          <w:rtl/>
          <w:rFonts w:cs="Arial"/>
          <w:lang w:bidi="he-IL"/>
        </w:rPr>
        <w:t>: רוב נתוני המתכות 2020–2023, חלקם 2011; ספציאציית Cr חסרה לאורך כל האזור.</w:t>
      </w:r>
    </w:p>
    <w:p>
      <w:pPr>
        <w:bidi/>
        <w:jc w:val="both"/>
        <w:rPr>
          <w:rtl/>
        </w:rPr>
      </w:pPr>
      <w:r>
        <w:rPr>
          <w:rtl/>
          <w:rFonts w:cs="Arial"/>
          <w:lang w:bidi="he-IL"/>
        </w:rPr>
        <w:t>![](fig_04_metals_panels.png)</w:t>
      </w:r>
    </w:p>
    <w:p>
      <w:pPr>
        <w:bidi/>
        <w:jc w:val="both"/>
        <w:rPr>
          <w:rtl/>
        </w:rPr>
      </w:pPr>
      <w:r>
        <w:rPr>
          <w:b/>
          <w:rtl/>
          <w:rFonts w:cs="Arial"/>
          <w:lang w:bidi="he-IL"/>
        </w:rPr>
        <w:t>איור 3</w:t>
      </w:r>
      <w:r>
        <w:rPr>
          <w:rtl/>
          <w:rFonts w:cs="Arial"/>
          <w:lang w:bidi="he-IL"/>
        </w:rPr>
        <w:t>: סדרות זמן של כרום, ניקל וארסן בקידוחי מוקד המתכות (נת חולון 26, 23, 22, 14), עם סימון מדידות-יחיד הדורשות אישור.</w:t>
      </w:r>
    </w:p>
    <w:p/>
    <w:p>
      <w:pPr>
        <w:bidi/>
        <w:pStyle w:val="Heading3"/>
        <w:jc w:val="both"/>
        <w:rPr>
          <w:rtl/>
        </w:rPr>
      </w:pPr>
      <w:r>
        <w:rPr>
          <w:rtl/>
          <w:rFonts w:cs="Arial"/>
          <w:lang w:bidi="he-IL"/>
        </w:rPr>
        <w:t>3.5 מוקד הדלק ה"ישן" — מרכבות האש / נובר / סונול המלאכה</w:t>
      </w:r>
    </w:p>
    <w:p>
      <w:pPr>
        <w:bidi/>
        <w:jc w:val="both"/>
        <w:rPr>
          <w:rtl/>
        </w:rPr>
      </w:pPr>
      <w:r>
        <w:rPr>
          <w:b/>
          <w:rtl/>
          <w:rFonts w:cs="Arial"/>
          <w:lang w:bidi="he-IL"/>
        </w:rPr>
        <w:t>מיקום</w:t>
      </w:r>
      <w:r>
        <w:rPr>
          <w:rtl/>
          <w:rFonts w:cs="Arial"/>
          <w:lang w:bidi="he-IL"/>
        </w:rPr>
        <w:t xml:space="preserve">: מתחם מרכבות האש (חניון/תדלוק כלי-כיבוי) + נד נובר מרכבה + נד אגד אזור 16/7. </w:t>
      </w:r>
      <w:r>
        <w:rPr>
          <w:b/>
          <w:rtl/>
          <w:rFonts w:cs="Arial"/>
          <w:lang w:bidi="he-IL"/>
        </w:rPr>
        <w:t>משפחה מובילה</w:t>
      </w:r>
      <w:r>
        <w:rPr>
          <w:rtl/>
          <w:rFonts w:cs="Arial"/>
          <w:lang w:bidi="he-IL"/>
        </w:rPr>
        <w:t>: FUEL (MTBE/TBA, אינדקס 6 — בנזין מיושן).</w:t>
      </w:r>
    </w:p>
    <w:p>
      <w:pPr>
        <w:bidi/>
        <w:jc w:val="both"/>
        <w:rPr>
          <w:rtl/>
        </w:rPr>
      </w:pPr>
      <w:r>
        <w:rPr>
          <w:b/>
          <w:rtl/>
          <w:rFonts w:cs="Arial"/>
          <w:lang w:bidi="he-IL"/>
        </w:rPr>
        <w:t>חתימת בנזין מיושן ("הר TBA")</w:t>
      </w:r>
      <w:r>
        <w:rPr>
          <w:rtl/>
          <w:rFonts w:cs="Arial"/>
          <w:lang w:bidi="he-IL"/>
        </w:rPr>
        <w:t>. TBA הגיע ל-120,000 µg/L ב-נד דלק מרכבות האש 1 (פי 10,000 מתקן US EPA), קו-מוגבר בשישה מקידוחי האשכול (66,200; 55,900; 45,000; 38,100; 30,600 µg/L) — מרמז על LNAPL מתמשך המחזיק steady-state, לא שחרור-יחיד. ב-נד אגד אזור 16/7 חתימת בנזין מיושן (MTBE/Benzene ≫10, toluene מדוכא).</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מזהם מוביל</w:t>
            </w:r>
          </w:p>
        </w:tc>
        <w:tc>
          <w:tcPr>
            <w:tcW w:type="dxa" w:w="1728"/>
          </w:tcPr>
          <w:p>
            <w:pPr>
              <w:bidi/>
              <w:jc w:val="both"/>
              <w:rPr>
                <w:rtl/>
              </w:rPr>
            </w:pPr>
            <w:r>
              <w:rPr>
                <w:b/>
                <w:rtl/>
                <w:rFonts w:cs="Arial"/>
                <w:lang w:bidi="he-IL"/>
              </w:rPr>
            </w:r>
            <w:r>
              <w:rPr>
                <w:b/>
                <w:rtl/>
                <w:rFonts w:cs="Arial"/>
                <w:lang w:bidi="he-IL"/>
              </w:rPr>
              <w:t>ריכוז אחרון (מקס' היסטורי)</w:t>
            </w:r>
          </w:p>
        </w:tc>
        <w:tc>
          <w:tcPr>
            <w:tcW w:type="dxa" w:w="1728"/>
          </w:tcPr>
          <w:p>
            <w:pPr>
              <w:bidi/>
              <w:jc w:val="both"/>
              <w:rPr>
                <w:rtl/>
              </w:rPr>
            </w:pPr>
            <w:r>
              <w:rPr>
                <w:b/>
                <w:rtl/>
                <w:rFonts w:cs="Arial"/>
                <w:lang w:bidi="he-IL"/>
              </w:rPr>
            </w:r>
            <w:r>
              <w:rPr>
                <w:b/>
                <w:rtl/>
                <w:rFonts w:cs="Arial"/>
                <w:lang w:bidi="he-IL"/>
              </w:rPr>
              <w:t>תאריך דיגום אחרון</w:t>
            </w:r>
          </w:p>
        </w:tc>
        <w:tc>
          <w:tcPr>
            <w:tcW w:type="dxa" w:w="1728"/>
          </w:tcPr>
          <w:p>
            <w:pPr>
              <w:bidi/>
              <w:jc w:val="both"/>
              <w:rPr>
                <w:rtl/>
              </w:rPr>
            </w:pPr>
            <w:r>
              <w:rPr>
                <w:b/>
                <w:rtl/>
                <w:rFonts w:cs="Arial"/>
                <w:lang w:bidi="he-IL"/>
              </w:rPr>
            </w:r>
            <w:r>
              <w:rPr>
                <w:b/>
                <w:rtl/>
                <w:rFonts w:cs="Arial"/>
                <w:lang w:bidi="he-IL"/>
              </w:rPr>
              <w:t>מגמה</w:t>
            </w:r>
          </w:p>
        </w:tc>
      </w:tr>
      <w:tr>
        <w:tc>
          <w:tcPr>
            <w:tcW w:type="dxa" w:w="1728"/>
          </w:tcPr>
          <w:p>
            <w:pPr>
              <w:bidi/>
              <w:jc w:val="both"/>
              <w:rPr>
                <w:rtl/>
              </w:rPr>
            </w:pPr>
            <w:r>
              <w:rPr>
                <w:rtl/>
                <w:rFonts w:cs="Arial"/>
                <w:lang w:bidi="he-IL"/>
              </w:rPr>
            </w:r>
            <w:r>
              <w:rPr>
                <w:rtl/>
                <w:rFonts w:cs="Arial"/>
                <w:lang w:bidi="he-IL"/>
              </w:rPr>
              <w:t>נד דלק מרכבות האש 1</w:t>
            </w:r>
          </w:p>
        </w:tc>
        <w:tc>
          <w:tcPr>
            <w:tcW w:type="dxa" w:w="1728"/>
          </w:tcPr>
          <w:p>
            <w:pPr>
              <w:bidi/>
              <w:jc w:val="both"/>
              <w:rPr>
                <w:rtl/>
              </w:rPr>
            </w:pPr>
            <w:r>
              <w:rPr>
                <w:rtl/>
                <w:rFonts w:cs="Arial"/>
                <w:lang w:bidi="he-IL"/>
              </w:rPr>
            </w:r>
            <w:r>
              <w:rPr>
                <w:rtl/>
                <w:rFonts w:cs="Arial"/>
                <w:lang w:bidi="he-IL"/>
              </w:rPr>
              <w:t>TBA / MTBE</w:t>
            </w:r>
          </w:p>
        </w:tc>
        <w:tc>
          <w:tcPr>
            <w:tcW w:type="dxa" w:w="1728"/>
          </w:tcPr>
          <w:p>
            <w:pPr>
              <w:bidi/>
              <w:jc w:val="both"/>
              <w:rPr>
                <w:rtl/>
              </w:rPr>
            </w:pPr>
            <w:r>
              <w:rPr>
                <w:rtl/>
                <w:rFonts w:cs="Arial"/>
                <w:lang w:bidi="he-IL"/>
              </w:rPr>
            </w:r>
            <w:r>
              <w:rPr>
                <w:rtl/>
                <w:rFonts w:cs="Arial"/>
                <w:lang w:bidi="he-IL"/>
              </w:rPr>
              <w:t>TBA 120,000 µg/L (שיא)</w:t>
            </w:r>
          </w:p>
        </w:tc>
        <w:tc>
          <w:tcPr>
            <w:tcW w:type="dxa" w:w="1728"/>
          </w:tcPr>
          <w:p>
            <w:pPr>
              <w:bidi/>
              <w:jc w:val="both"/>
              <w:rPr>
                <w:rtl/>
              </w:rPr>
            </w:pPr>
            <w:r>
              <w:rPr>
                <w:rtl/>
                <w:rFonts w:cs="Arial"/>
                <w:lang w:bidi="he-IL"/>
              </w:rPr>
            </w:r>
            <w:r>
              <w:rPr>
                <w:rtl/>
                <w:rFonts w:cs="Arial"/>
                <w:lang w:bidi="he-IL"/>
              </w:rPr>
              <w:t>מאי 2023</w:t>
            </w:r>
          </w:p>
        </w:tc>
        <w:tc>
          <w:tcPr>
            <w:tcW w:type="dxa" w:w="1728"/>
          </w:tcPr>
          <w:p>
            <w:pPr>
              <w:bidi/>
              <w:jc w:val="both"/>
              <w:rPr>
                <w:rtl/>
              </w:rPr>
            </w:pPr>
            <w:r>
              <w:rPr>
                <w:rtl/>
                <w:rFonts w:cs="Arial"/>
                <w:lang w:bidi="he-IL"/>
              </w:rPr>
            </w:r>
            <w:r>
              <w:rPr>
                <w:rtl/>
                <w:rFonts w:cs="Arial"/>
                <w:lang w:bidi="he-IL"/>
              </w:rPr>
              <w:t>"הר TBA"; LNAPL מתמשך</w:t>
            </w:r>
          </w:p>
        </w:tc>
      </w:tr>
      <w:tr>
        <w:tc>
          <w:tcPr>
            <w:tcW w:type="dxa" w:w="1728"/>
          </w:tcPr>
          <w:p>
            <w:pPr>
              <w:bidi/>
              <w:jc w:val="both"/>
              <w:rPr>
                <w:rtl/>
              </w:rPr>
            </w:pPr>
            <w:r>
              <w:rPr>
                <w:rtl/>
                <w:rFonts w:cs="Arial"/>
                <w:lang w:bidi="he-IL"/>
              </w:rPr>
            </w:r>
            <w:r>
              <w:rPr>
                <w:rtl/>
                <w:rFonts w:cs="Arial"/>
                <w:lang w:bidi="he-IL"/>
              </w:rPr>
              <w:t>נד מרכבות האש 9</w:t>
            </w:r>
          </w:p>
        </w:tc>
        <w:tc>
          <w:tcPr>
            <w:tcW w:type="dxa" w:w="1728"/>
          </w:tcPr>
          <w:p>
            <w:pPr>
              <w:bidi/>
              <w:jc w:val="both"/>
              <w:rPr>
                <w:rtl/>
              </w:rPr>
            </w:pPr>
            <w:r>
              <w:rPr>
                <w:rtl/>
                <w:rFonts w:cs="Arial"/>
                <w:lang w:bidi="he-IL"/>
              </w:rPr>
            </w:r>
            <w:r>
              <w:rPr>
                <w:rtl/>
                <w:rFonts w:cs="Arial"/>
                <w:lang w:bidi="he-IL"/>
              </w:rPr>
              <w:t>TBA / MTBE</w:t>
            </w:r>
          </w:p>
        </w:tc>
        <w:tc>
          <w:tcPr>
            <w:tcW w:type="dxa" w:w="1728"/>
          </w:tcPr>
          <w:p>
            <w:pPr>
              <w:bidi/>
              <w:jc w:val="both"/>
              <w:rPr>
                <w:rtl/>
              </w:rPr>
            </w:pPr>
            <w:r>
              <w:rPr>
                <w:rtl/>
                <w:rFonts w:cs="Arial"/>
                <w:lang w:bidi="he-IL"/>
              </w:rPr>
            </w:r>
            <w:r>
              <w:rPr>
                <w:rtl/>
                <w:rFonts w:cs="Arial"/>
                <w:lang w:bidi="he-IL"/>
              </w:rPr>
              <w:t>TBA 66,200 µg/L</w:t>
            </w:r>
          </w:p>
        </w:tc>
        <w:tc>
          <w:tcPr>
            <w:tcW w:type="dxa" w:w="1728"/>
          </w:tcPr>
          <w:p>
            <w:pPr>
              <w:bidi/>
              <w:jc w:val="both"/>
              <w:rPr>
                <w:rtl/>
              </w:rPr>
            </w:pPr>
            <w:r>
              <w:rPr>
                <w:rtl/>
                <w:rFonts w:cs="Arial"/>
                <w:lang w:bidi="he-IL"/>
              </w:rPr>
            </w:r>
            <w:r>
              <w:rPr>
                <w:rtl/>
                <w:rFonts w:cs="Arial"/>
                <w:lang w:bidi="he-IL"/>
              </w:rPr>
              <w:t>מאי 2023</w:t>
            </w:r>
          </w:p>
        </w:tc>
        <w:tc>
          <w:tcPr>
            <w:tcW w:type="dxa" w:w="1728"/>
          </w:tcPr>
          <w:p>
            <w:pPr>
              <w:bidi/>
              <w:jc w:val="both"/>
              <w:rPr>
                <w:rtl/>
              </w:rPr>
            </w:pPr>
            <w:r>
              <w:rPr>
                <w:rtl/>
                <w:rFonts w:cs="Arial"/>
                <w:lang w:bidi="he-IL"/>
              </w:rPr>
            </w:r>
            <w:r>
              <w:rPr>
                <w:rtl/>
                <w:rFonts w:cs="Arial"/>
                <w:lang w:bidi="he-IL"/>
              </w:rPr>
              <w:t>קו-מוגבר באשכול</w:t>
            </w:r>
          </w:p>
        </w:tc>
      </w:tr>
      <w:tr>
        <w:tc>
          <w:tcPr>
            <w:tcW w:type="dxa" w:w="1728"/>
          </w:tcPr>
          <w:p>
            <w:pPr>
              <w:bidi/>
              <w:jc w:val="both"/>
              <w:rPr>
                <w:rtl/>
              </w:rPr>
            </w:pPr>
            <w:r>
              <w:rPr>
                <w:rtl/>
                <w:rFonts w:cs="Arial"/>
                <w:lang w:bidi="he-IL"/>
              </w:rPr>
            </w:r>
            <w:r>
              <w:rPr>
                <w:rtl/>
                <w:rFonts w:cs="Arial"/>
                <w:lang w:bidi="he-IL"/>
              </w:rPr>
              <w:t>נד נובר מרכבה</w:t>
            </w:r>
          </w:p>
        </w:tc>
        <w:tc>
          <w:tcPr>
            <w:tcW w:type="dxa" w:w="1728"/>
          </w:tcPr>
          <w:p>
            <w:pPr>
              <w:bidi/>
              <w:jc w:val="both"/>
              <w:rPr>
                <w:rtl/>
              </w:rPr>
            </w:pPr>
            <w:r>
              <w:rPr>
                <w:rtl/>
                <w:rFonts w:cs="Arial"/>
                <w:lang w:bidi="he-IL"/>
              </w:rPr>
            </w:r>
            <w:r>
              <w:rPr>
                <w:rtl/>
                <w:rFonts w:cs="Arial"/>
                <w:lang w:bidi="he-IL"/>
              </w:rPr>
              <w:t>MTBE</w:t>
            </w:r>
          </w:p>
        </w:tc>
        <w:tc>
          <w:tcPr>
            <w:tcW w:type="dxa" w:w="1728"/>
          </w:tcPr>
          <w:p>
            <w:pPr>
              <w:bidi/>
              <w:jc w:val="both"/>
              <w:rPr>
                <w:rtl/>
              </w:rPr>
            </w:pPr>
            <w:r>
              <w:rPr>
                <w:rtl/>
                <w:rFonts w:cs="Arial"/>
                <w:lang w:bidi="he-IL"/>
              </w:rPr>
            </w:r>
            <w:r>
              <w:rPr>
                <w:rtl/>
                <w:rFonts w:cs="Arial"/>
                <w:lang w:bidi="he-IL"/>
              </w:rPr>
              <w:t>900 µg/L (2,250% מהתקן)</w:t>
            </w:r>
          </w:p>
        </w:tc>
        <w:tc>
          <w:tcPr>
            <w:tcW w:type="dxa" w:w="1728"/>
          </w:tcPr>
          <w:p>
            <w:pPr>
              <w:bidi/>
              <w:jc w:val="both"/>
              <w:rPr>
                <w:rtl/>
              </w:rPr>
            </w:pPr>
            <w:r>
              <w:rPr>
                <w:rtl/>
                <w:rFonts w:cs="Arial"/>
                <w:lang w:bidi="he-IL"/>
              </w:rPr>
            </w:r>
            <w:r>
              <w:rPr>
                <w:rtl/>
                <w:rFonts w:cs="Arial"/>
                <w:lang w:bidi="he-IL"/>
              </w:rPr>
              <w:t>מרץ 2020</w:t>
            </w:r>
          </w:p>
        </w:tc>
        <w:tc>
          <w:tcPr>
            <w:tcW w:type="dxa" w:w="1728"/>
          </w:tcPr>
          <w:p>
            <w:pPr>
              <w:bidi/>
              <w:jc w:val="both"/>
              <w:rPr>
                <w:rtl/>
              </w:rPr>
            </w:pPr>
            <w:r>
              <w:rPr>
                <w:rtl/>
                <w:rFonts w:cs="Arial"/>
                <w:lang w:bidi="he-IL"/>
              </w:rPr>
            </w:r>
            <w:r>
              <w:rPr>
                <w:rtl/>
                <w:rFonts w:cs="Arial"/>
                <w:lang w:bidi="he-IL"/>
              </w:rPr>
              <w:t>הופסק הניטור (~74 חודשים)</w:t>
            </w:r>
          </w:p>
        </w:tc>
      </w:tr>
    </w:tbl>
    <w:p>
      <w:pPr>
        <w:bidi/>
        <w:jc w:val="both"/>
        <w:rPr>
          <w:rtl/>
        </w:rPr>
      </w:pPr>
      <w:r>
        <w:rPr>
          <w:b/>
          <w:rtl/>
          <w:rFonts w:cs="Arial"/>
          <w:lang w:bidi="he-IL"/>
        </w:rPr>
        <w:t>קישור מנגנוני תוך-מוקדי</w:t>
      </w:r>
      <w:r>
        <w:rPr>
          <w:rtl/>
          <w:rFonts w:cs="Arial"/>
          <w:lang w:bidi="he-IL"/>
        </w:rPr>
        <w:t xml:space="preserve">: TBA כתוצר-קצה פירוק MTBE; LNAPL מתמשך מחזיק steady-state. </w:t>
      </w:r>
      <w:r>
        <w:rPr>
          <w:b/>
          <w:rtl/>
          <w:rFonts w:cs="Arial"/>
          <w:lang w:bidi="he-IL"/>
        </w:rPr>
        <w:t>אי-ודאות</w:t>
      </w:r>
      <w:r>
        <w:rPr>
          <w:rtl/>
          <w:rFonts w:cs="Arial"/>
          <w:lang w:bidi="he-IL"/>
        </w:rPr>
        <w:t>: TBA כתוצר-קצה רדום מול פירוק פעיל מתמשך (נדרש אצטון/HIBA, שאינם נמדדים); מצבו הנוכחי של נד נובר מרכבה לא ידוע עקב הפסקת ניטור ארוכה.</w:t>
      </w:r>
    </w:p>
    <w:p>
      <w:pPr>
        <w:bidi/>
        <w:pStyle w:val="Heading3"/>
        <w:jc w:val="both"/>
        <w:rPr>
          <w:rtl/>
        </w:rPr>
      </w:pPr>
      <w:r>
        <w:rPr>
          <w:rtl/>
          <w:rFonts w:cs="Arial"/>
          <w:lang w:bidi="he-IL"/>
        </w:rPr>
        <w:t>3.6 ציר קידוחי ההפקה — קולטני הקצה (מק חולון)</w:t>
      </w:r>
    </w:p>
    <w:p>
      <w:pPr>
        <w:bidi/>
        <w:jc w:val="both"/>
        <w:rPr>
          <w:rtl/>
        </w:rPr>
      </w:pPr>
      <w:r>
        <w:rPr>
          <w:b/>
          <w:rtl/>
          <w:rFonts w:cs="Arial"/>
          <w:lang w:bidi="he-IL"/>
        </w:rPr>
        <w:t>מיקום</w:t>
      </w:r>
      <w:r>
        <w:rPr>
          <w:rtl/>
          <w:rFonts w:cs="Arial"/>
          <w:lang w:bidi="he-IL"/>
        </w:rPr>
        <w:t xml:space="preserve">: מורד-זרימה דרום-מערבי (מק חולון 5/12/14), חברת מקורות. </w:t>
      </w:r>
      <w:r>
        <w:rPr>
          <w:b/>
          <w:rtl/>
          <w:rFonts w:cs="Arial"/>
          <w:lang w:bidi="he-IL"/>
        </w:rPr>
        <w:t>משפחה מובילה</w:t>
      </w:r>
      <w:r>
        <w:rPr>
          <w:rtl/>
          <w:rFonts w:cs="Arial"/>
          <w:lang w:bidi="he-IL"/>
        </w:rPr>
        <w:t>: CVOC נקלט מהליבה (אינדקס נוכחי 3). מוקד זה מובא לפני חזית הדיאוקסן (מוקד 3.7) חרף אינדקס נמוך יותר, מאחר שמדובר בקולטני מי-שתייה שחמישה מהם כבר נפסלו היסטורית — משקלם לבריאות הציבור גובר על אינדקס-החומרה הגולמי.</w:t>
      </w:r>
    </w:p>
    <w:p>
      <w:pPr>
        <w:bidi/>
        <w:jc w:val="both"/>
        <w:rPr>
          <w:rtl/>
        </w:rPr>
      </w:pPr>
      <w:r>
        <w:rPr>
          <w:rtl/>
          <w:rFonts w:cs="Arial"/>
          <w:lang w:bidi="he-IL"/>
        </w:rPr>
        <w:t xml:space="preserve">כיוון הזרימה SW והשקע ההידרולוגי המזרחי שואבים את הזיהום ממרכז חולון לכיוון קו ההפקה ובת-ים. </w:t>
      </w:r>
      <w:r>
        <w:rPr>
          <w:b/>
          <w:rtl/>
          <w:rFonts w:cs="Arial"/>
          <w:lang w:bidi="he-IL"/>
        </w:rPr>
        <w:t>חמישה קידוחי הפקה נפסלו היסטורית</w:t>
      </w:r>
      <w:r>
        <w:rPr>
          <w:rtl/>
          <w:rFonts w:cs="Arial"/>
          <w:lang w:bidi="he-IL"/>
        </w:rPr>
        <w:t>: מק חולון 7 (VOC, 2007), מק חולון 8 (כרום 1986 + VOC 2004; מתוכנן כקידוח שיקום למוקד תדירגן), מק חולון 21 (VOC, 2002), מק חולון 15 (CCl₄, 1996), מק חולון 13 (דטרגנטים, 1985) — עדות היסטורית שהפלומות אכן מגיעות לקולטנים.</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מזהם מוביל</w:t>
            </w:r>
          </w:p>
        </w:tc>
        <w:tc>
          <w:tcPr>
            <w:tcW w:type="dxa" w:w="1728"/>
          </w:tcPr>
          <w:p>
            <w:pPr>
              <w:bidi/>
              <w:jc w:val="both"/>
              <w:rPr>
                <w:rtl/>
              </w:rPr>
            </w:pPr>
            <w:r>
              <w:rPr>
                <w:b/>
                <w:rtl/>
                <w:rFonts w:cs="Arial"/>
                <w:lang w:bidi="he-IL"/>
              </w:rPr>
            </w:r>
            <w:r>
              <w:rPr>
                <w:b/>
                <w:rtl/>
                <w:rFonts w:cs="Arial"/>
                <w:lang w:bidi="he-IL"/>
              </w:rPr>
              <w:t>ריכוז אחרון (מקס' היסטורי)</w:t>
            </w:r>
          </w:p>
        </w:tc>
        <w:tc>
          <w:tcPr>
            <w:tcW w:type="dxa" w:w="1728"/>
          </w:tcPr>
          <w:p>
            <w:pPr>
              <w:bidi/>
              <w:jc w:val="both"/>
              <w:rPr>
                <w:rtl/>
              </w:rPr>
            </w:pPr>
            <w:r>
              <w:rPr>
                <w:b/>
                <w:rtl/>
                <w:rFonts w:cs="Arial"/>
                <w:lang w:bidi="he-IL"/>
              </w:rPr>
            </w:r>
            <w:r>
              <w:rPr>
                <w:b/>
                <w:rtl/>
                <w:rFonts w:cs="Arial"/>
                <w:lang w:bidi="he-IL"/>
              </w:rPr>
              <w:t>תאריך דיגום אחרון</w:t>
            </w:r>
          </w:p>
        </w:tc>
        <w:tc>
          <w:tcPr>
            <w:tcW w:type="dxa" w:w="1728"/>
          </w:tcPr>
          <w:p>
            <w:pPr>
              <w:bidi/>
              <w:jc w:val="both"/>
              <w:rPr>
                <w:rtl/>
              </w:rPr>
            </w:pPr>
            <w:r>
              <w:rPr>
                <w:b/>
                <w:rtl/>
                <w:rFonts w:cs="Arial"/>
                <w:lang w:bidi="he-IL"/>
              </w:rPr>
            </w:r>
            <w:r>
              <w:rPr>
                <w:b/>
                <w:rtl/>
                <w:rFonts w:cs="Arial"/>
                <w:lang w:bidi="he-IL"/>
              </w:rPr>
              <w:t>מגמה</w:t>
            </w:r>
          </w:p>
        </w:tc>
      </w:tr>
      <w:tr>
        <w:tc>
          <w:tcPr>
            <w:tcW w:type="dxa" w:w="1728"/>
          </w:tcPr>
          <w:p>
            <w:pPr>
              <w:bidi/>
              <w:jc w:val="both"/>
              <w:rPr>
                <w:rtl/>
              </w:rPr>
            </w:pPr>
            <w:r>
              <w:rPr>
                <w:rtl/>
                <w:rFonts w:cs="Arial"/>
                <w:lang w:bidi="he-IL"/>
              </w:rPr>
            </w:r>
            <w:r>
              <w:rPr>
                <w:rtl/>
                <w:rFonts w:cs="Arial"/>
                <w:lang w:bidi="he-IL"/>
              </w:rPr>
              <w:t>מק חולון 14</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6.64 µg/L (88.5% מהתקן)</w:t>
            </w:r>
          </w:p>
        </w:tc>
        <w:tc>
          <w:tcPr>
            <w:tcW w:type="dxa" w:w="1728"/>
          </w:tcPr>
          <w:p>
            <w:pPr>
              <w:bidi/>
              <w:jc w:val="both"/>
              <w:rPr>
                <w:rtl/>
              </w:rPr>
            </w:pPr>
            <w:r>
              <w:rPr>
                <w:rtl/>
                <w:rFonts w:cs="Arial"/>
                <w:lang w:bidi="he-IL"/>
              </w:rPr>
            </w:r>
            <w:r>
              <w:rPr>
                <w:rtl/>
                <w:rFonts w:cs="Arial"/>
                <w:lang w:bidi="he-IL"/>
              </w:rPr>
              <w:t>נובמבר 2025</w:t>
            </w:r>
          </w:p>
        </w:tc>
        <w:tc>
          <w:tcPr>
            <w:tcW w:type="dxa" w:w="1728"/>
          </w:tcPr>
          <w:p>
            <w:pPr>
              <w:bidi/>
              <w:jc w:val="both"/>
              <w:rPr>
                <w:rtl/>
              </w:rPr>
            </w:pPr>
            <w:r>
              <w:rPr>
                <w:rtl/>
                <w:rFonts w:cs="Arial"/>
                <w:lang w:bidi="he-IL"/>
              </w:rPr>
            </w:r>
            <w:r>
              <w:rPr>
                <w:rtl/>
                <w:rFonts w:cs="Arial"/>
                <w:lang w:bidi="he-IL"/>
              </w:rPr>
              <w:t>קרוב לתקן; ניטרט וארסן עולים</w:t>
            </w:r>
          </w:p>
        </w:tc>
      </w:tr>
      <w:tr>
        <w:tc>
          <w:tcPr>
            <w:tcW w:type="dxa" w:w="1728"/>
          </w:tcPr>
          <w:p>
            <w:pPr>
              <w:bidi/>
              <w:jc w:val="both"/>
              <w:rPr>
                <w:rtl/>
              </w:rPr>
            </w:pPr>
            <w:r>
              <w:rPr>
                <w:rtl/>
                <w:rFonts w:cs="Arial"/>
                <w:lang w:bidi="he-IL"/>
              </w:rPr>
            </w:r>
            <w:r>
              <w:rPr>
                <w:rtl/>
                <w:rFonts w:cs="Arial"/>
                <w:lang w:bidi="he-IL"/>
              </w:rPr>
              <w:t>מק חולון 12</w:t>
            </w:r>
          </w:p>
        </w:tc>
        <w:tc>
          <w:tcPr>
            <w:tcW w:type="dxa" w:w="1728"/>
          </w:tcPr>
          <w:p>
            <w:pPr>
              <w:bidi/>
              <w:jc w:val="both"/>
              <w:rPr>
                <w:rtl/>
              </w:rPr>
            </w:pPr>
            <w:r>
              <w:rPr>
                <w:rtl/>
                <w:rFonts w:cs="Arial"/>
                <w:lang w:bidi="he-IL"/>
              </w:rPr>
            </w:r>
            <w:r>
              <w:rPr>
                <w:rtl/>
                <w:rFonts w:cs="Arial"/>
                <w:lang w:bidi="he-IL"/>
              </w:rPr>
              <w:t>כלוריד</w:t>
            </w:r>
          </w:p>
        </w:tc>
        <w:tc>
          <w:tcPr>
            <w:tcW w:type="dxa" w:w="1728"/>
          </w:tcPr>
          <w:p>
            <w:pPr>
              <w:bidi/>
              <w:jc w:val="both"/>
              <w:rPr>
                <w:rtl/>
              </w:rPr>
            </w:pPr>
            <w:r>
              <w:rPr>
                <w:rtl/>
                <w:rFonts w:cs="Arial"/>
                <w:lang w:bidi="he-IL"/>
              </w:rPr>
            </w:r>
            <w:r>
              <w:rPr>
                <w:rtl/>
                <w:rFonts w:cs="Arial"/>
                <w:lang w:bidi="he-IL"/>
              </w:rPr>
              <w:t>247 mg/L (61.8% מהתקן)</w:t>
            </w:r>
          </w:p>
        </w:tc>
        <w:tc>
          <w:tcPr>
            <w:tcW w:type="dxa" w:w="1728"/>
          </w:tcPr>
          <w:p>
            <w:pPr>
              <w:bidi/>
              <w:jc w:val="both"/>
              <w:rPr>
                <w:rtl/>
              </w:rPr>
            </w:pPr>
            <w:r>
              <w:rPr>
                <w:rtl/>
                <w:rFonts w:cs="Arial"/>
                <w:lang w:bidi="he-IL"/>
              </w:rPr>
            </w:r>
            <w:r>
              <w:rPr>
                <w:rtl/>
                <w:rFonts w:cs="Arial"/>
                <w:lang w:bidi="he-IL"/>
              </w:rPr>
              <w:t>אפריל 2025</w:t>
            </w:r>
          </w:p>
        </w:tc>
        <w:tc>
          <w:tcPr>
            <w:tcW w:type="dxa" w:w="1728"/>
          </w:tcPr>
          <w:p>
            <w:pPr>
              <w:bidi/>
              <w:jc w:val="both"/>
              <w:rPr>
                <w:rtl/>
              </w:rPr>
            </w:pPr>
            <w:r>
              <w:rPr>
                <w:rtl/>
                <w:rFonts w:cs="Arial"/>
                <w:lang w:bidi="he-IL"/>
              </w:rPr>
            </w:r>
            <w:r>
              <w:rPr>
                <w:rtl/>
                <w:rFonts w:cs="Arial"/>
                <w:lang w:bidi="he-IL"/>
              </w:rPr>
              <w:t>כלוריד עולה (z=2.20, p=0.027); VOC = 0</w:t>
            </w:r>
          </w:p>
        </w:tc>
      </w:tr>
      <w:tr>
        <w:tc>
          <w:tcPr>
            <w:tcW w:type="dxa" w:w="1728"/>
          </w:tcPr>
          <w:p>
            <w:pPr>
              <w:bidi/>
              <w:jc w:val="both"/>
              <w:rPr>
                <w:rtl/>
              </w:rPr>
            </w:pPr>
            <w:r>
              <w:rPr>
                <w:rtl/>
                <w:rFonts w:cs="Arial"/>
                <w:lang w:bidi="he-IL"/>
              </w:rPr>
            </w:r>
            <w:r>
              <w:rPr>
                <w:rtl/>
                <w:rFonts w:cs="Arial"/>
                <w:lang w:bidi="he-IL"/>
              </w:rPr>
              <w:t>מק חולון 7/8/21/15/13</w:t>
            </w:r>
          </w:p>
        </w:tc>
        <w:tc>
          <w:tcPr>
            <w:tcW w:type="dxa" w:w="1728"/>
          </w:tcPr>
          <w:p>
            <w:pPr>
              <w:bidi/>
              <w:jc w:val="both"/>
              <w:rPr>
                <w:rtl/>
              </w:rPr>
            </w:pPr>
            <w:r>
              <w:rPr>
                <w:rtl/>
                <w:rFonts w:cs="Arial"/>
                <w:lang w:bidi="he-IL"/>
              </w:rPr>
            </w:r>
            <w:r>
              <w:rPr>
                <w:rtl/>
                <w:rFonts w:cs="Arial"/>
                <w:lang w:bidi="he-IL"/>
              </w:rPr>
              <w:t>(נפסלו)</w:t>
            </w:r>
          </w:p>
        </w:tc>
        <w:tc>
          <w:tcPr>
            <w:tcW w:type="dxa" w:w="1728"/>
          </w:tcPr>
          <w:p>
            <w:pPr>
              <w:bidi/>
              <w:jc w:val="both"/>
              <w:rPr>
                <w:rtl/>
              </w:rPr>
            </w:pPr>
            <w:r>
              <w:rPr>
                <w:rtl/>
                <w:rFonts w:cs="Arial"/>
                <w:lang w:bidi="he-IL"/>
              </w:rPr>
            </w:r>
            <w:r>
              <w:rPr>
                <w:rtl/>
                <w:rFonts w:cs="Arial"/>
                <w:lang w:bidi="he-IL"/>
              </w:rPr>
              <w:t>—</w:t>
            </w:r>
          </w:p>
        </w:tc>
        <w:tc>
          <w:tcPr>
            <w:tcW w:type="dxa" w:w="1728"/>
          </w:tcPr>
          <w:p>
            <w:pPr>
              <w:bidi/>
              <w:jc w:val="both"/>
              <w:rPr>
                <w:rtl/>
              </w:rPr>
            </w:pPr>
            <w:r>
              <w:rPr>
                <w:rtl/>
                <w:rFonts w:cs="Arial"/>
                <w:lang w:bidi="he-IL"/>
              </w:rPr>
            </w:r>
            <w:r>
              <w:rPr>
                <w:rtl/>
                <w:rFonts w:cs="Arial"/>
                <w:lang w:bidi="he-IL"/>
              </w:rPr>
              <w:t>היסטורי</w:t>
            </w:r>
          </w:p>
        </w:tc>
        <w:tc>
          <w:tcPr>
            <w:tcW w:type="dxa" w:w="1728"/>
          </w:tcPr>
          <w:p>
            <w:pPr>
              <w:bidi/>
              <w:jc w:val="both"/>
              <w:rPr>
                <w:rtl/>
              </w:rPr>
            </w:pPr>
            <w:r>
              <w:rPr>
                <w:rtl/>
                <w:rFonts w:cs="Arial"/>
                <w:lang w:bidi="he-IL"/>
              </w:rPr>
            </w:r>
            <w:r>
              <w:rPr>
                <w:rtl/>
                <w:rFonts w:cs="Arial"/>
                <w:lang w:bidi="he-IL"/>
              </w:rPr>
              <w:t>פסולים לאספקת מי שתייה</w:t>
            </w:r>
          </w:p>
        </w:tc>
      </w:tr>
    </w:tbl>
    <w:p>
      <w:pPr>
        <w:bidi/>
        <w:jc w:val="both"/>
        <w:rPr>
          <w:rtl/>
        </w:rPr>
      </w:pPr>
      <w:r>
        <w:rPr>
          <w:b/>
          <w:rtl/>
          <w:rFonts w:cs="Arial"/>
          <w:lang w:bidi="he-IL"/>
        </w:rPr>
        <w:t>ניתוח פורנזי — קולטני הקצה</w:t>
      </w:r>
      <w:r>
        <w:rPr>
          <w:rtl/>
          <w:rFonts w:cs="Arial"/>
          <w:lang w:bidi="he-IL"/>
        </w:rPr>
        <w:t xml:space="preserve">. מק חולון 14 הוא קו-החזית הנוכחי: TCE 88.5% מהתקן (מתחת לתקן אך קרוב), בעוד השיא ההיסטורי חרג (127% מהתקן), עם מגמות עולות בניטרט, ארסן, סידן וקושי. TCE ו-dichloromethane חד-משמעית אנתרופוגניים — הקידוח מנקז פלומה מתקרבת מאשכול הציפוי ההיסטורי במעלה. </w:t>
      </w:r>
      <w:r>
        <w:rPr>
          <w:b/>
          <w:rtl/>
          <w:rFonts w:cs="Arial"/>
          <w:lang w:bidi="he-IL"/>
        </w:rPr>
        <w:t>רמת ודאות לשיוך לפלומת הליבה: בינונית</w:t>
      </w:r>
      <w:r>
        <w:rPr>
          <w:rtl/>
          <w:rFonts w:cs="Arial"/>
          <w:lang w:bidi="he-IL"/>
        </w:rPr>
        <w:t xml:space="preserve"> (חלופות: מקור מקומי קרוב יותר, או עליית קושי/ניטרט גאוגנית-נפרדת). ב-מק חולון 12 כל ה-VOC ב-0 וה-PFAS שנדגם ללא גילוי, אך הכלוריד עולה — שאלה פתוחה בין חדירת מי-ים (אקוויפר חוף), הזרמת מליחות תעשייתית, וריכוז עקב שאיבה; </w:t>
      </w:r>
      <w:r>
        <w:rPr>
          <w:b/>
          <w:rtl/>
          <w:rFonts w:cs="Arial"/>
          <w:lang w:bidi="he-IL"/>
        </w:rPr>
        <w:t>רמת ודאות לשיוך תעשייתי: נמוכה</w:t>
      </w:r>
      <w:r>
        <w:rPr>
          <w:rtl/>
          <w:rFonts w:cs="Arial"/>
          <w:lang w:bidi="he-IL"/>
        </w:rPr>
        <w:t xml:space="preserve">. מק חולון 5 (לא בנתוני הניטור הנוכחיים) מתואר בדוחות כקידוח שאיבה פעיל בלחץ כפול — Ni מרימטל וחזית פלומת בהק (CVOC) שהגיעה אליו ב-2009; </w:t>
      </w:r>
      <w:r>
        <w:rPr>
          <w:b/>
          <w:rtl/>
          <w:rFonts w:cs="Arial"/>
          <w:lang w:bidi="he-IL"/>
        </w:rPr>
        <w:t>רמת ודאות: בינונית</w:t>
      </w:r>
      <w:r>
        <w:rPr>
          <w:rtl/>
          <w:rFonts w:cs="Arial"/>
          <w:lang w:bidi="he-IL"/>
        </w:rPr>
        <w:t>.</w:t>
      </w:r>
    </w:p>
    <w:p>
      <w:pPr>
        <w:bidi/>
        <w:jc w:val="both"/>
        <w:rPr>
          <w:rtl/>
        </w:rPr>
      </w:pPr>
      <w:r>
        <w:rPr>
          <w:b/>
          <w:rtl/>
          <w:rFonts w:cs="Arial"/>
          <w:lang w:bidi="he-IL"/>
        </w:rPr>
        <w:t>הבחנה קריטית</w:t>
      </w:r>
      <w:r>
        <w:rPr>
          <w:rtl/>
          <w:rFonts w:cs="Arial"/>
          <w:lang w:bidi="he-IL"/>
        </w:rPr>
        <w:t>: יש להפריד בין שיא היסטורי (מק חולון 14 חרג בעבר), שיא בחלון 5 שנים, וערך עדכני (כיום מתחת לתקן). מק חולון 14 הוא ממצא בעל משמעות לבריאות הציבור — קרוב-לתקן עם מגמה עולה, לא חורג נוכחי.</w:t>
      </w:r>
    </w:p>
    <w:p>
      <w:pPr>
        <w:bidi/>
        <w:pStyle w:val="Heading3"/>
        <w:jc w:val="both"/>
        <w:rPr>
          <w:rtl/>
        </w:rPr>
      </w:pPr>
      <w:r>
        <w:rPr>
          <w:rtl/>
          <w:rFonts w:cs="Arial"/>
          <w:lang w:bidi="he-IL"/>
        </w:rPr>
        <w:t>3.7 חזית 1,4-dioxane הדרומית-חקלאית</w:t>
      </w:r>
    </w:p>
    <w:p>
      <w:pPr>
        <w:bidi/>
        <w:jc w:val="both"/>
        <w:rPr>
          <w:rtl/>
        </w:rPr>
      </w:pPr>
      <w:r>
        <w:rPr>
          <w:b/>
          <w:rtl/>
          <w:rFonts w:cs="Arial"/>
          <w:lang w:bidi="he-IL"/>
        </w:rPr>
        <w:t>מיקום</w:t>
      </w:r>
      <w:r>
        <w:rPr>
          <w:rtl/>
          <w:rFonts w:cs="Arial"/>
          <w:lang w:bidi="he-IL"/>
        </w:rPr>
        <w:t xml:space="preserve">: שולי דרום-מערב, אזור חקלאי. </w:t>
      </w:r>
      <w:r>
        <w:rPr>
          <w:b/>
          <w:rtl/>
          <w:rFonts w:cs="Arial"/>
          <w:lang w:bidi="he-IL"/>
        </w:rPr>
        <w:t>משפחה מובילה</w:t>
      </w:r>
      <w:r>
        <w:rPr>
          <w:rtl/>
          <w:rFonts w:cs="Arial"/>
          <w:lang w:bidi="he-IL"/>
        </w:rPr>
        <w:t>: EMERGING (1,4-dioxane, אינדקס 4).</w:t>
      </w:r>
    </w:p>
    <w:p>
      <w:pPr>
        <w:bidi/>
        <w:jc w:val="both"/>
        <w:rPr>
          <w:rtl/>
        </w:rPr>
      </w:pPr>
      <w:r>
        <w:rPr>
          <w:rtl/>
          <w:rFonts w:cs="Arial"/>
          <w:lang w:bidi="he-IL"/>
        </w:rPr>
        <w:t>הדיאוקסן הוא סמן-הובלה — נייד ועמיד יותר מהממס האב — ולכן הופעתו בקידוחים החקלאיים מסמנת שחזית הפלומה התעשייתית (מוקד 3.1) מתקדמת דרומה-מערבה ומגיעה לשולי האזור החקלאי. זהו ממצא נוכחי (2026), לא היסטורי.</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מזהם מוביל</w:t>
            </w:r>
          </w:p>
        </w:tc>
        <w:tc>
          <w:tcPr>
            <w:tcW w:type="dxa" w:w="1728"/>
          </w:tcPr>
          <w:p>
            <w:pPr>
              <w:bidi/>
              <w:jc w:val="both"/>
              <w:rPr>
                <w:rtl/>
              </w:rPr>
            </w:pPr>
            <w:r>
              <w:rPr>
                <w:b/>
                <w:rtl/>
                <w:rFonts w:cs="Arial"/>
                <w:lang w:bidi="he-IL"/>
              </w:rPr>
            </w:r>
            <w:r>
              <w:rPr>
                <w:b/>
                <w:rtl/>
                <w:rFonts w:cs="Arial"/>
                <w:lang w:bidi="he-IL"/>
              </w:rPr>
              <w:t>ריכוז אחרון (מקס' היסטורי)</w:t>
            </w:r>
          </w:p>
        </w:tc>
        <w:tc>
          <w:tcPr>
            <w:tcW w:type="dxa" w:w="1728"/>
          </w:tcPr>
          <w:p>
            <w:pPr>
              <w:bidi/>
              <w:jc w:val="both"/>
              <w:rPr>
                <w:rtl/>
              </w:rPr>
            </w:pPr>
            <w:r>
              <w:rPr>
                <w:b/>
                <w:rtl/>
                <w:rFonts w:cs="Arial"/>
                <w:lang w:bidi="he-IL"/>
              </w:rPr>
            </w:r>
            <w:r>
              <w:rPr>
                <w:b/>
                <w:rtl/>
                <w:rFonts w:cs="Arial"/>
                <w:lang w:bidi="he-IL"/>
              </w:rPr>
              <w:t>תאריך דיגום אחרון</w:t>
            </w:r>
          </w:p>
        </w:tc>
        <w:tc>
          <w:tcPr>
            <w:tcW w:type="dxa" w:w="1728"/>
          </w:tcPr>
          <w:p>
            <w:pPr>
              <w:bidi/>
              <w:jc w:val="both"/>
              <w:rPr>
                <w:rtl/>
              </w:rPr>
            </w:pPr>
            <w:r>
              <w:rPr>
                <w:b/>
                <w:rtl/>
                <w:rFonts w:cs="Arial"/>
                <w:lang w:bidi="he-IL"/>
              </w:rPr>
            </w:r>
            <w:r>
              <w:rPr>
                <w:b/>
                <w:rtl/>
                <w:rFonts w:cs="Arial"/>
                <w:lang w:bidi="he-IL"/>
              </w:rPr>
              <w:t>מגמה</w:t>
            </w:r>
          </w:p>
        </w:tc>
      </w:tr>
      <w:tr>
        <w:tc>
          <w:tcPr>
            <w:tcW w:type="dxa" w:w="1728"/>
          </w:tcPr>
          <w:p>
            <w:pPr>
              <w:bidi/>
              <w:jc w:val="both"/>
              <w:rPr>
                <w:rtl/>
              </w:rPr>
            </w:pPr>
            <w:r>
              <w:rPr>
                <w:rtl/>
                <w:rFonts w:cs="Arial"/>
                <w:lang w:bidi="he-IL"/>
              </w:rPr>
            </w:r>
            <w:r>
              <w:rPr>
                <w:rtl/>
                <w:rFonts w:cs="Arial"/>
                <w:lang w:bidi="he-IL"/>
              </w:rPr>
              <w:t>נת חווה חקלאית א</w:t>
            </w:r>
          </w:p>
        </w:tc>
        <w:tc>
          <w:tcPr>
            <w:tcW w:type="dxa" w:w="1728"/>
          </w:tcPr>
          <w:p>
            <w:pPr>
              <w:bidi/>
              <w:jc w:val="both"/>
              <w:rPr>
                <w:rtl/>
              </w:rPr>
            </w:pPr>
            <w:r>
              <w:rPr>
                <w:rtl/>
                <w:rFonts w:cs="Arial"/>
                <w:lang w:bidi="he-IL"/>
              </w:rPr>
            </w:r>
            <w:r>
              <w:rPr>
                <w:rtl/>
                <w:rFonts w:cs="Arial"/>
                <w:lang w:bidi="he-IL"/>
              </w:rPr>
              <w:t>1,4-dioxane</w:t>
            </w:r>
          </w:p>
        </w:tc>
        <w:tc>
          <w:tcPr>
            <w:tcW w:type="dxa" w:w="1728"/>
          </w:tcPr>
          <w:p>
            <w:pPr>
              <w:bidi/>
              <w:jc w:val="both"/>
              <w:rPr>
                <w:rtl/>
              </w:rPr>
            </w:pPr>
            <w:r>
              <w:rPr>
                <w:rtl/>
                <w:rFonts w:cs="Arial"/>
                <w:lang w:bidi="he-IL"/>
              </w:rPr>
            </w:r>
            <w:r>
              <w:rPr>
                <w:rtl/>
                <w:rFonts w:cs="Arial"/>
                <w:lang w:bidi="he-IL"/>
              </w:rPr>
              <w:t>1,293% מהתקן (אינדקס 4)</w:t>
            </w:r>
          </w:p>
        </w:tc>
        <w:tc>
          <w:tcPr>
            <w:tcW w:type="dxa" w:w="1728"/>
          </w:tcPr>
          <w:p>
            <w:pPr>
              <w:bidi/>
              <w:jc w:val="both"/>
              <w:rPr>
                <w:rtl/>
              </w:rPr>
            </w:pPr>
            <w:r>
              <w:rPr>
                <w:rtl/>
                <w:rFonts w:cs="Arial"/>
                <w:lang w:bidi="he-IL"/>
              </w:rPr>
            </w:r>
            <w:r>
              <w:rPr>
                <w:rtl/>
                <w:rFonts w:cs="Arial"/>
                <w:lang w:bidi="he-IL"/>
              </w:rPr>
              <w:t>פברואר 2026</w:t>
            </w:r>
          </w:p>
        </w:tc>
        <w:tc>
          <w:tcPr>
            <w:tcW w:type="dxa" w:w="1728"/>
          </w:tcPr>
          <w:p>
            <w:pPr>
              <w:bidi/>
              <w:jc w:val="both"/>
              <w:rPr>
                <w:rtl/>
              </w:rPr>
            </w:pPr>
            <w:r>
              <w:rPr>
                <w:rtl/>
                <w:rFonts w:cs="Arial"/>
                <w:lang w:bidi="he-IL"/>
              </w:rPr>
            </w:r>
            <w:r>
              <w:rPr>
                <w:rtl/>
                <w:rFonts w:cs="Arial"/>
                <w:lang w:bidi="he-IL"/>
              </w:rPr>
              <w:t>חזית מתקדמת</w:t>
            </w:r>
          </w:p>
        </w:tc>
      </w:tr>
      <w:tr>
        <w:tc>
          <w:tcPr>
            <w:tcW w:type="dxa" w:w="1728"/>
          </w:tcPr>
          <w:p>
            <w:pPr>
              <w:bidi/>
              <w:jc w:val="both"/>
              <w:rPr>
                <w:rtl/>
              </w:rPr>
            </w:pPr>
            <w:r>
              <w:rPr>
                <w:rtl/>
                <w:rFonts w:cs="Arial"/>
                <w:lang w:bidi="he-IL"/>
              </w:rPr>
            </w:r>
            <w:r>
              <w:rPr>
                <w:rtl/>
                <w:rFonts w:cs="Arial"/>
                <w:lang w:bidi="he-IL"/>
              </w:rPr>
              <w:t>נת חווה חקלאית ב</w:t>
            </w:r>
          </w:p>
        </w:tc>
        <w:tc>
          <w:tcPr>
            <w:tcW w:type="dxa" w:w="1728"/>
          </w:tcPr>
          <w:p>
            <w:pPr>
              <w:bidi/>
              <w:jc w:val="both"/>
              <w:rPr>
                <w:rtl/>
              </w:rPr>
            </w:pPr>
            <w:r>
              <w:rPr>
                <w:rtl/>
                <w:rFonts w:cs="Arial"/>
                <w:lang w:bidi="he-IL"/>
              </w:rPr>
            </w:r>
            <w:r>
              <w:rPr>
                <w:rtl/>
                <w:rFonts w:cs="Arial"/>
                <w:lang w:bidi="he-IL"/>
              </w:rPr>
              <w:t>1,4-dioxane</w:t>
            </w:r>
          </w:p>
        </w:tc>
        <w:tc>
          <w:tcPr>
            <w:tcW w:type="dxa" w:w="1728"/>
          </w:tcPr>
          <w:p>
            <w:pPr>
              <w:bidi/>
              <w:jc w:val="both"/>
              <w:rPr>
                <w:rtl/>
              </w:rPr>
            </w:pPr>
            <w:r>
              <w:rPr>
                <w:rtl/>
                <w:rFonts w:cs="Arial"/>
                <w:lang w:bidi="he-IL"/>
              </w:rPr>
            </w:r>
            <w:r>
              <w:rPr>
                <w:rtl/>
                <w:rFonts w:cs="Arial"/>
                <w:lang w:bidi="he-IL"/>
              </w:rPr>
              <w:t>217% מהתקן</w:t>
            </w:r>
          </w:p>
        </w:tc>
        <w:tc>
          <w:tcPr>
            <w:tcW w:type="dxa" w:w="1728"/>
          </w:tcPr>
          <w:p>
            <w:pPr>
              <w:bidi/>
              <w:jc w:val="both"/>
              <w:rPr>
                <w:rtl/>
              </w:rPr>
            </w:pPr>
            <w:r>
              <w:rPr>
                <w:rtl/>
                <w:rFonts w:cs="Arial"/>
                <w:lang w:bidi="he-IL"/>
              </w:rPr>
            </w:r>
            <w:r>
              <w:rPr>
                <w:rtl/>
                <w:rFonts w:cs="Arial"/>
                <w:lang w:bidi="he-IL"/>
              </w:rPr>
              <w:t>פברואר 2026</w:t>
            </w:r>
          </w:p>
        </w:tc>
        <w:tc>
          <w:tcPr>
            <w:tcW w:type="dxa" w:w="1728"/>
          </w:tcPr>
          <w:p>
            <w:pPr>
              <w:bidi/>
              <w:jc w:val="both"/>
              <w:rPr>
                <w:rtl/>
              </w:rPr>
            </w:pPr>
            <w:r>
              <w:rPr>
                <w:rtl/>
                <w:rFonts w:cs="Arial"/>
                <w:lang w:bidi="he-IL"/>
              </w:rPr>
            </w:r>
            <w:r>
              <w:rPr>
                <w:rtl/>
                <w:rFonts w:cs="Arial"/>
                <w:lang w:bidi="he-IL"/>
              </w:rPr>
              <w:t>חזית מתקדמת</w:t>
            </w:r>
          </w:p>
        </w:tc>
      </w:tr>
    </w:tbl>
    <w:p>
      <w:pPr>
        <w:bidi/>
        <w:jc w:val="both"/>
        <w:rPr>
          <w:rtl/>
        </w:rPr>
      </w:pPr>
      <w:r>
        <w:rPr>
          <w:b/>
          <w:rtl/>
          <w:rFonts w:cs="Arial"/>
          <w:lang w:bidi="he-IL"/>
        </w:rPr>
        <w:t>קישור מנגנוני (חציית סיגנל)</w:t>
      </w:r>
      <w:r>
        <w:rPr>
          <w:rtl/>
          <w:rFonts w:cs="Arial"/>
          <w:lang w:bidi="he-IL"/>
        </w:rPr>
        <w:t xml:space="preserve">: סמן-הובלה הנובע מהליבה (מוקד 3.1) — מקור במעלה-הגרדינט. </w:t>
      </w:r>
      <w:r>
        <w:rPr>
          <w:b/>
          <w:rtl/>
          <w:rFonts w:cs="Arial"/>
          <w:lang w:bidi="he-IL"/>
        </w:rPr>
        <w:t>אי-ודאות</w:t>
      </w:r>
      <w:r>
        <w:rPr>
          <w:rtl/>
          <w:rFonts w:cs="Arial"/>
          <w:lang w:bidi="he-IL"/>
        </w:rPr>
        <w:t>: האם הדיאוקסן מקורו אך ורק בפלומת הליבה, או שיש מקור דיאוקסן ישיר מקומי (טקסטיל/חקלאות); והאם הפלומה כבר מגיעה לבארות שאיבה חקלאיות/הפקה.</w:t>
      </w:r>
    </w:p>
    <w:p>
      <w:pPr>
        <w:bidi/>
        <w:pStyle w:val="Heading3"/>
        <w:jc w:val="both"/>
        <w:rPr>
          <w:rtl/>
        </w:rPr>
      </w:pPr>
      <w:r>
        <w:rPr>
          <w:rtl/>
          <w:rFonts w:cs="Arial"/>
          <w:lang w:bidi="he-IL"/>
        </w:rPr>
        <w:t>3.8 פערי כיסוי — PFAS ופערים מבניים</w:t>
      </w:r>
    </w:p>
    <w:p>
      <w:pPr>
        <w:bidi/>
        <w:jc w:val="both"/>
        <w:rPr>
          <w:rtl/>
        </w:rPr>
      </w:pPr>
      <w:r>
        <w:rPr>
          <w:b/>
          <w:rtl/>
          <w:rFonts w:cs="Arial"/>
          <w:lang w:bidi="he-IL"/>
        </w:rPr>
        <w:t>PFAS — פער כלל-אזורי ומכריע</w:t>
      </w:r>
      <w:r>
        <w:rPr>
          <w:rtl/>
          <w:rFonts w:cs="Arial"/>
          <w:lang w:bidi="he-IL"/>
        </w:rPr>
        <w:t>. רק 4 מתוך 111 הקידוחים נדגמו ל-PFAS (3.6%), כולם ללא גילוי: מק חולון 12, מק חולון 14 (הפקה), נד דלק הצבי 1 ו-2 (דלק). סוגי המתקנים בעלי ההסתברות הגבוהה ביותר ל-PFAS — מתחם מרכבות האש (חשוד כמשתמש קצף AFFF, תדלוק רב-עשורים), כ-98% מתחנות הדלק, ואשכול הציפוי (PFOS כמדכא-אֵד-כרום עד 2010) — אינם נדגמים כלל. יש להתייחס לנתוני ה-PFAS הנוכחיים כאל לא-ראיה, ולא כאל ראיה-להיעדר.</w:t>
      </w:r>
    </w:p>
    <w:p>
      <w:pPr>
        <w:bidi/>
        <w:jc w:val="both"/>
        <w:rPr>
          <w:rtl/>
        </w:rPr>
      </w:pPr>
      <w:r>
        <w:rPr>
          <w:b/>
          <w:rtl/>
          <w:rFonts w:cs="Arial"/>
          <w:lang w:bidi="he-IL"/>
        </w:rPr>
        <w:t>פערים מבניים נוספים</w:t>
      </w:r>
      <w:r>
        <w:rPr>
          <w:rtl/>
          <w:rFonts w:cs="Arial"/>
          <w:lang w:bidi="he-IL"/>
        </w:rPr>
        <w:t>: הפסקות ניטור בקידוחים בעלי עדיפות גבוהה (ראה §4); העדר ספציאציה (Cr(VI)/Cr(III), As(III)/As(V)) לאורך כל האזור; והעדר פרמטרי תוצר-קצה (אתֵן, Dehalococcoides, אצטון/HIBA) בקידוחי ה-CVOC וה-TBA החמורים.</w:t>
      </w:r>
    </w:p>
    <w:p>
      <w:pPr>
        <w:bidi/>
        <w:jc w:val="both"/>
        <w:rPr>
          <w:rtl/>
        </w:rPr>
      </w:pPr>
      <w:r>
        <w:rPr>
          <w:rtl/>
          <w:rFonts w:cs="Arial"/>
          <w:lang w:bidi="he-IL"/>
        </w:rPr>
        <w:t>──────────────────────────────────────────────────</w:t>
      </w:r>
    </w:p>
    <w:p>
      <w:pPr>
        <w:bidi/>
        <w:pStyle w:val="Heading2"/>
        <w:jc w:val="both"/>
        <w:rPr>
          <w:rtl/>
        </w:rPr>
      </w:pPr>
      <w:r>
        <w:rPr>
          <w:rtl/>
          <w:rFonts w:cs="Arial"/>
          <w:lang w:bidi="he-IL"/>
        </w:rPr>
        <w:t>4. מגמות, החמרה ופערי ניטור</w:t>
      </w:r>
    </w:p>
    <w:p>
      <w:pPr>
        <w:bidi/>
        <w:jc w:val="both"/>
        <w:rPr>
          <w:rtl/>
        </w:rPr>
      </w:pPr>
      <w:r>
        <w:rPr>
          <w:b/>
          <w:rtl/>
          <w:rFonts w:cs="Arial"/>
          <w:lang w:bidi="he-IL"/>
        </w:rPr>
        <w:t>מגמות עלייה מובהקות</w:t>
      </w:r>
      <w:r>
        <w:rPr>
          <w:rtl/>
          <w:rFonts w:cs="Arial"/>
          <w:lang w:bidi="he-IL"/>
        </w:rPr>
        <w:t xml:space="preserve"> (p&lt;0.05 + יחס אות/רעש מעל סף הסינון 0.3). ניתוח המגמות מבוסס על Mann-Kendall (אין רגרסיה לינארית); יחס האות/רעש בנתונים אלה נע בדרך כלל בטווח 0–2:</w:t>
      </w:r>
    </w:p>
    <w:p>
      <w:pPr>
        <w:bidi/>
        <w:pStyle w:val="ListBullet"/>
        <w:jc w:val="both"/>
        <w:rPr>
          <w:rtl/>
        </w:rPr>
      </w:pPr>
      <w:r>
        <w:rPr>
          <w:b/>
          <w:rtl/>
          <w:rFonts w:cs="Arial"/>
          <w:lang w:bidi="he-IL"/>
        </w:rPr>
        <w:t>נד פז סיירים 3 — בנזן עולה</w:t>
      </w:r>
      <w:r>
        <w:rPr>
          <w:rtl/>
          <w:rFonts w:cs="Arial"/>
          <w:lang w:bidi="he-IL"/>
        </w:rPr>
        <w:t xml:space="preserve"> (z=2.03, p=0.043, יחס אות/רעש 1.11), במקביל ל-MTBE עולה — חתימת שחרור-טרי פעיל במוקד התדלוק הדרומי (מאי 2025).</w:t>
      </w:r>
    </w:p>
    <w:p>
      <w:pPr>
        <w:bidi/>
        <w:pStyle w:val="ListBullet"/>
        <w:jc w:val="both"/>
        <w:rPr>
          <w:rtl/>
        </w:rPr>
      </w:pPr>
      <w:r>
        <w:rPr>
          <w:b/>
          <w:rtl/>
          <w:rFonts w:cs="Arial"/>
          <w:lang w:bidi="he-IL"/>
        </w:rPr>
        <w:t>נד אגד אזור 1 — טולואן עולה</w:t>
      </w:r>
      <w:r>
        <w:rPr>
          <w:rtl/>
          <w:rFonts w:cs="Arial"/>
          <w:lang w:bidi="he-IL"/>
        </w:rPr>
        <w:t xml:space="preserve"> (z=2.10, p=0.036, יחס אות/רעש 1.04) על רקע בנזן בעוצמת מוצר-חופשי (פברואר 2025).</w:t>
      </w:r>
    </w:p>
    <w:p>
      <w:pPr>
        <w:bidi/>
        <w:pStyle w:val="ListBullet"/>
        <w:jc w:val="both"/>
        <w:rPr>
          <w:rtl/>
        </w:rPr>
      </w:pPr>
      <w:r>
        <w:rPr>
          <w:b/>
          <w:rtl/>
          <w:rFonts w:cs="Arial"/>
          <w:lang w:bidi="he-IL"/>
        </w:rPr>
        <w:t>מק חולון 12 — כלוריד עולה</w:t>
      </w:r>
      <w:r>
        <w:rPr>
          <w:rtl/>
          <w:rFonts w:cs="Arial"/>
          <w:lang w:bidi="he-IL"/>
        </w:rPr>
        <w:t xml:space="preserve"> (z=2.20, p=0.027, יחס אות/רעש 1.27) בקידוח הפקה — שאלה בין חדירת מי-ים להזרמת מליחות.</w:t>
      </w:r>
    </w:p>
    <w:p>
      <w:pPr>
        <w:bidi/>
        <w:pStyle w:val="ListBullet"/>
        <w:jc w:val="both"/>
        <w:rPr>
          <w:rtl/>
        </w:rPr>
      </w:pPr>
      <w:r>
        <w:rPr>
          <w:b/>
          <w:rtl/>
          <w:rFonts w:cs="Arial"/>
          <w:lang w:bidi="he-IL"/>
        </w:rPr>
        <w:t>נת חולון 2 — PCE עולה</w:t>
      </w:r>
      <w:r>
        <w:rPr>
          <w:rtl/>
          <w:rFonts w:cs="Arial"/>
          <w:lang w:bidi="he-IL"/>
        </w:rPr>
        <w:t xml:space="preserve"> (z=2.13, p=0.034) ו-chloroform עולה (z=2.06, p=0.039) בנתון מלא-תקופה — אך הניטור הופסק ביוני 2022 בשיא, כך שאי-אפשר לאמת את המשך המגמה.</w:t>
      </w:r>
    </w:p>
    <w:p>
      <w:pPr>
        <w:bidi/>
        <w:pStyle w:val="ListBullet"/>
        <w:jc w:val="both"/>
        <w:rPr>
          <w:rtl/>
        </w:rPr>
      </w:pPr>
      <w:r>
        <w:rPr>
          <w:b/>
          <w:rtl/>
          <w:rFonts w:cs="Arial"/>
          <w:lang w:bidi="he-IL"/>
        </w:rPr>
        <w:t>נת חולון 14 — כרום עולה</w:t>
      </w:r>
      <w:r>
        <w:rPr>
          <w:rtl/>
          <w:rFonts w:cs="Arial"/>
          <w:lang w:bidi="he-IL"/>
        </w:rPr>
        <w:t xml:space="preserve"> (z=1.87, p=0.062, נתון מלא-תקופה) על בסיס שמחייב דגימת-אישור.</w:t>
      </w:r>
    </w:p>
    <w:p>
      <w:pPr>
        <w:bidi/>
        <w:jc w:val="both"/>
        <w:rPr>
          <w:rtl/>
        </w:rPr>
      </w:pPr>
      <w:r>
        <w:rPr>
          <w:b/>
          <w:rtl/>
          <w:rFonts w:cs="Arial"/>
          <w:lang w:bidi="he-IL"/>
        </w:rPr>
        <w:t>הפסקות ניטור בקידוחים בעלי עדיפות גבוהה</w:t>
      </w:r>
      <w:r>
        <w:rPr>
          <w:rtl/>
          <w:rFonts w:cs="Arial"/>
          <w:lang w:bidi="he-IL"/>
        </w:rPr>
        <w:t xml:space="preserve"> (ממצאים אבחוניים, לא היעדרים). שישה מקידוחי הליבה (נת חולון 2/5/7/14/25/26) הפסיקו לדווח בחלון של 8 חודשים (יוני 2022 – פברואר 2023), חלקם בשיא ובמגמת עלייה — זהו אות מוסדי-נתוני, ואחד הממצאים החשובים: שלוש מהפלומות החמורות אינן ניתנות להערכת-מצב נוכחית. הפסקות ארוכות נוספות: נת אלביט חולון 1 (TCE 35,573% מהתקן, אחרון מרץ 2018, ~98 חודשים); נד אגד איזור 7 (בנזן 71,000% מהתקן, אחרון אפריל 2022); נד נובר מרכבה (MTBE 2,250% מהתקן, אחרון מרץ 2020, ~74 חודשים); נד אגד אזור 12 (MTBE 24,150% מהתקן, אחרון ינואר 2024).</w:t>
      </w:r>
    </w:p>
    <w:p>
      <w:pPr>
        <w:bidi/>
        <w:jc w:val="both"/>
        <w:rPr>
          <w:rtl/>
        </w:rPr>
      </w:pPr>
      <w:r>
        <w:rPr>
          <w:b/>
          <w:rtl/>
          <w:rFonts w:cs="Arial"/>
          <w:lang w:bidi="he-IL"/>
        </w:rPr>
        <w:t>פערים מרחביים ופרמטריים</w:t>
      </w:r>
      <w:r>
        <w:rPr>
          <w:rtl/>
          <w:rFonts w:cs="Arial"/>
          <w:lang w:bidi="he-IL"/>
        </w:rPr>
        <w:t>: כיסוי PFAS של 3.6% בלבד (ראה §3.8); העדר ספציאציה ל-Cr ול-As; והעדר פרמטרי תוצר-קצה לפירוק (אתֵן, Dehalococcoides, אצטון). מוקד תדירגן ההיסטורי — שבו נמדד שיא ה-TCE של כל האזור (6,457 µg/L ב-2005) ושעבר שיקום ISCO ב-2013–2020 — אינו מנוטר עוד עדכנית תחת שמו ההיסטורי.</w:t>
      </w:r>
    </w:p>
    <w:p>
      <w:pPr>
        <w:bidi/>
        <w:jc w:val="both"/>
        <w:rPr>
          <w:rtl/>
        </w:rPr>
      </w:pPr>
      <w:r>
        <w:rPr>
          <w:b/>
          <w:rtl/>
          <w:rFonts w:cs="Arial"/>
          <w:lang w:bidi="he-IL"/>
        </w:rPr>
        <w:t>אזהרת הטיית-מדגם</w:t>
      </w:r>
      <w:r>
        <w:rPr>
          <w:rtl/>
          <w:rFonts w:cs="Arial"/>
          <w:lang w:bidi="he-IL"/>
        </w:rPr>
        <w:t>: קידוחי הניטור הוצבו במכוון בקרבת מקורות חשודים. ריכוזים גבוהים מאוד בקידוחים בודדים אינם מעידים על איכות המים בכלל נפח האקוויפר, וריכוזים נמוכים בקידוחי הפקה אינם שוללים פלומות מתקרבות. כל מסקנה סטטיסטית כפופה לכך שמערך הניטור אינו מדגם מייצג של האזור.</w:t>
      </w:r>
    </w:p>
    <w:p>
      <w:pPr>
        <w:bidi/>
        <w:jc w:val="both"/>
        <w:rPr>
          <w:rtl/>
        </w:rPr>
      </w:pPr>
      <w:r>
        <w:rPr>
          <w:rtl/>
          <w:rFonts w:cs="Arial"/>
          <w:lang w:bidi="he-IL"/>
        </w:rPr>
        <w:t>![](fig_06_monitoring_gaps.png)</w:t>
      </w:r>
    </w:p>
    <w:p>
      <w:pPr>
        <w:bidi/>
        <w:jc w:val="both"/>
        <w:rPr>
          <w:rtl/>
        </w:rPr>
      </w:pPr>
      <w:r>
        <w:rPr>
          <w:b/>
          <w:rtl/>
          <w:rFonts w:cs="Arial"/>
          <w:lang w:bidi="he-IL"/>
        </w:rPr>
        <w:t>איור 4</w:t>
      </w:r>
      <w:r>
        <w:rPr>
          <w:rtl/>
          <w:rFonts w:cs="Arial"/>
          <w:lang w:bidi="he-IL"/>
        </w:rPr>
        <w:t>: ציר-זמן דיגום לפי קידוח ופרמטר — הפסקות ניטור, קידוחים סגורים ופערי כיסוי PFAS.</w:t>
      </w:r>
    </w:p>
    <w:p/>
    <w:p>
      <w:pPr>
        <w:bidi/>
        <w:jc w:val="both"/>
        <w:rPr>
          <w:rtl/>
        </w:rPr>
      </w:pPr>
      <w:r>
        <w:rPr>
          <w:rtl/>
          <w:rFonts w:cs="Arial"/>
          <w:lang w:bidi="he-IL"/>
        </w:rPr>
        <w:t>──────────────────────────────────────────────────</w:t>
      </w:r>
    </w:p>
    <w:p>
      <w:pPr>
        <w:bidi/>
        <w:pStyle w:val="Heading2"/>
        <w:jc w:val="both"/>
        <w:rPr>
          <w:rtl/>
        </w:rPr>
      </w:pPr>
      <w:r>
        <w:rPr>
          <w:rtl/>
          <w:rFonts w:cs="Arial"/>
          <w:lang w:bidi="he-IL"/>
        </w:rPr>
        <w:t>5. מקורות זיהום אפשריים</w:t>
      </w:r>
    </w:p>
    <w:p>
      <w:pPr>
        <w:bidi/>
        <w:jc w:val="both"/>
        <w:rPr>
          <w:rtl/>
        </w:rPr>
      </w:pPr>
      <w:r>
        <w:rPr>
          <w:rtl/>
          <w:rFonts w:cs="Arial"/>
          <w:lang w:bidi="he-IL"/>
        </w:rPr>
        <w:t>רמת הוודאות נקבעת לפי הצטברות הראיות: כתובת מאומתת + סקטור מאושר + קרבה הידרולוגית במעלה-הזרם = גבוהה; סקטור בלבד או קרבה ללא אישור = בינונית; היקש מסקטור/שם-קידוח בלבד = נמוכה. כל הייחוסים פרשניים עד לאישור הידרולוג מוסמך, ואזהרה כללית תקפה: חתימה כימית זהה אינה מוכיחה מקור יחיד.</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both"/>
              <w:rPr>
                <w:rtl/>
              </w:rPr>
            </w:pPr>
            <w:r>
              <w:rPr>
                <w:b/>
                <w:rtl/>
                <w:rFonts w:cs="Arial"/>
                <w:lang w:bidi="he-IL"/>
              </w:rPr>
            </w:r>
            <w:r>
              <w:rPr>
                <w:b/>
                <w:rtl/>
                <w:rFonts w:cs="Arial"/>
                <w:lang w:bidi="he-IL"/>
              </w:rPr>
              <w:t>מוקד</w:t>
            </w:r>
          </w:p>
        </w:tc>
        <w:tc>
          <w:tcPr>
            <w:tcW w:type="dxa" w:w="2160"/>
          </w:tcPr>
          <w:p>
            <w:pPr>
              <w:bidi/>
              <w:jc w:val="both"/>
              <w:rPr>
                <w:rtl/>
              </w:rPr>
            </w:pPr>
            <w:r>
              <w:rPr>
                <w:b/>
                <w:rtl/>
                <w:rFonts w:cs="Arial"/>
                <w:lang w:bidi="he-IL"/>
              </w:rPr>
            </w:r>
            <w:r>
              <w:rPr>
                <w:b/>
                <w:rtl/>
                <w:rFonts w:cs="Arial"/>
                <w:lang w:bidi="he-IL"/>
              </w:rPr>
              <w:t>מזהם מוביל</w:t>
            </w:r>
          </w:p>
        </w:tc>
        <w:tc>
          <w:tcPr>
            <w:tcW w:type="dxa" w:w="2160"/>
          </w:tcPr>
          <w:p>
            <w:pPr>
              <w:bidi/>
              <w:jc w:val="both"/>
              <w:rPr>
                <w:rtl/>
              </w:rPr>
            </w:pPr>
            <w:r>
              <w:rPr>
                <w:b/>
                <w:rtl/>
                <w:rFonts w:cs="Arial"/>
                <w:lang w:bidi="he-IL"/>
              </w:rPr>
            </w:r>
            <w:r>
              <w:rPr>
                <w:b/>
                <w:rtl/>
                <w:rFonts w:cs="Arial"/>
                <w:lang w:bidi="he-IL"/>
              </w:rPr>
              <w:t>מתקן חשוד</w:t>
            </w:r>
          </w:p>
        </w:tc>
        <w:tc>
          <w:tcPr>
            <w:tcW w:type="dxa" w:w="2160"/>
          </w:tcPr>
          <w:p>
            <w:pPr>
              <w:bidi/>
              <w:jc w:val="both"/>
              <w:rPr>
                <w:rtl/>
              </w:rPr>
            </w:pPr>
            <w:r>
              <w:rPr>
                <w:b/>
                <w:rtl/>
                <w:rFonts w:cs="Arial"/>
                <w:lang w:bidi="he-IL"/>
              </w:rPr>
            </w:r>
            <w:r>
              <w:rPr>
                <w:b/>
                <w:rtl/>
                <w:rFonts w:cs="Arial"/>
                <w:lang w:bidi="he-IL"/>
              </w:rPr>
              <w:t>רמת ודאות</w:t>
            </w:r>
          </w:p>
        </w:tc>
      </w:tr>
      <w:tr>
        <w:tc>
          <w:tcPr>
            <w:tcW w:type="dxa" w:w="2160"/>
          </w:tcPr>
          <w:p>
            <w:pPr>
              <w:bidi/>
              <w:jc w:val="both"/>
              <w:rPr>
                <w:rtl/>
              </w:rPr>
            </w:pPr>
            <w:r>
              <w:rPr>
                <w:rtl/>
                <w:rFonts w:cs="Arial"/>
                <w:lang w:bidi="he-IL"/>
              </w:rPr>
            </w:r>
            <w:r>
              <w:rPr>
                <w:rtl/>
                <w:rFonts w:cs="Arial"/>
                <w:lang w:bidi="he-IL"/>
              </w:rPr>
              <w:t>ליבה תעשייתית (נת חולון 11)</w:t>
            </w:r>
          </w:p>
        </w:tc>
        <w:tc>
          <w:tcPr>
            <w:tcW w:type="dxa" w:w="2160"/>
          </w:tcPr>
          <w:p>
            <w:pPr>
              <w:bidi/>
              <w:jc w:val="both"/>
              <w:rPr>
                <w:rtl/>
              </w:rPr>
            </w:pPr>
            <w:r>
              <w:rPr>
                <w:rtl/>
                <w:rFonts w:cs="Arial"/>
                <w:lang w:bidi="he-IL"/>
              </w:rPr>
            </w:r>
            <w:r>
              <w:rPr>
                <w:rtl/>
                <w:rFonts w:cs="Arial"/>
                <w:lang w:bidi="he-IL"/>
              </w:rPr>
              <w:t>TCE / 1,1-DCE</w:t>
            </w:r>
          </w:p>
        </w:tc>
        <w:tc>
          <w:tcPr>
            <w:tcW w:type="dxa" w:w="2160"/>
          </w:tcPr>
          <w:p>
            <w:pPr>
              <w:bidi/>
              <w:jc w:val="both"/>
              <w:rPr>
                <w:rtl/>
              </w:rPr>
            </w:pPr>
            <w:r>
              <w:rPr>
                <w:rtl/>
                <w:rFonts w:cs="Arial"/>
                <w:lang w:bidi="he-IL"/>
              </w:rPr>
            </w:r>
            <w:r>
              <w:rPr>
                <w:rtl/>
                <w:rFonts w:cs="Arial"/>
                <w:lang w:bidi="he-IL"/>
              </w:rPr>
              <w:t>תדיראן-קשר / אלביט</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ליבה תעשייתית (תדירגן / סונול המלאכה)</w:t>
            </w:r>
          </w:p>
        </w:tc>
        <w:tc>
          <w:tcPr>
            <w:tcW w:type="dxa" w:w="2160"/>
          </w:tcPr>
          <w:p>
            <w:pPr>
              <w:bidi/>
              <w:jc w:val="both"/>
              <w:rPr>
                <w:rtl/>
              </w:rPr>
            </w:pPr>
            <w:r>
              <w:rPr>
                <w:rtl/>
                <w:rFonts w:cs="Arial"/>
                <w:lang w:bidi="he-IL"/>
              </w:rPr>
            </w:r>
            <w:r>
              <w:rPr>
                <w:rtl/>
                <w:rFonts w:cs="Arial"/>
                <w:lang w:bidi="he-IL"/>
              </w:rPr>
              <w:t>TCE, PCE, Cr</w:t>
            </w:r>
          </w:p>
        </w:tc>
        <w:tc>
          <w:tcPr>
            <w:tcW w:type="dxa" w:w="2160"/>
          </w:tcPr>
          <w:p>
            <w:pPr>
              <w:bidi/>
              <w:jc w:val="both"/>
              <w:rPr>
                <w:rtl/>
              </w:rPr>
            </w:pPr>
            <w:r>
              <w:rPr>
                <w:rtl/>
                <w:rFonts w:cs="Arial"/>
                <w:lang w:bidi="he-IL"/>
              </w:rPr>
            </w:r>
            <w:r>
              <w:rPr>
                <w:rtl/>
                <w:rFonts w:cs="Arial"/>
                <w:lang w:bidi="he-IL"/>
              </w:rPr>
              <w:t>תדירגן (+ 3 מפעלים סמוכים)</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ליבה תעשייתית (נת חולון 3)</w:t>
            </w:r>
          </w:p>
        </w:tc>
        <w:tc>
          <w:tcPr>
            <w:tcW w:type="dxa" w:w="2160"/>
          </w:tcPr>
          <w:p>
            <w:pPr>
              <w:bidi/>
              <w:jc w:val="both"/>
              <w:rPr>
                <w:rtl/>
              </w:rPr>
            </w:pPr>
            <w:r>
              <w:rPr>
                <w:rtl/>
                <w:rFonts w:cs="Arial"/>
                <w:lang w:bidi="he-IL"/>
              </w:rPr>
            </w:r>
            <w:r>
              <w:rPr>
                <w:rtl/>
                <w:rFonts w:cs="Arial"/>
                <w:lang w:bidi="he-IL"/>
              </w:rPr>
              <w:t>TCE, כרום</w:t>
            </w:r>
          </w:p>
        </w:tc>
        <w:tc>
          <w:tcPr>
            <w:tcW w:type="dxa" w:w="2160"/>
          </w:tcPr>
          <w:p>
            <w:pPr>
              <w:bidi/>
              <w:jc w:val="both"/>
              <w:rPr>
                <w:rtl/>
              </w:rPr>
            </w:pPr>
            <w:r>
              <w:rPr>
                <w:rtl/>
                <w:rFonts w:cs="Arial"/>
                <w:lang w:bidi="he-IL"/>
              </w:rPr>
            </w:r>
            <w:r>
              <w:rPr>
                <w:rtl/>
                <w:rFonts w:cs="Arial"/>
                <w:lang w:bidi="he-IL"/>
              </w:rPr>
              <w:t>תרשיש</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ליבה תעשייתית (נת חולון 1)</w:t>
            </w:r>
          </w:p>
        </w:tc>
        <w:tc>
          <w:tcPr>
            <w:tcW w:type="dxa" w:w="2160"/>
          </w:tcPr>
          <w:p>
            <w:pPr>
              <w:bidi/>
              <w:jc w:val="both"/>
              <w:rPr>
                <w:rtl/>
              </w:rPr>
            </w:pPr>
            <w:r>
              <w:rPr>
                <w:rtl/>
                <w:rFonts w:cs="Arial"/>
                <w:lang w:bidi="he-IL"/>
              </w:rPr>
            </w:r>
            <w:r>
              <w:rPr>
                <w:rtl/>
                <w:rFonts w:cs="Arial"/>
                <w:lang w:bidi="he-IL"/>
              </w:rPr>
              <w:t>TCE, DCE, 1,4-dioxane</w:t>
            </w:r>
          </w:p>
        </w:tc>
        <w:tc>
          <w:tcPr>
            <w:tcW w:type="dxa" w:w="2160"/>
          </w:tcPr>
          <w:p>
            <w:pPr>
              <w:bidi/>
              <w:jc w:val="both"/>
              <w:rPr>
                <w:rtl/>
              </w:rPr>
            </w:pPr>
            <w:r>
              <w:rPr>
                <w:rtl/>
                <w:rFonts w:cs="Arial"/>
                <w:lang w:bidi="he-IL"/>
              </w:rPr>
            </w:r>
            <w:r>
              <w:rPr>
                <w:rtl/>
                <w:rFonts w:cs="Arial"/>
                <w:lang w:bidi="he-IL"/>
              </w:rPr>
              <w:t>כור מתכת או כרומט</w:t>
            </w:r>
          </w:p>
        </w:tc>
        <w:tc>
          <w:tcPr>
            <w:tcW w:type="dxa" w:w="2160"/>
          </w:tcPr>
          <w:p>
            <w:pPr>
              <w:bidi/>
              <w:jc w:val="both"/>
              <w:rPr>
                <w:rtl/>
              </w:rPr>
            </w:pPr>
            <w:r>
              <w:rPr>
                <w:rtl/>
                <w:rFonts w:cs="Arial"/>
                <w:lang w:bidi="he-IL"/>
              </w:rPr>
            </w:r>
            <w:r>
              <w:rPr>
                <w:rtl/>
                <w:rFonts w:cs="Arial"/>
                <w:lang w:bidi="he-IL"/>
              </w:rPr>
              <w:t>בינונית</w:t>
            </w:r>
          </w:p>
        </w:tc>
      </w:tr>
      <w:tr>
        <w:tc>
          <w:tcPr>
            <w:tcW w:type="dxa" w:w="2160"/>
          </w:tcPr>
          <w:p>
            <w:pPr>
              <w:bidi/>
              <w:jc w:val="both"/>
              <w:rPr>
                <w:rtl/>
              </w:rPr>
            </w:pPr>
            <w:r>
              <w:rPr>
                <w:rtl/>
                <w:rFonts w:cs="Arial"/>
                <w:lang w:bidi="he-IL"/>
              </w:rPr>
            </w:r>
            <w:r>
              <w:rPr>
                <w:rtl/>
                <w:rFonts w:cs="Arial"/>
                <w:lang w:bidi="he-IL"/>
              </w:rPr>
              <w:t>מוקד מתכות (ארן מטל / מק חולון 5)</w:t>
            </w:r>
          </w:p>
        </w:tc>
        <w:tc>
          <w:tcPr>
            <w:tcW w:type="dxa" w:w="2160"/>
          </w:tcPr>
          <w:p>
            <w:pPr>
              <w:bidi/>
              <w:jc w:val="both"/>
              <w:rPr>
                <w:rtl/>
              </w:rPr>
            </w:pPr>
            <w:r>
              <w:rPr>
                <w:rtl/>
                <w:rFonts w:cs="Arial"/>
                <w:lang w:bidi="he-IL"/>
              </w:rPr>
            </w:r>
            <w:r>
              <w:rPr>
                <w:rtl/>
                <w:rFonts w:cs="Arial"/>
                <w:lang w:bidi="he-IL"/>
              </w:rPr>
              <w:t>ניקל</w:t>
            </w:r>
          </w:p>
        </w:tc>
        <w:tc>
          <w:tcPr>
            <w:tcW w:type="dxa" w:w="2160"/>
          </w:tcPr>
          <w:p>
            <w:pPr>
              <w:bidi/>
              <w:jc w:val="both"/>
              <w:rPr>
                <w:rtl/>
              </w:rPr>
            </w:pPr>
            <w:r>
              <w:rPr>
                <w:rtl/>
                <w:rFonts w:cs="Arial"/>
                <w:lang w:bidi="he-IL"/>
              </w:rPr>
            </w:r>
            <w:r>
              <w:rPr>
                <w:rtl/>
                <w:rFonts w:cs="Arial"/>
                <w:lang w:bidi="he-IL"/>
              </w:rPr>
              <w:t>רימטל / ארן-מטל</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מוקד דלק מערבי (אגד אזור 1–18)</w:t>
            </w:r>
          </w:p>
        </w:tc>
        <w:tc>
          <w:tcPr>
            <w:tcW w:type="dxa" w:w="2160"/>
          </w:tcPr>
          <w:p>
            <w:pPr>
              <w:bidi/>
              <w:jc w:val="both"/>
              <w:rPr>
                <w:rtl/>
              </w:rPr>
            </w:pPr>
            <w:r>
              <w:rPr>
                <w:rtl/>
                <w:rFonts w:cs="Arial"/>
                <w:lang w:bidi="he-IL"/>
              </w:rPr>
            </w:r>
            <w:r>
              <w:rPr>
                <w:rtl/>
                <w:rFonts w:cs="Arial"/>
                <w:lang w:bidi="he-IL"/>
              </w:rPr>
              <w:t>BTEX / MTBE</w:t>
            </w:r>
          </w:p>
        </w:tc>
        <w:tc>
          <w:tcPr>
            <w:tcW w:type="dxa" w:w="2160"/>
          </w:tcPr>
          <w:p>
            <w:pPr>
              <w:bidi/>
              <w:jc w:val="both"/>
              <w:rPr>
                <w:rtl/>
              </w:rPr>
            </w:pPr>
            <w:r>
              <w:rPr>
                <w:rtl/>
                <w:rFonts w:cs="Arial"/>
                <w:lang w:bidi="he-IL"/>
              </w:rPr>
            </w:r>
            <w:r>
              <w:rPr>
                <w:rtl/>
                <w:rFonts w:cs="Arial"/>
                <w:lang w:bidi="he-IL"/>
              </w:rPr>
              <w:t>מחניון אגד</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מוקד מתכות (נת חולון 14)</w:t>
            </w:r>
          </w:p>
        </w:tc>
        <w:tc>
          <w:tcPr>
            <w:tcW w:type="dxa" w:w="2160"/>
          </w:tcPr>
          <w:p>
            <w:pPr>
              <w:bidi/>
              <w:jc w:val="both"/>
              <w:rPr>
                <w:rtl/>
              </w:rPr>
            </w:pPr>
            <w:r>
              <w:rPr>
                <w:rtl/>
                <w:rFonts w:cs="Arial"/>
                <w:lang w:bidi="he-IL"/>
              </w:rPr>
            </w:r>
            <w:r>
              <w:rPr>
                <w:rtl/>
                <w:rFonts w:cs="Arial"/>
                <w:lang w:bidi="he-IL"/>
              </w:rPr>
              <w:t>TCE, כרום</w:t>
            </w:r>
          </w:p>
        </w:tc>
        <w:tc>
          <w:tcPr>
            <w:tcW w:type="dxa" w:w="2160"/>
          </w:tcPr>
          <w:p>
            <w:pPr>
              <w:bidi/>
              <w:jc w:val="both"/>
              <w:rPr>
                <w:rtl/>
              </w:rPr>
            </w:pPr>
            <w:r>
              <w:rPr>
                <w:rtl/>
                <w:rFonts w:cs="Arial"/>
                <w:lang w:bidi="he-IL"/>
              </w:rPr>
            </w:r>
            <w:r>
              <w:rPr>
                <w:rtl/>
                <w:rFonts w:cs="Arial"/>
                <w:lang w:bidi="he-IL"/>
              </w:rPr>
              <w:t>אמקור פליז / המלבין / סופר כרום</w:t>
            </w:r>
          </w:p>
        </w:tc>
        <w:tc>
          <w:tcPr>
            <w:tcW w:type="dxa" w:w="2160"/>
          </w:tcPr>
          <w:p>
            <w:pPr>
              <w:bidi/>
              <w:jc w:val="both"/>
              <w:rPr>
                <w:rtl/>
              </w:rPr>
            </w:pPr>
            <w:r>
              <w:rPr>
                <w:rtl/>
                <w:rFonts w:cs="Arial"/>
                <w:lang w:bidi="he-IL"/>
              </w:rPr>
            </w:r>
            <w:r>
              <w:rPr>
                <w:rtl/>
                <w:rFonts w:cs="Arial"/>
                <w:lang w:bidi="he-IL"/>
              </w:rPr>
              <w:t>בינונית</w:t>
            </w:r>
          </w:p>
        </w:tc>
      </w:tr>
      <w:tr>
        <w:tc>
          <w:tcPr>
            <w:tcW w:type="dxa" w:w="2160"/>
          </w:tcPr>
          <w:p>
            <w:pPr>
              <w:bidi/>
              <w:jc w:val="both"/>
              <w:rPr>
                <w:rtl/>
              </w:rPr>
            </w:pPr>
            <w:r>
              <w:rPr>
                <w:rtl/>
                <w:rFonts w:cs="Arial"/>
                <w:lang w:bidi="he-IL"/>
              </w:rPr>
            </w:r>
            <w:r>
              <w:rPr>
                <w:rtl/>
                <w:rFonts w:cs="Arial"/>
                <w:lang w:bidi="he-IL"/>
              </w:rPr>
              <w:t>מוקד דלק "ישן" (מרכבות האש)</w:t>
            </w:r>
          </w:p>
        </w:tc>
        <w:tc>
          <w:tcPr>
            <w:tcW w:type="dxa" w:w="2160"/>
          </w:tcPr>
          <w:p>
            <w:pPr>
              <w:bidi/>
              <w:jc w:val="both"/>
              <w:rPr>
                <w:rtl/>
              </w:rPr>
            </w:pPr>
            <w:r>
              <w:rPr>
                <w:rtl/>
                <w:rFonts w:cs="Arial"/>
                <w:lang w:bidi="he-IL"/>
              </w:rPr>
            </w:r>
            <w:r>
              <w:rPr>
                <w:rtl/>
                <w:rFonts w:cs="Arial"/>
                <w:lang w:bidi="he-IL"/>
              </w:rPr>
              <w:t>MTBE / TBA</w:t>
            </w:r>
          </w:p>
        </w:tc>
        <w:tc>
          <w:tcPr>
            <w:tcW w:type="dxa" w:w="2160"/>
          </w:tcPr>
          <w:p>
            <w:pPr>
              <w:bidi/>
              <w:jc w:val="both"/>
              <w:rPr>
                <w:rtl/>
              </w:rPr>
            </w:pPr>
            <w:r>
              <w:rPr>
                <w:rtl/>
                <w:rFonts w:cs="Arial"/>
                <w:lang w:bidi="he-IL"/>
              </w:rPr>
            </w:r>
            <w:r>
              <w:rPr>
                <w:rtl/>
                <w:rFonts w:cs="Arial"/>
                <w:lang w:bidi="he-IL"/>
              </w:rPr>
              <w:t>מתחם תדלוק כלי-כיבוי</w:t>
            </w:r>
          </w:p>
        </w:tc>
        <w:tc>
          <w:tcPr>
            <w:tcW w:type="dxa" w:w="2160"/>
          </w:tcPr>
          <w:p>
            <w:pPr>
              <w:bidi/>
              <w:jc w:val="both"/>
              <w:rPr>
                <w:rtl/>
              </w:rPr>
            </w:pPr>
            <w:r>
              <w:rPr>
                <w:rtl/>
                <w:rFonts w:cs="Arial"/>
                <w:lang w:bidi="he-IL"/>
              </w:rPr>
            </w:r>
            <w:r>
              <w:rPr>
                <w:rtl/>
                <w:rFonts w:cs="Arial"/>
                <w:lang w:bidi="he-IL"/>
              </w:rPr>
              <w:t>בינונית</w:t>
            </w:r>
          </w:p>
        </w:tc>
      </w:tr>
    </w:tbl>
    <w:p>
      <w:pPr>
        <w:bidi/>
        <w:jc w:val="both"/>
        <w:rPr>
          <w:rtl/>
        </w:rPr>
      </w:pPr>
      <w:r>
        <w:rPr>
          <w:b/>
          <w:rtl/>
          <w:rFonts w:cs="Arial"/>
          <w:lang w:bidi="he-IL"/>
        </w:rPr>
        <w:t>ייחוסים ברמת ודאות גבוהה</w:t>
      </w:r>
      <w:r>
        <w:rPr>
          <w:rtl/>
          <w:rFonts w:cs="Arial"/>
          <w:lang w:bidi="he-IL"/>
        </w:rPr>
        <w:t xml:space="preserve">. </w:t>
      </w:r>
      <w:r>
        <w:rPr>
          <w:i/>
          <w:rtl/>
          <w:rFonts w:cs="Arial"/>
          <w:lang w:bidi="he-IL"/>
        </w:rPr>
        <w:t>תדיראן-קשר/אלביט</w:t>
      </w:r>
      <w:r>
        <w:rPr>
          <w:rtl/>
          <w:rFonts w:cs="Arial"/>
          <w:lang w:bidi="he-IL"/>
        </w:rPr>
        <w:t xml:space="preserve"> → נת חולון 11: TCE היסטורי 12,982 µg/L נמדד בצמוד למפעל (דוח 2007, עמ' 6; דוח 2021, עמ' 31); אזהרה — קפיצת 2 סדרי-גודל בין דגימות עשויה לשקף לחץ שאיבה מקומי. </w:t>
      </w:r>
      <w:r>
        <w:rPr>
          <w:i/>
          <w:rtl/>
          <w:rFonts w:cs="Arial"/>
          <w:lang w:bidi="he-IL"/>
        </w:rPr>
        <w:t>תדירגן</w:t>
      </w:r>
      <w:r>
        <w:rPr>
          <w:rtl/>
          <w:rFonts w:cs="Arial"/>
          <w:lang w:bidi="he-IL"/>
        </w:rPr>
        <w:t xml:space="preserve"> → נד סונול המלאכה / נת תדירגן: ציפוי מתכות 1970–2003, שוקם 2013–2020; שלושה מפעלים סמוכים תורמים לאותו מוקד — לא מקור יחיד. </w:t>
      </w:r>
      <w:r>
        <w:rPr>
          <w:i/>
          <w:rtl/>
          <w:rFonts w:cs="Arial"/>
          <w:lang w:bidi="he-IL"/>
        </w:rPr>
        <w:t>תרשיש</w:t>
      </w:r>
      <w:r>
        <w:rPr>
          <w:rtl/>
          <w:rFonts w:cs="Arial"/>
          <w:lang w:bidi="he-IL"/>
        </w:rPr>
        <w:t xml:space="preserve"> → נת חולון 3: כרום 2,424 µg/L נמדד בסמוך לאחד משני מפעלי התרשיש (דוח 2021, עמ' 31). </w:t>
      </w:r>
      <w:r>
        <w:rPr>
          <w:i/>
          <w:rtl/>
          <w:rFonts w:cs="Arial"/>
          <w:lang w:bidi="he-IL"/>
        </w:rPr>
        <w:t>רימטל/ארן-מטל</w:t>
      </w:r>
      <w:r>
        <w:rPr>
          <w:rtl/>
          <w:rFonts w:cs="Arial"/>
          <w:lang w:bidi="he-IL"/>
        </w:rPr>
        <w:t xml:space="preserve"> → ניקל מתועד 0.6→2.0 מ"ג/ל (דוח אקולוג 2009) — מוקד מתכות נפרד מפלומת ה-CVOC. </w:t>
      </w:r>
      <w:r>
        <w:rPr>
          <w:i/>
          <w:rtl/>
          <w:rFonts w:cs="Arial"/>
          <w:lang w:bidi="he-IL"/>
        </w:rPr>
        <w:t>מחניון אגד</w:t>
      </w:r>
      <w:r>
        <w:rPr>
          <w:rtl/>
          <w:rFonts w:cs="Arial"/>
          <w:lang w:bidi="he-IL"/>
        </w:rPr>
        <w:t xml:space="preserve"> → אשכול אגד: BTEX בעוצמת מוצר-חופשי בתחנת תדלוק תפעולית פעילה.</w:t>
      </w:r>
    </w:p>
    <w:p>
      <w:pPr>
        <w:bidi/>
        <w:jc w:val="both"/>
        <w:rPr>
          <w:rtl/>
        </w:rPr>
      </w:pPr>
      <w:r>
        <w:rPr>
          <w:b/>
          <w:rtl/>
          <w:rFonts w:cs="Arial"/>
          <w:lang w:bidi="he-IL"/>
        </w:rPr>
        <w:t>ראיות פורנזיות</w:t>
      </w:r>
      <w:r>
        <w:rPr>
          <w:rtl/>
          <w:rFonts w:cs="Arial"/>
          <w:lang w:bidi="he-IL"/>
        </w:rPr>
        <w:t>. שתי חתימות CVOC מובחנות באזור: ליבת נת חולון (1,1-DCE &gt; cis-DCE — מקור לא-ביוטי/ישיר) מול אשכול אגד (cis-DCE &gt; 1,1-DCE עם VC מצטבר — פירוק מיקרוביאלי מתקדם). שמונה קידוחים בליבה חולקים חתימת TCE+1,1-DCE זהה (אך זהות חתימה אינה מוכיחה מקור יחיד — ייתכנו מספר מפעלים שהשתמשו באותם ממסים מסחריים). מועמדי רקע (רמת ודאות נמוכה, לנספח): תדיראן/אלביט המרכבה 29 (פעילות נוכחית בלבד), מפעל נירוסטה, אתרי פסולת חולון/מקווה ישראל, ברכות חימצון, פרוון, כמוגרף.</w:t>
      </w:r>
    </w:p>
    <w:p>
      <w:pPr>
        <w:bidi/>
        <w:jc w:val="both"/>
        <w:rPr>
          <w:rtl/>
        </w:rPr>
      </w:pPr>
      <w:r>
        <w:rPr>
          <w:rtl/>
          <w:rFonts w:cs="Arial"/>
          <w:lang w:bidi="he-IL"/>
        </w:rPr>
        <w:t>──────────────────────────────────────────────────</w:t>
      </w:r>
    </w:p>
    <w:p>
      <w:pPr>
        <w:bidi/>
        <w:pStyle w:val="Heading2"/>
        <w:jc w:val="both"/>
        <w:rPr>
          <w:rtl/>
        </w:rPr>
      </w:pPr>
      <w:r>
        <w:rPr>
          <w:rtl/>
          <w:rFonts w:cs="Arial"/>
          <w:lang w:bidi="he-IL"/>
        </w:rPr>
        <w:t>6. המלצות</w:t>
      </w:r>
    </w:p>
    <w:p>
      <w:pPr>
        <w:bidi/>
        <w:jc w:val="both"/>
        <w:rPr>
          <w:rtl/>
        </w:rPr>
      </w:pPr>
      <w:r>
        <w:rPr>
          <w:rtl/>
          <w:rFonts w:cs="Arial"/>
          <w:lang w:bidi="he-IL"/>
        </w:rPr>
        <w:t>ההמלצות מאורגנות סביב ארבעה תחומי החלטה. כל פעולה קשורה לממצא בסעיפים 2–5; דחיפות משולבת בניסוח.</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both"/>
              <w:rPr>
                <w:rtl/>
              </w:rPr>
            </w:pPr>
            <w:r>
              <w:rPr>
                <w:b/>
                <w:rtl/>
                <w:rFonts w:cs="Arial"/>
                <w:lang w:bidi="he-IL"/>
              </w:rPr>
            </w:r>
            <w:r>
              <w:rPr>
                <w:b/>
                <w:rtl/>
                <w:rFonts w:cs="Arial"/>
                <w:lang w:bidi="he-IL"/>
              </w:rPr>
              <w:t>תחום החלטה</w:t>
            </w:r>
          </w:p>
        </w:tc>
        <w:tc>
          <w:tcPr>
            <w:tcW w:type="dxa" w:w="2160"/>
          </w:tcPr>
          <w:p>
            <w:pPr>
              <w:bidi/>
              <w:jc w:val="both"/>
              <w:rPr>
                <w:rtl/>
              </w:rPr>
            </w:pPr>
            <w:r>
              <w:rPr>
                <w:b/>
                <w:rtl/>
                <w:rFonts w:cs="Arial"/>
                <w:lang w:bidi="he-IL"/>
              </w:rPr>
            </w:r>
            <w:r>
              <w:rPr>
                <w:b/>
                <w:rtl/>
                <w:rFonts w:cs="Arial"/>
                <w:lang w:bidi="he-IL"/>
              </w:rPr>
              <w:t>פעולה</w:t>
            </w:r>
          </w:p>
        </w:tc>
        <w:tc>
          <w:tcPr>
            <w:tcW w:type="dxa" w:w="2160"/>
          </w:tcPr>
          <w:p>
            <w:pPr>
              <w:bidi/>
              <w:jc w:val="both"/>
              <w:rPr>
                <w:rtl/>
              </w:rPr>
            </w:pPr>
            <w:r>
              <w:rPr>
                <w:b/>
                <w:rtl/>
                <w:rFonts w:cs="Arial"/>
                <w:lang w:bidi="he-IL"/>
              </w:rPr>
            </w:r>
            <w:r>
              <w:rPr>
                <w:b/>
                <w:rtl/>
                <w:rFonts w:cs="Arial"/>
                <w:lang w:bidi="he-IL"/>
              </w:rPr>
              <w:t>מה נדרש</w:t>
            </w:r>
          </w:p>
        </w:tc>
        <w:tc>
          <w:tcPr>
            <w:tcW w:type="dxa" w:w="2160"/>
          </w:tcPr>
          <w:p>
            <w:pPr>
              <w:bidi/>
              <w:jc w:val="both"/>
              <w:rPr>
                <w:rtl/>
              </w:rPr>
            </w:pPr>
            <w:r>
              <w:rPr>
                <w:b/>
                <w:rtl/>
                <w:rFonts w:cs="Arial"/>
                <w:lang w:bidi="he-IL"/>
              </w:rPr>
            </w:r>
            <w:r>
              <w:rPr>
                <w:b/>
                <w:rtl/>
                <w:rFonts w:cs="Arial"/>
                <w:lang w:bidi="he-IL"/>
              </w:rPr>
              <w:t>הערות</w:t>
            </w:r>
          </w:p>
        </w:tc>
      </w:tr>
      <w:tr>
        <w:tc>
          <w:tcPr>
            <w:tcW w:type="dxa" w:w="2160"/>
          </w:tcPr>
          <w:p>
            <w:pPr>
              <w:bidi/>
              <w:jc w:val="both"/>
              <w:rPr>
                <w:rtl/>
              </w:rPr>
            </w:pPr>
            <w:r>
              <w:rPr>
                <w:rtl/>
                <w:rFonts w:cs="Arial"/>
                <w:lang w:bidi="he-IL"/>
              </w:rPr>
            </w:r>
            <w:r>
              <w:rPr>
                <w:b/>
                <w:rtl/>
                <w:rFonts w:cs="Arial"/>
                <w:lang w:bidi="he-IL"/>
              </w:rPr>
              <w:t>עדכון תכנית הניטור</w:t>
            </w:r>
          </w:p>
        </w:tc>
        <w:tc>
          <w:tcPr>
            <w:tcW w:type="dxa" w:w="2160"/>
          </w:tcPr>
          <w:p>
            <w:pPr>
              <w:bidi/>
              <w:jc w:val="both"/>
              <w:rPr>
                <w:rtl/>
              </w:rPr>
            </w:pPr>
            <w:r>
              <w:rPr>
                <w:rtl/>
                <w:rFonts w:cs="Arial"/>
                <w:lang w:bidi="he-IL"/>
              </w:rPr>
            </w:r>
            <w:r>
              <w:rPr>
                <w:rtl/>
                <w:rFonts w:cs="Arial"/>
                <w:lang w:bidi="he-IL"/>
              </w:rPr>
              <w:t>1.1 חידוש דיגום מיידי באשכול הליבה</w:t>
            </w:r>
          </w:p>
        </w:tc>
        <w:tc>
          <w:tcPr>
            <w:tcW w:type="dxa" w:w="2160"/>
          </w:tcPr>
          <w:p>
            <w:pPr>
              <w:bidi/>
              <w:jc w:val="both"/>
              <w:rPr>
                <w:rtl/>
              </w:rPr>
            </w:pPr>
            <w:r>
              <w:rPr>
                <w:rtl/>
                <w:rFonts w:cs="Arial"/>
                <w:lang w:bidi="he-IL"/>
              </w:rPr>
            </w:r>
            <w:r>
              <w:rPr>
                <w:rtl/>
                <w:rFonts w:cs="Arial"/>
                <w:lang w:bidi="he-IL"/>
              </w:rPr>
              <w:t>לחדש מיד דיגום ב-נת חולון 2/5/7/14/25/26 ולברר אם ההפסקה מנהלית או פיזית</w:t>
            </w:r>
          </w:p>
        </w:tc>
        <w:tc>
          <w:tcPr>
            <w:tcW w:type="dxa" w:w="2160"/>
          </w:tcPr>
          <w:p>
            <w:pPr>
              <w:bidi/>
              <w:jc w:val="both"/>
              <w:rPr>
                <w:rtl/>
              </w:rPr>
            </w:pPr>
            <w:r>
              <w:rPr>
                <w:rtl/>
                <w:rFonts w:cs="Arial"/>
                <w:lang w:bidi="he-IL"/>
              </w:rPr>
            </w:r>
            <w:r>
              <w:rPr>
                <w:rtl/>
                <w:rFonts w:cs="Arial"/>
                <w:lang w:bidi="he-IL"/>
              </w:rPr>
              <w:t>רמת ודאות גבוהה; בלי חידוש, שלוש הפלומות החמורות אינן ניתנות להערכה — קריטי</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1.2 הוספת פאנל תוצרי-קצה</w:t>
            </w:r>
          </w:p>
        </w:tc>
        <w:tc>
          <w:tcPr>
            <w:tcW w:type="dxa" w:w="2160"/>
          </w:tcPr>
          <w:p>
            <w:pPr>
              <w:bidi/>
              <w:jc w:val="both"/>
              <w:rPr>
                <w:rtl/>
              </w:rPr>
            </w:pPr>
            <w:r>
              <w:rPr>
                <w:rtl/>
                <w:rFonts w:cs="Arial"/>
                <w:lang w:bidi="he-IL"/>
              </w:rPr>
            </w:r>
            <w:r>
              <w:rPr>
                <w:rtl/>
                <w:rFonts w:cs="Arial"/>
                <w:lang w:bidi="he-IL"/>
              </w:rPr>
              <w:t>להוסיף אתֵן/אתאן ו-Dehalococcoides בחמש עד שמונה מנקודות ה-CVOC החמורות; אצטון/HIBA באשכול TBA</w:t>
            </w:r>
          </w:p>
        </w:tc>
        <w:tc>
          <w:tcPr>
            <w:tcW w:type="dxa" w:w="2160"/>
          </w:tcPr>
          <w:p>
            <w:pPr>
              <w:bidi/>
              <w:jc w:val="both"/>
              <w:rPr>
                <w:rtl/>
              </w:rPr>
            </w:pPr>
            <w:r>
              <w:rPr>
                <w:rtl/>
                <w:rFonts w:cs="Arial"/>
                <w:lang w:bidi="he-IL"/>
              </w:rPr>
            </w:r>
            <w:r>
              <w:rPr>
                <w:rtl/>
                <w:rFonts w:cs="Arial"/>
                <w:lang w:bidi="he-IL"/>
              </w:rPr>
              <w:t>קובע אם הפירוק מושלם או נתקע ב-VC</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1.3 העלאת תדירות ב-מק חולון 14</w:t>
            </w:r>
          </w:p>
        </w:tc>
        <w:tc>
          <w:tcPr>
            <w:tcW w:type="dxa" w:w="2160"/>
          </w:tcPr>
          <w:p>
            <w:pPr>
              <w:bidi/>
              <w:jc w:val="both"/>
              <w:rPr>
                <w:rtl/>
              </w:rPr>
            </w:pPr>
            <w:r>
              <w:rPr>
                <w:rtl/>
                <w:rFonts w:cs="Arial"/>
                <w:lang w:bidi="he-IL"/>
              </w:rPr>
            </w:r>
            <w:r>
              <w:rPr>
                <w:rtl/>
                <w:rFonts w:cs="Arial"/>
                <w:lang w:bidi="he-IL"/>
              </w:rPr>
              <w:t>מעבר מדיגום שנתי לרבעוני ל-TCE+dichloromethane; הוספת פאנל 1,4-dioxane</w:t>
            </w:r>
          </w:p>
        </w:tc>
        <w:tc>
          <w:tcPr>
            <w:tcW w:type="dxa" w:w="2160"/>
          </w:tcPr>
          <w:p>
            <w:pPr>
              <w:bidi/>
              <w:jc w:val="both"/>
              <w:rPr>
                <w:rtl/>
              </w:rPr>
            </w:pPr>
            <w:r>
              <w:rPr>
                <w:rtl/>
                <w:rFonts w:cs="Arial"/>
                <w:lang w:bidi="he-IL"/>
              </w:rPr>
            </w:r>
            <w:r>
              <w:rPr>
                <w:rtl/>
                <w:rFonts w:cs="Arial"/>
                <w:lang w:bidi="he-IL"/>
              </w:rPr>
              <w:t>קו-חזית לבריאות הציבור; מגמות עולות</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1.4 ניטור כלוריד מורחב ב-מק חולון 12</w:t>
            </w:r>
          </w:p>
        </w:tc>
        <w:tc>
          <w:tcPr>
            <w:tcW w:type="dxa" w:w="2160"/>
          </w:tcPr>
          <w:p>
            <w:pPr>
              <w:bidi/>
              <w:jc w:val="both"/>
              <w:rPr>
                <w:rtl/>
              </w:rPr>
            </w:pPr>
            <w:r>
              <w:rPr>
                <w:rtl/>
                <w:rFonts w:cs="Arial"/>
                <w:lang w:bidi="he-IL"/>
              </w:rPr>
            </w:r>
            <w:r>
              <w:rPr>
                <w:rtl/>
                <w:rFonts w:cs="Arial"/>
                <w:lang w:bidi="he-IL"/>
              </w:rPr>
              <w:t>להוסיף EC + Na + SO₄ לצד הכלוריד</w:t>
            </w:r>
          </w:p>
        </w:tc>
        <w:tc>
          <w:tcPr>
            <w:tcW w:type="dxa" w:w="2160"/>
          </w:tcPr>
          <w:p>
            <w:pPr>
              <w:bidi/>
              <w:jc w:val="both"/>
              <w:rPr>
                <w:rtl/>
              </w:rPr>
            </w:pPr>
            <w:r>
              <w:rPr>
                <w:rtl/>
                <w:rFonts w:cs="Arial"/>
                <w:lang w:bidi="he-IL"/>
              </w:rPr>
            </w:r>
            <w:r>
              <w:rPr>
                <w:rtl/>
                <w:rFonts w:cs="Arial"/>
                <w:lang w:bidi="he-IL"/>
              </w:rPr>
              <w:t>להבחין חדירת מי-ים מהזרמת מליחות תעשייתית</w:t>
            </w:r>
          </w:p>
        </w:tc>
      </w:tr>
      <w:tr>
        <w:tc>
          <w:tcPr>
            <w:tcW w:type="dxa" w:w="2160"/>
          </w:tcPr>
          <w:p>
            <w:pPr>
              <w:bidi/>
              <w:jc w:val="both"/>
              <w:rPr>
                <w:rtl/>
              </w:rPr>
            </w:pPr>
            <w:r>
              <w:rPr>
                <w:rtl/>
                <w:rFonts w:cs="Arial"/>
                <w:lang w:bidi="he-IL"/>
              </w:rPr>
            </w:r>
            <w:r>
              <w:rPr>
                <w:b/>
                <w:rtl/>
                <w:rFonts w:cs="Arial"/>
                <w:lang w:bidi="he-IL"/>
              </w:rPr>
              <w:t>קידוחי ניטור חדשים/חלופיים</w:t>
            </w:r>
          </w:p>
        </w:tc>
        <w:tc>
          <w:tcPr>
            <w:tcW w:type="dxa" w:w="2160"/>
          </w:tcPr>
          <w:p>
            <w:pPr>
              <w:bidi/>
              <w:jc w:val="both"/>
              <w:rPr>
                <w:rtl/>
              </w:rPr>
            </w:pPr>
            <w:r>
              <w:rPr>
                <w:rtl/>
                <w:rFonts w:cs="Arial"/>
                <w:lang w:bidi="he-IL"/>
              </w:rPr>
            </w:r>
            <w:r>
              <w:rPr>
                <w:rtl/>
                <w:rFonts w:cs="Arial"/>
                <w:lang w:bidi="he-IL"/>
              </w:rPr>
              <w:t>2.1 קמפיין PFAS ממוקד</w:t>
            </w:r>
          </w:p>
        </w:tc>
        <w:tc>
          <w:tcPr>
            <w:tcW w:type="dxa" w:w="2160"/>
          </w:tcPr>
          <w:p>
            <w:pPr>
              <w:bidi/>
              <w:jc w:val="both"/>
              <w:rPr>
                <w:rtl/>
              </w:rPr>
            </w:pPr>
            <w:r>
              <w:rPr>
                <w:rtl/>
                <w:rFonts w:cs="Arial"/>
                <w:lang w:bidi="he-IL"/>
              </w:rPr>
            </w:r>
            <w:r>
              <w:rPr>
                <w:rtl/>
                <w:rFonts w:cs="Arial"/>
                <w:lang w:bidi="he-IL"/>
              </w:rPr>
              <w:t>לפחות שמונה נקודות דיגום PFAS: מתחם מרכבות האש, מורד כל תת-אשכול תעשייתי, מורד אתרי הדלק הגדולים, ונקודת רקע אזורי במעלה</w:t>
            </w:r>
          </w:p>
        </w:tc>
        <w:tc>
          <w:tcPr>
            <w:tcW w:type="dxa" w:w="2160"/>
          </w:tcPr>
          <w:p>
            <w:pPr>
              <w:bidi/>
              <w:jc w:val="both"/>
              <w:rPr>
                <w:rtl/>
              </w:rPr>
            </w:pPr>
            <w:r>
              <w:rPr>
                <w:rtl/>
                <w:rFonts w:cs="Arial"/>
                <w:lang w:bidi="he-IL"/>
              </w:rPr>
            </w:r>
            <w:r>
              <w:rPr>
                <w:rtl/>
                <w:rFonts w:cs="Arial"/>
                <w:lang w:bidi="he-IL"/>
              </w:rPr>
              <w:t>פער כיסוי כלל-אזורי; PFAS = לא-ראיה כיום</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2.2 התקנת קידוח-עד (sentinel) בין נת חולון 14 ל-26</w:t>
            </w:r>
          </w:p>
        </w:tc>
        <w:tc>
          <w:tcPr>
            <w:tcW w:type="dxa" w:w="2160"/>
          </w:tcPr>
          <w:p>
            <w:pPr>
              <w:bidi/>
              <w:jc w:val="both"/>
              <w:rPr>
                <w:rtl/>
              </w:rPr>
            </w:pPr>
            <w:r>
              <w:rPr>
                <w:rtl/>
                <w:rFonts w:cs="Arial"/>
                <w:lang w:bidi="he-IL"/>
              </w:rPr>
            </w:r>
            <w:r>
              <w:rPr>
                <w:rtl/>
                <w:rFonts w:cs="Arial"/>
                <w:lang w:bidi="he-IL"/>
              </w:rPr>
              <w:t>להתקין קידוח-עד לאפיון קפיצת ×12 בכרום</w:t>
            </w:r>
          </w:p>
        </w:tc>
        <w:tc>
          <w:tcPr>
            <w:tcW w:type="dxa" w:w="2160"/>
          </w:tcPr>
          <w:p>
            <w:pPr>
              <w:bidi/>
              <w:jc w:val="both"/>
              <w:rPr>
                <w:rtl/>
              </w:rPr>
            </w:pPr>
            <w:r>
              <w:rPr>
                <w:rtl/>
                <w:rFonts w:cs="Arial"/>
                <w:lang w:bidi="he-IL"/>
              </w:rPr>
            </w:r>
            <w:r>
              <w:rPr>
                <w:rtl/>
                <w:rFonts w:cs="Arial"/>
                <w:lang w:bidi="he-IL"/>
              </w:rPr>
              <w:t>קובע אם מקור יחיד או כפול</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2.3 חידוש ניטור במוקד תדירגן ובאגד</w:t>
            </w:r>
          </w:p>
        </w:tc>
        <w:tc>
          <w:tcPr>
            <w:tcW w:type="dxa" w:w="2160"/>
          </w:tcPr>
          <w:p>
            <w:pPr>
              <w:bidi/>
              <w:jc w:val="both"/>
              <w:rPr>
                <w:rtl/>
              </w:rPr>
            </w:pPr>
            <w:r>
              <w:rPr>
                <w:rtl/>
                <w:rFonts w:cs="Arial"/>
                <w:lang w:bidi="he-IL"/>
              </w:rPr>
            </w:r>
            <w:r>
              <w:rPr>
                <w:rtl/>
                <w:rFonts w:cs="Arial"/>
                <w:lang w:bidi="he-IL"/>
              </w:rPr>
              <w:t>קידוח/חידוש ניטור לתדירגן ההיסטורי (פוסט-שיקום) ולאשכול אגד (CVOC אחרון 2019)</w:t>
            </w:r>
          </w:p>
        </w:tc>
        <w:tc>
          <w:tcPr>
            <w:tcW w:type="dxa" w:w="2160"/>
          </w:tcPr>
          <w:p>
            <w:pPr>
              <w:bidi/>
              <w:jc w:val="both"/>
              <w:rPr>
                <w:rtl/>
              </w:rPr>
            </w:pPr>
            <w:r>
              <w:rPr>
                <w:rtl/>
                <w:rFonts w:cs="Arial"/>
                <w:lang w:bidi="he-IL"/>
              </w:rPr>
            </w:r>
            <w:r>
              <w:rPr>
                <w:rtl/>
                <w:rFonts w:cs="Arial"/>
                <w:lang w:bidi="he-IL"/>
              </w:rPr>
              <w:t>להעריך אפקטיביות שיקום ומצב VC נוכחי</w:t>
            </w:r>
          </w:p>
        </w:tc>
      </w:tr>
      <w:tr>
        <w:tc>
          <w:tcPr>
            <w:tcW w:type="dxa" w:w="2160"/>
          </w:tcPr>
          <w:p>
            <w:pPr>
              <w:bidi/>
              <w:jc w:val="both"/>
              <w:rPr>
                <w:rtl/>
              </w:rPr>
            </w:pPr>
            <w:r>
              <w:rPr>
                <w:rtl/>
                <w:rFonts w:cs="Arial"/>
                <w:lang w:bidi="he-IL"/>
              </w:rPr>
            </w:r>
            <w:r>
              <w:rPr>
                <w:b/>
                <w:rtl/>
                <w:rFonts w:cs="Arial"/>
                <w:lang w:bidi="he-IL"/>
              </w:rPr>
              <w:t>חקירת מקורות זיהום</w:t>
            </w:r>
          </w:p>
        </w:tc>
        <w:tc>
          <w:tcPr>
            <w:tcW w:type="dxa" w:w="2160"/>
          </w:tcPr>
          <w:p>
            <w:pPr>
              <w:bidi/>
              <w:jc w:val="both"/>
              <w:rPr>
                <w:rtl/>
              </w:rPr>
            </w:pPr>
            <w:r>
              <w:rPr>
                <w:rtl/>
                <w:rFonts w:cs="Arial"/>
                <w:lang w:bidi="he-IL"/>
              </w:rPr>
            </w:r>
            <w:r>
              <w:rPr>
                <w:rtl/>
                <w:rFonts w:cs="Arial"/>
                <w:lang w:bidi="he-IL"/>
              </w:rPr>
              <w:t>3.1 ספציאציה כימית אזורית</w:t>
            </w:r>
          </w:p>
        </w:tc>
        <w:tc>
          <w:tcPr>
            <w:tcW w:type="dxa" w:w="2160"/>
          </w:tcPr>
          <w:p>
            <w:pPr>
              <w:bidi/>
              <w:jc w:val="both"/>
              <w:rPr>
                <w:rtl/>
              </w:rPr>
            </w:pPr>
            <w:r>
              <w:rPr>
                <w:rtl/>
                <w:rFonts w:cs="Arial"/>
                <w:lang w:bidi="he-IL"/>
              </w:rPr>
            </w:r>
            <w:r>
              <w:rPr>
                <w:rtl/>
                <w:rFonts w:cs="Arial"/>
                <w:lang w:bidi="he-IL"/>
              </w:rPr>
              <w:t>Cr(VI)/Cr(III) ב-נת חולון 26/14; As(III)/As(V) ב-נת חולון 5/6/7</w:t>
            </w:r>
          </w:p>
        </w:tc>
        <w:tc>
          <w:tcPr>
            <w:tcW w:type="dxa" w:w="2160"/>
          </w:tcPr>
          <w:p>
            <w:pPr>
              <w:bidi/>
              <w:jc w:val="both"/>
              <w:rPr>
                <w:rtl/>
              </w:rPr>
            </w:pPr>
            <w:r>
              <w:rPr>
                <w:rtl/>
                <w:rFonts w:cs="Arial"/>
                <w:lang w:bidi="he-IL"/>
              </w:rPr>
            </w:r>
            <w:r>
              <w:rPr>
                <w:rtl/>
                <w:rFonts w:cs="Arial"/>
                <w:lang w:bidi="he-IL"/>
              </w:rPr>
              <w:t>מכריע בין מקור אנתרופוגני לגאוגני</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3.2 מאזן-מסה ו-CSIA לליבה</w:t>
            </w:r>
          </w:p>
        </w:tc>
        <w:tc>
          <w:tcPr>
            <w:tcW w:type="dxa" w:w="2160"/>
          </w:tcPr>
          <w:p>
            <w:pPr>
              <w:bidi/>
              <w:jc w:val="both"/>
              <w:rPr>
                <w:rtl/>
              </w:rPr>
            </w:pPr>
            <w:r>
              <w:rPr>
                <w:rtl/>
                <w:rFonts w:cs="Arial"/>
                <w:lang w:bidi="he-IL"/>
              </w:rPr>
            </w:r>
            <w:r>
              <w:rPr>
                <w:rtl/>
                <w:rFonts w:cs="Arial"/>
                <w:lang w:bidi="he-IL"/>
              </w:rPr>
              <w:t>מיפוי 1,1,1-TCA per-well + מאזן-מסה TCA→1,1-DCE; CSIA (δ13C) על TCE</w:t>
            </w:r>
          </w:p>
        </w:tc>
        <w:tc>
          <w:tcPr>
            <w:tcW w:type="dxa" w:w="2160"/>
          </w:tcPr>
          <w:p>
            <w:pPr>
              <w:bidi/>
              <w:jc w:val="both"/>
              <w:rPr>
                <w:rtl/>
              </w:rPr>
            </w:pPr>
            <w:r>
              <w:rPr>
                <w:rtl/>
                <w:rFonts w:cs="Arial"/>
                <w:lang w:bidi="he-IL"/>
              </w:rPr>
            </w:r>
            <w:r>
              <w:rPr>
                <w:rtl/>
                <w:rFonts w:cs="Arial"/>
                <w:lang w:bidi="he-IL"/>
              </w:rPr>
              <w:t>קובע זהות מקור (PVDC ישיר מול TCA); מבחין מקורות תוך-אשכול</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3.3 בדיקת אטימות מכלים ומיפוי דיאוקסן</w:t>
            </w:r>
          </w:p>
        </w:tc>
        <w:tc>
          <w:tcPr>
            <w:tcW w:type="dxa" w:w="2160"/>
          </w:tcPr>
          <w:p>
            <w:pPr>
              <w:bidi/>
              <w:jc w:val="both"/>
              <w:rPr>
                <w:rtl/>
              </w:rPr>
            </w:pPr>
            <w:r>
              <w:rPr>
                <w:rtl/>
                <w:rFonts w:cs="Arial"/>
                <w:lang w:bidi="he-IL"/>
              </w:rPr>
            </w:r>
            <w:r>
              <w:rPr>
                <w:rtl/>
                <w:rFonts w:cs="Arial"/>
                <w:lang w:bidi="he-IL"/>
              </w:rPr>
              <w:t>UST tightness במוקד התדלוק הדרומי; מיפוי דיאוקסן מול TCA לאורך זמן</w:t>
            </w:r>
          </w:p>
        </w:tc>
        <w:tc>
          <w:tcPr>
            <w:tcW w:type="dxa" w:w="2160"/>
          </w:tcPr>
          <w:p>
            <w:pPr>
              <w:bidi/>
              <w:jc w:val="both"/>
              <w:rPr>
                <w:rtl/>
              </w:rPr>
            </w:pPr>
            <w:r>
              <w:rPr>
                <w:rtl/>
                <w:rFonts w:cs="Arial"/>
                <w:lang w:bidi="he-IL"/>
              </w:rPr>
            </w:r>
            <w:r>
              <w:rPr>
                <w:rtl/>
                <w:rFonts w:cs="Arial"/>
                <w:lang w:bidi="he-IL"/>
              </w:rPr>
              <w:t>מבחין שחרור-טרי ממיושן; עוקב חזית הפלומה</w:t>
            </w:r>
          </w:p>
        </w:tc>
      </w:tr>
      <w:tr>
        <w:tc>
          <w:tcPr>
            <w:tcW w:type="dxa" w:w="2160"/>
          </w:tcPr>
          <w:p>
            <w:pPr>
              <w:bidi/>
              <w:jc w:val="both"/>
              <w:rPr>
                <w:rtl/>
              </w:rPr>
            </w:pPr>
            <w:r>
              <w:rPr>
                <w:rtl/>
                <w:rFonts w:cs="Arial"/>
                <w:lang w:bidi="he-IL"/>
              </w:rPr>
            </w:r>
            <w:r>
              <w:rPr>
                <w:b/>
                <w:rtl/>
                <w:rFonts w:cs="Arial"/>
                <w:lang w:bidi="he-IL"/>
              </w:rPr>
              <w:t>השפעה על הפקה/מדיניות</w:t>
            </w:r>
          </w:p>
        </w:tc>
        <w:tc>
          <w:tcPr>
            <w:tcW w:type="dxa" w:w="2160"/>
          </w:tcPr>
          <w:p>
            <w:pPr>
              <w:bidi/>
              <w:jc w:val="both"/>
              <w:rPr>
                <w:rtl/>
              </w:rPr>
            </w:pPr>
            <w:r>
              <w:rPr>
                <w:rtl/>
                <w:rFonts w:cs="Arial"/>
                <w:lang w:bidi="he-IL"/>
              </w:rPr>
            </w:r>
            <w:r>
              <w:rPr>
                <w:rtl/>
                <w:rFonts w:cs="Arial"/>
                <w:lang w:bidi="he-IL"/>
              </w:rPr>
              <w:t>4.1 הערכת מסלול ל-מק חולון 14</w:t>
            </w:r>
          </w:p>
        </w:tc>
        <w:tc>
          <w:tcPr>
            <w:tcW w:type="dxa" w:w="2160"/>
          </w:tcPr>
          <w:p>
            <w:pPr>
              <w:bidi/>
              <w:jc w:val="both"/>
              <w:rPr>
                <w:rtl/>
              </w:rPr>
            </w:pPr>
            <w:r>
              <w:rPr>
                <w:rtl/>
                <w:rFonts w:cs="Arial"/>
                <w:lang w:bidi="he-IL"/>
              </w:rPr>
            </w:r>
            <w:r>
              <w:rPr>
                <w:rtl/>
                <w:rFonts w:cs="Arial"/>
                <w:lang w:bidi="he-IL"/>
              </w:rPr>
              <w:t>הערכת זמן-מעבר מהמקור, סטטוס הפקה וטיפול מיושם</w:t>
            </w:r>
          </w:p>
        </w:tc>
        <w:tc>
          <w:tcPr>
            <w:tcW w:type="dxa" w:w="2160"/>
          </w:tcPr>
          <w:p>
            <w:pPr>
              <w:bidi/>
              <w:jc w:val="both"/>
              <w:rPr>
                <w:rtl/>
              </w:rPr>
            </w:pPr>
            <w:r>
              <w:rPr>
                <w:rtl/>
                <w:rFonts w:cs="Arial"/>
                <w:lang w:bidi="he-IL"/>
              </w:rPr>
            </w:r>
            <w:r>
              <w:rPr>
                <w:rtl/>
                <w:rFonts w:cs="Arial"/>
                <w:lang w:bidi="he-IL"/>
              </w:rPr>
              <w:t>חוצה-תחומי — קשור גם ל-1.3; תיאום עם מקורות</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4.2 בדיקת סטטוס וחידוש ניטור ל-מק חולון 5</w:t>
            </w:r>
          </w:p>
        </w:tc>
        <w:tc>
          <w:tcPr>
            <w:tcW w:type="dxa" w:w="2160"/>
          </w:tcPr>
          <w:p>
            <w:pPr>
              <w:bidi/>
              <w:jc w:val="both"/>
              <w:rPr>
                <w:rtl/>
              </w:rPr>
            </w:pPr>
            <w:r>
              <w:rPr>
                <w:rtl/>
                <w:rFonts w:cs="Arial"/>
                <w:lang w:bidi="he-IL"/>
              </w:rPr>
            </w:r>
            <w:r>
              <w:rPr>
                <w:rtl/>
                <w:rFonts w:cs="Arial"/>
                <w:lang w:bidi="he-IL"/>
              </w:rPr>
              <w:t>לוודא אם הקידוח עדיין מופק; לחדש ניטור Ni + CVOC</w:t>
            </w:r>
          </w:p>
        </w:tc>
        <w:tc>
          <w:tcPr>
            <w:tcW w:type="dxa" w:w="2160"/>
          </w:tcPr>
          <w:p>
            <w:pPr>
              <w:bidi/>
              <w:jc w:val="both"/>
              <w:rPr>
                <w:rtl/>
              </w:rPr>
            </w:pPr>
            <w:r>
              <w:rPr>
                <w:rtl/>
                <w:rFonts w:cs="Arial"/>
                <w:lang w:bidi="he-IL"/>
              </w:rPr>
            </w:r>
            <w:r>
              <w:rPr>
                <w:rtl/>
                <w:rFonts w:cs="Arial"/>
                <w:lang w:bidi="he-IL"/>
              </w:rPr>
              <w:t>לחץ כפול (רימטל + פלומת בהק) לפי הדוחות</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4.3 תיאום בין-רשותי</w:t>
            </w:r>
          </w:p>
        </w:tc>
        <w:tc>
          <w:tcPr>
            <w:tcW w:type="dxa" w:w="2160"/>
          </w:tcPr>
          <w:p>
            <w:pPr>
              <w:bidi/>
              <w:jc w:val="both"/>
              <w:rPr>
                <w:rtl/>
              </w:rPr>
            </w:pPr>
            <w:r>
              <w:rPr>
                <w:rtl/>
                <w:rFonts w:cs="Arial"/>
                <w:lang w:bidi="he-IL"/>
              </w:rPr>
            </w:r>
            <w:r>
              <w:rPr>
                <w:rtl/>
                <w:rFonts w:cs="Arial"/>
                <w:lang w:bidi="he-IL"/>
              </w:rPr>
              <w:t>תיאום מקורות + תאגיד בת-ים + המשרד להגנת הסביבה סביב ציר ההפקה</w:t>
            </w:r>
          </w:p>
        </w:tc>
        <w:tc>
          <w:tcPr>
            <w:tcW w:type="dxa" w:w="2160"/>
          </w:tcPr>
          <w:p>
            <w:pPr>
              <w:bidi/>
              <w:jc w:val="both"/>
              <w:rPr>
                <w:rtl/>
              </w:rPr>
            </w:pPr>
            <w:r>
              <w:rPr>
                <w:rtl/>
                <w:rFonts w:cs="Arial"/>
                <w:lang w:bidi="he-IL"/>
              </w:rPr>
            </w:r>
            <w:r>
              <w:rPr>
                <w:rtl/>
                <w:rFonts w:cs="Arial"/>
                <w:lang w:bidi="he-IL"/>
              </w:rPr>
              <w:t>חוצה-תחומי; מאפשר את 4.1–4.2</w:t>
            </w:r>
          </w:p>
        </w:tc>
      </w:tr>
    </w:tbl>
    <w:p>
      <w:pPr>
        <w:bidi/>
        <w:jc w:val="both"/>
        <w:rPr>
          <w:rtl/>
        </w:rPr>
      </w:pPr>
      <w:r>
        <w:rPr>
          <w:rtl/>
          <w:rFonts w:cs="Arial"/>
          <w:lang w:bidi="he-IL"/>
        </w:rPr>
        <w:t>──────────────────────────────────────────────────</w:t>
      </w:r>
    </w:p>
    <w:p>
      <w:pPr>
        <w:bidi/>
        <w:pStyle w:val="Heading2"/>
        <w:jc w:val="both"/>
        <w:rPr>
          <w:rtl/>
        </w:rPr>
      </w:pPr>
      <w:r>
        <w:rPr>
          <w:rtl/>
          <w:rFonts w:cs="Arial"/>
          <w:lang w:bidi="he-IL"/>
        </w:rPr>
        <w:t>7. מתודולוגיה</w:t>
      </w:r>
    </w:p>
    <w:p>
      <w:pPr>
        <w:bidi/>
        <w:jc w:val="both"/>
        <w:rPr>
          <w:rtl/>
        </w:rPr>
      </w:pPr>
      <w:r>
        <w:rPr>
          <w:rtl/>
          <w:rFonts w:cs="Arial"/>
          <w:lang w:bidi="he-IL"/>
        </w:rPr>
        <w:t>אינדקס החומרה מחושב כיחס בין הריכוז המרבי בחלון 5 שנים לבין תקן מי השתייה, כפול 100, וממופה לסולם בן 9 רמות (0–8) — ראה מסמכי המתודולוגיה הכלליים לטבלת הרמות המלאה. חלון הניתוח הוא 5 שנים (פברואר 2021 – פברואר 2026). מנין הקידוחים: 46 ניטור כללי + 63 דלק = 111. ניתוח המגמות מבוסס על מבחן Mann-Kendall (שונות מתוקנת-קשרים, Z מתוקן-רציפות), עם סינון יחס אות/רעש (סף 0.3) וטריגר רך (שני ערכים עולים רצופים בחלון); אין שימוש ברגרסיה לינארית. TPFAS ו-BETK הוחרגו כסכומים מחושבים. תקני מי השתייה לפי משרד הבריאות (1303/2013), עם נפילה לתקני US EPA עבור 1,1-DCE, 1,4-dioxane, TBA ו-VC.</w:t>
      </w:r>
    </w:p>
    <w:p>
      <w:pPr>
        <w:bidi/>
        <w:jc w:val="both"/>
        <w:rPr>
          <w:rtl/>
        </w:rPr>
      </w:pPr>
      <w:r>
        <w:rPr>
          <w:rtl/>
          <w:rFonts w:cs="Arial"/>
          <w:lang w:bidi="he-IL"/>
        </w:rPr>
        <w:t>──────────────────────────────────────────────────</w:t>
      </w:r>
    </w:p>
    <w:p>
      <w:pPr>
        <w:bidi/>
        <w:pStyle w:val="Heading2"/>
        <w:jc w:val="both"/>
        <w:rPr>
          <w:rtl/>
        </w:rPr>
      </w:pPr>
      <w:r>
        <w:rPr>
          <w:rtl/>
          <w:rFonts w:cs="Arial"/>
          <w:lang w:bidi="he-IL"/>
        </w:rPr>
        <w:t>8. מגבלות</w:t>
      </w:r>
    </w:p>
    <w:p>
      <w:pPr>
        <w:bidi/>
        <w:pStyle w:val="ListBullet"/>
        <w:jc w:val="both"/>
        <w:rPr>
          <w:rtl/>
        </w:rPr>
      </w:pPr>
      <w:r>
        <w:rPr>
          <w:b/>
          <w:rtl/>
          <w:rFonts w:cs="Arial"/>
          <w:lang w:bidi="he-IL"/>
        </w:rPr>
        <w:t>פערי נתונים</w:t>
      </w:r>
      <w:r>
        <w:rPr>
          <w:rtl/>
          <w:rFonts w:cs="Arial"/>
          <w:lang w:bidi="he-IL"/>
        </w:rPr>
        <w:t>: כיסוי PFAS של 3.6% בלבד (לא-ראיה, לא היעדר); הפסקות ניטור ארוכות בקידוחים בעלי עדיפות גבוהה (עד ~98 חודשים); העדר ספציאציה ל-Cr ול-As; והעדר פרמטרי תוצר-קצה לפירוק.</w:t>
      </w:r>
    </w:p>
    <w:p>
      <w:pPr>
        <w:bidi/>
        <w:pStyle w:val="ListBullet"/>
        <w:jc w:val="both"/>
        <w:rPr>
          <w:rtl/>
        </w:rPr>
      </w:pPr>
      <w:r>
        <w:rPr>
          <w:b/>
          <w:rtl/>
          <w:rFonts w:cs="Arial"/>
          <w:lang w:bidi="he-IL"/>
        </w:rPr>
        <w:t>הנחות</w:t>
      </w:r>
      <w:r>
        <w:rPr>
          <w:rtl/>
          <w:rFonts w:cs="Arial"/>
          <w:lang w:bidi="he-IL"/>
        </w:rPr>
        <w:t>: תקני מי השתייה (DWS) ננקטו כקבועים; חלק מהתקנים (1,1-DCE, 1,4-dioxane, TBA, VC) מבוססים על US EPA בהעדר תקן ישראלי. מדידות-יחיד וערכים גבוהים מאוד על בסיס מדידות מעטות (נת חולון 26 — שלוש מדידות) מחייבים דגימת-אישור.</w:t>
      </w:r>
    </w:p>
    <w:p>
      <w:pPr>
        <w:bidi/>
        <w:pStyle w:val="ListBullet"/>
        <w:jc w:val="both"/>
        <w:rPr>
          <w:rtl/>
        </w:rPr>
      </w:pPr>
      <w:r>
        <w:rPr>
          <w:b/>
          <w:rtl/>
          <w:rFonts w:cs="Arial"/>
          <w:lang w:bidi="he-IL"/>
        </w:rPr>
        <w:t>הטיית-מדגם</w:t>
      </w:r>
      <w:r>
        <w:rPr>
          <w:rtl/>
          <w:rFonts w:cs="Arial"/>
          <w:lang w:bidi="he-IL"/>
        </w:rPr>
        <w:t>: קידוחי הניטור הוצבו במכוון בקרבת מקורות חשודים, ולכן אינם מדגם מייצג של איכות המים בכלל האזור; אין להסיק מהם הערכה כלל-אזורית ישירה.</w:t>
      </w:r>
    </w:p>
    <w:p>
      <w:pPr>
        <w:bidi/>
        <w:pStyle w:val="ListBullet"/>
        <w:jc w:val="both"/>
        <w:rPr>
          <w:rtl/>
        </w:rPr>
      </w:pPr>
      <w:r>
        <w:rPr>
          <w:b/>
          <w:rtl/>
          <w:rFonts w:cs="Arial"/>
          <w:lang w:bidi="he-IL"/>
        </w:rPr>
        <w:t>ייחוס פורנזי</w:t>
      </w:r>
      <w:r>
        <w:rPr>
          <w:rtl/>
          <w:rFonts w:cs="Arial"/>
          <w:lang w:bidi="he-IL"/>
        </w:rPr>
        <w:t>: כל ייחוס מקור הוא פרשני (רמת ודאות גבוהה/בינונית/נמוכה) עד לאישור הידרולוג מוסמך; חתימה כימית זהה אינה מוכיחה מקור יחיד.</w:t>
      </w:r>
    </w:p>
    <w:p>
      <w:pPr>
        <w:bidi/>
        <w:jc w:val="both"/>
        <w:rPr>
          <w:rtl/>
        </w:rPr>
      </w:pPr>
      <w:r>
        <w:rPr>
          <w:rtl/>
          <w:rFonts w:cs="Arial"/>
          <w:lang w:bidi="he-IL"/>
        </w:rPr>
        <w:t>──────────────────────────────────────────────────</w:t>
      </w:r>
    </w:p>
    <w:p>
      <w:pPr>
        <w:bidi/>
        <w:pStyle w:val="Heading2"/>
        <w:jc w:val="both"/>
        <w:rPr>
          <w:rtl/>
        </w:rPr>
      </w:pPr>
      <w:r>
        <w:rPr>
          <w:rtl/>
          <w:rFonts w:cs="Arial"/>
          <w:lang w:bidi="he-IL"/>
        </w:rPr>
        <w:t>נספחים</w:t>
      </w:r>
    </w:p>
    <w:p>
      <w:pPr>
        <w:bidi/>
        <w:pStyle w:val="Heading3"/>
        <w:jc w:val="both"/>
        <w:rPr>
          <w:rtl/>
        </w:rPr>
      </w:pPr>
      <w:r>
        <w:rPr>
          <w:rtl/>
          <w:rFonts w:cs="Arial"/>
          <w:lang w:bidi="he-IL"/>
        </w:rPr>
        <w:t>נספח א — סיווג קידוחים (מבחר)</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both"/>
              <w:rPr>
                <w:rtl/>
              </w:rPr>
            </w:pPr>
            <w:r>
              <w:rPr>
                <w:b/>
                <w:rtl/>
                <w:rFonts w:cs="Arial"/>
                <w:lang w:bidi="he-IL"/>
              </w:rPr>
            </w:r>
            <w:r>
              <w:rPr>
                <w:b/>
                <w:rtl/>
                <w:rFonts w:cs="Arial"/>
                <w:lang w:bidi="he-IL"/>
              </w:rPr>
              <w:t>קידוח</w:t>
            </w:r>
          </w:p>
        </w:tc>
        <w:tc>
          <w:tcPr>
            <w:tcW w:type="dxa" w:w="2160"/>
          </w:tcPr>
          <w:p>
            <w:pPr>
              <w:bidi/>
              <w:jc w:val="both"/>
              <w:rPr>
                <w:rtl/>
              </w:rPr>
            </w:pPr>
            <w:r>
              <w:rPr>
                <w:b/>
                <w:rtl/>
                <w:rFonts w:cs="Arial"/>
                <w:lang w:bidi="he-IL"/>
              </w:rPr>
            </w:r>
            <w:r>
              <w:rPr>
                <w:b/>
                <w:rtl/>
                <w:rFonts w:cs="Arial"/>
                <w:lang w:bidi="he-IL"/>
              </w:rPr>
              <w:t>אינדקס משפחה מרבי</w:t>
            </w:r>
          </w:p>
        </w:tc>
        <w:tc>
          <w:tcPr>
            <w:tcW w:type="dxa" w:w="2160"/>
          </w:tcPr>
          <w:p>
            <w:pPr>
              <w:bidi/>
              <w:jc w:val="both"/>
              <w:rPr>
                <w:rtl/>
              </w:rPr>
            </w:pPr>
            <w:r>
              <w:rPr>
                <w:b/>
                <w:rtl/>
                <w:rFonts w:cs="Arial"/>
                <w:lang w:bidi="he-IL"/>
              </w:rPr>
            </w:r>
            <w:r>
              <w:rPr>
                <w:b/>
                <w:rtl/>
                <w:rFonts w:cs="Arial"/>
                <w:lang w:bidi="he-IL"/>
              </w:rPr>
              <w:t>סטטוס</w:t>
            </w:r>
          </w:p>
        </w:tc>
        <w:tc>
          <w:tcPr>
            <w:tcW w:type="dxa" w:w="2160"/>
          </w:tcPr>
          <w:p>
            <w:pPr>
              <w:bidi/>
              <w:jc w:val="both"/>
              <w:rPr>
                <w:rtl/>
              </w:rPr>
            </w:pPr>
            <w:r>
              <w:rPr>
                <w:b/>
                <w:rtl/>
                <w:rFonts w:cs="Arial"/>
                <w:lang w:bidi="he-IL"/>
              </w:rPr>
            </w:r>
            <w:r>
              <w:rPr>
                <w:b/>
                <w:rtl/>
                <w:rFonts w:cs="Arial"/>
                <w:lang w:bidi="he-IL"/>
              </w:rPr>
              <w:t>הערות</w:t>
            </w:r>
          </w:p>
        </w:tc>
      </w:tr>
      <w:tr>
        <w:tc>
          <w:tcPr>
            <w:tcW w:type="dxa" w:w="2160"/>
          </w:tcPr>
          <w:p>
            <w:pPr>
              <w:bidi/>
              <w:jc w:val="both"/>
              <w:rPr>
                <w:rtl/>
              </w:rPr>
            </w:pPr>
            <w:r>
              <w:rPr>
                <w:rtl/>
                <w:rFonts w:cs="Arial"/>
                <w:lang w:bidi="he-IL"/>
              </w:rPr>
            </w:r>
            <w:r>
              <w:rPr>
                <w:rtl/>
                <w:rFonts w:cs="Arial"/>
                <w:lang w:bidi="he-IL"/>
              </w:rPr>
              <w:t>נת חולון 11</w:t>
            </w:r>
          </w:p>
        </w:tc>
        <w:tc>
          <w:tcPr>
            <w:tcW w:type="dxa" w:w="2160"/>
          </w:tcPr>
          <w:p>
            <w:pPr>
              <w:bidi/>
              <w:jc w:val="both"/>
              <w:rPr>
                <w:rtl/>
              </w:rPr>
            </w:pPr>
            <w:r>
              <w:rPr>
                <w:rtl/>
                <w:rFonts w:cs="Arial"/>
                <w:lang w:bidi="he-IL"/>
              </w:rPr>
            </w:r>
            <w:r>
              <w:rPr>
                <w:rtl/>
                <w:rFonts w:cs="Arial"/>
                <w:lang w:bidi="he-IL"/>
              </w:rPr>
              <w:t>CVOC 8</w:t>
            </w:r>
          </w:p>
        </w:tc>
        <w:tc>
          <w:tcPr>
            <w:tcW w:type="dxa" w:w="2160"/>
          </w:tcPr>
          <w:p>
            <w:pPr>
              <w:bidi/>
              <w:jc w:val="both"/>
              <w:rPr>
                <w:rtl/>
              </w:rPr>
            </w:pPr>
            <w:r>
              <w:rPr>
                <w:rtl/>
                <w:rFonts w:cs="Arial"/>
                <w:lang w:bidi="he-IL"/>
              </w:rPr>
            </w:r>
            <w:r>
              <w:rPr>
                <w:rtl/>
                <w:rFonts w:cs="Arial"/>
                <w:lang w:bidi="he-IL"/>
              </w:rPr>
              <w:t>פעיל (אחרון 11/2024)</w:t>
            </w:r>
          </w:p>
        </w:tc>
        <w:tc>
          <w:tcPr>
            <w:tcW w:type="dxa" w:w="2160"/>
          </w:tcPr>
          <w:p>
            <w:pPr>
              <w:bidi/>
              <w:jc w:val="both"/>
              <w:rPr>
                <w:rtl/>
              </w:rPr>
            </w:pPr>
            <w:r>
              <w:rPr>
                <w:rtl/>
                <w:rFonts w:cs="Arial"/>
                <w:lang w:bidi="he-IL"/>
              </w:rPr>
            </w:r>
            <w:r>
              <w:rPr>
                <w:rtl/>
                <w:rFonts w:cs="Arial"/>
                <w:lang w:bidi="he-IL"/>
              </w:rPr>
              <w:t>TCE 68,660% מהתקן; 1,4-dioxane מתפרץ</w:t>
            </w:r>
          </w:p>
        </w:tc>
      </w:tr>
      <w:tr>
        <w:tc>
          <w:tcPr>
            <w:tcW w:type="dxa" w:w="2160"/>
          </w:tcPr>
          <w:p>
            <w:pPr>
              <w:bidi/>
              <w:jc w:val="both"/>
              <w:rPr>
                <w:rtl/>
              </w:rPr>
            </w:pPr>
            <w:r>
              <w:rPr>
                <w:rtl/>
                <w:rFonts w:cs="Arial"/>
                <w:lang w:bidi="he-IL"/>
              </w:rPr>
            </w:r>
            <w:r>
              <w:rPr>
                <w:rtl/>
                <w:rFonts w:cs="Arial"/>
                <w:lang w:bidi="he-IL"/>
              </w:rPr>
              <w:t>נד סונול המלאכה מ-1</w:t>
            </w:r>
          </w:p>
        </w:tc>
        <w:tc>
          <w:tcPr>
            <w:tcW w:type="dxa" w:w="2160"/>
          </w:tcPr>
          <w:p>
            <w:pPr>
              <w:bidi/>
              <w:jc w:val="both"/>
              <w:rPr>
                <w:rtl/>
              </w:rPr>
            </w:pPr>
            <w:r>
              <w:rPr>
                <w:rtl/>
                <w:rFonts w:cs="Arial"/>
                <w:lang w:bidi="he-IL"/>
              </w:rPr>
            </w:r>
            <w:r>
              <w:rPr>
                <w:rtl/>
                <w:rFonts w:cs="Arial"/>
                <w:lang w:bidi="he-IL"/>
              </w:rPr>
              <w:t>CVOC 8</w:t>
            </w:r>
          </w:p>
        </w:tc>
        <w:tc>
          <w:tcPr>
            <w:tcW w:type="dxa" w:w="2160"/>
          </w:tcPr>
          <w:p>
            <w:pPr>
              <w:bidi/>
              <w:jc w:val="both"/>
              <w:rPr>
                <w:rtl/>
              </w:rPr>
            </w:pPr>
            <w:r>
              <w:rPr>
                <w:rtl/>
                <w:rFonts w:cs="Arial"/>
                <w:lang w:bidi="he-IL"/>
              </w:rPr>
            </w:r>
            <w:r>
              <w:rPr>
                <w:rtl/>
                <w:rFonts w:cs="Arial"/>
                <w:lang w:bidi="he-IL"/>
              </w:rPr>
              <w:t>פעיל (אחרון 01/2026)</w:t>
            </w:r>
          </w:p>
        </w:tc>
        <w:tc>
          <w:tcPr>
            <w:tcW w:type="dxa" w:w="2160"/>
          </w:tcPr>
          <w:p>
            <w:pPr>
              <w:bidi/>
              <w:jc w:val="both"/>
              <w:rPr>
                <w:rtl/>
              </w:rPr>
            </w:pPr>
            <w:r>
              <w:rPr>
                <w:rtl/>
                <w:rFonts w:cs="Arial"/>
                <w:lang w:bidi="he-IL"/>
              </w:rPr>
            </w:r>
            <w:r>
              <w:rPr>
                <w:rtl/>
                <w:rFonts w:cs="Arial"/>
                <w:lang w:bidi="he-IL"/>
              </w:rPr>
              <w:t>הדגימה העדכנית ביותר באזור</w:t>
            </w:r>
          </w:p>
        </w:tc>
      </w:tr>
      <w:tr>
        <w:tc>
          <w:tcPr>
            <w:tcW w:type="dxa" w:w="2160"/>
          </w:tcPr>
          <w:p>
            <w:pPr>
              <w:bidi/>
              <w:jc w:val="both"/>
              <w:rPr>
                <w:rtl/>
              </w:rPr>
            </w:pPr>
            <w:r>
              <w:rPr>
                <w:rtl/>
                <w:rFonts w:cs="Arial"/>
                <w:lang w:bidi="he-IL"/>
              </w:rPr>
            </w:r>
            <w:r>
              <w:rPr>
                <w:rtl/>
                <w:rFonts w:cs="Arial"/>
                <w:lang w:bidi="he-IL"/>
              </w:rPr>
              <w:t>נד אגד אזור 1</w:t>
            </w:r>
          </w:p>
        </w:tc>
        <w:tc>
          <w:tcPr>
            <w:tcW w:type="dxa" w:w="2160"/>
          </w:tcPr>
          <w:p>
            <w:pPr>
              <w:bidi/>
              <w:jc w:val="both"/>
              <w:rPr>
                <w:rtl/>
              </w:rPr>
            </w:pPr>
            <w:r>
              <w:rPr>
                <w:rtl/>
                <w:rFonts w:cs="Arial"/>
                <w:lang w:bidi="he-IL"/>
              </w:rPr>
            </w:r>
            <w:r>
              <w:rPr>
                <w:rtl/>
                <w:rFonts w:cs="Arial"/>
                <w:lang w:bidi="he-IL"/>
              </w:rPr>
              <w:t>FUEL 8</w:t>
            </w:r>
          </w:p>
        </w:tc>
        <w:tc>
          <w:tcPr>
            <w:tcW w:type="dxa" w:w="2160"/>
          </w:tcPr>
          <w:p>
            <w:pPr>
              <w:bidi/>
              <w:jc w:val="both"/>
              <w:rPr>
                <w:rtl/>
              </w:rPr>
            </w:pPr>
            <w:r>
              <w:rPr>
                <w:rtl/>
                <w:rFonts w:cs="Arial"/>
                <w:lang w:bidi="he-IL"/>
              </w:rPr>
            </w:r>
            <w:r>
              <w:rPr>
                <w:rtl/>
                <w:rFonts w:cs="Arial"/>
                <w:lang w:bidi="he-IL"/>
              </w:rPr>
              <w:t>פעיל (אחרון 02/2025)</w:t>
            </w:r>
          </w:p>
        </w:tc>
        <w:tc>
          <w:tcPr>
            <w:tcW w:type="dxa" w:w="2160"/>
          </w:tcPr>
          <w:p>
            <w:pPr>
              <w:bidi/>
              <w:jc w:val="both"/>
              <w:rPr>
                <w:rtl/>
              </w:rPr>
            </w:pPr>
            <w:r>
              <w:rPr>
                <w:rtl/>
                <w:rFonts w:cs="Arial"/>
                <w:lang w:bidi="he-IL"/>
              </w:rPr>
            </w:r>
            <w:r>
              <w:rPr>
                <w:rtl/>
                <w:rFonts w:cs="Arial"/>
                <w:lang w:bidi="he-IL"/>
              </w:rPr>
              <w:t>בנזן מוצר-חופשי; פלומה משולבת</w:t>
            </w:r>
          </w:p>
        </w:tc>
      </w:tr>
      <w:tr>
        <w:tc>
          <w:tcPr>
            <w:tcW w:type="dxa" w:w="2160"/>
          </w:tcPr>
          <w:p>
            <w:pPr>
              <w:bidi/>
              <w:jc w:val="both"/>
              <w:rPr>
                <w:rtl/>
              </w:rPr>
            </w:pPr>
            <w:r>
              <w:rPr>
                <w:rtl/>
                <w:rFonts w:cs="Arial"/>
                <w:lang w:bidi="he-IL"/>
              </w:rPr>
            </w:r>
            <w:r>
              <w:rPr>
                <w:rtl/>
                <w:rFonts w:cs="Arial"/>
                <w:lang w:bidi="he-IL"/>
              </w:rPr>
              <w:t>נד פז צבר 1</w:t>
            </w:r>
          </w:p>
        </w:tc>
        <w:tc>
          <w:tcPr>
            <w:tcW w:type="dxa" w:w="2160"/>
          </w:tcPr>
          <w:p>
            <w:pPr>
              <w:bidi/>
              <w:jc w:val="both"/>
              <w:rPr>
                <w:rtl/>
              </w:rPr>
            </w:pPr>
            <w:r>
              <w:rPr>
                <w:rtl/>
                <w:rFonts w:cs="Arial"/>
                <w:lang w:bidi="he-IL"/>
              </w:rPr>
            </w:r>
            <w:r>
              <w:rPr>
                <w:rtl/>
                <w:rFonts w:cs="Arial"/>
                <w:lang w:bidi="he-IL"/>
              </w:rPr>
              <w:t>FUEL 8</w:t>
            </w:r>
          </w:p>
        </w:tc>
        <w:tc>
          <w:tcPr>
            <w:tcW w:type="dxa" w:w="2160"/>
          </w:tcPr>
          <w:p>
            <w:pPr>
              <w:bidi/>
              <w:jc w:val="both"/>
              <w:rPr>
                <w:rtl/>
              </w:rPr>
            </w:pPr>
            <w:r>
              <w:rPr>
                <w:rtl/>
                <w:rFonts w:cs="Arial"/>
                <w:lang w:bidi="he-IL"/>
              </w:rPr>
            </w:r>
            <w:r>
              <w:rPr>
                <w:rtl/>
                <w:rFonts w:cs="Arial"/>
                <w:lang w:bidi="he-IL"/>
              </w:rPr>
              <w:t>פעיל (אחרון 08/2024)</w:t>
            </w:r>
          </w:p>
        </w:tc>
        <w:tc>
          <w:tcPr>
            <w:tcW w:type="dxa" w:w="2160"/>
          </w:tcPr>
          <w:p>
            <w:pPr>
              <w:bidi/>
              <w:jc w:val="both"/>
              <w:rPr>
                <w:rtl/>
              </w:rPr>
            </w:pPr>
            <w:r>
              <w:rPr>
                <w:rtl/>
                <w:rFonts w:cs="Arial"/>
                <w:lang w:bidi="he-IL"/>
              </w:rPr>
            </w:r>
            <w:r>
              <w:rPr>
                <w:rtl/>
                <w:rFonts w:cs="Arial"/>
                <w:lang w:bidi="he-IL"/>
              </w:rPr>
              <w:t>חתימת שחרור-טרי</w:t>
            </w:r>
          </w:p>
        </w:tc>
      </w:tr>
      <w:tr>
        <w:tc>
          <w:tcPr>
            <w:tcW w:type="dxa" w:w="2160"/>
          </w:tcPr>
          <w:p>
            <w:pPr>
              <w:bidi/>
              <w:jc w:val="both"/>
              <w:rPr>
                <w:rtl/>
              </w:rPr>
            </w:pPr>
            <w:r>
              <w:rPr>
                <w:rtl/>
                <w:rFonts w:cs="Arial"/>
                <w:lang w:bidi="he-IL"/>
              </w:rPr>
            </w:r>
            <w:r>
              <w:rPr>
                <w:rtl/>
                <w:rFonts w:cs="Arial"/>
                <w:lang w:bidi="he-IL"/>
              </w:rPr>
              <w:t>נת חולון 26</w:t>
            </w:r>
          </w:p>
        </w:tc>
        <w:tc>
          <w:tcPr>
            <w:tcW w:type="dxa" w:w="2160"/>
          </w:tcPr>
          <w:p>
            <w:pPr>
              <w:bidi/>
              <w:jc w:val="both"/>
              <w:rPr>
                <w:rtl/>
              </w:rPr>
            </w:pPr>
            <w:r>
              <w:rPr>
                <w:rtl/>
                <w:rFonts w:cs="Arial"/>
                <w:lang w:bidi="he-IL"/>
              </w:rPr>
            </w:r>
            <w:r>
              <w:rPr>
                <w:rtl/>
                <w:rFonts w:cs="Arial"/>
                <w:lang w:bidi="he-IL"/>
              </w:rPr>
              <w:t>METALS 7</w:t>
            </w:r>
          </w:p>
        </w:tc>
        <w:tc>
          <w:tcPr>
            <w:tcW w:type="dxa" w:w="2160"/>
          </w:tcPr>
          <w:p>
            <w:pPr>
              <w:bidi/>
              <w:jc w:val="both"/>
              <w:rPr>
                <w:rtl/>
              </w:rPr>
            </w:pPr>
            <w:r>
              <w:rPr>
                <w:rtl/>
                <w:rFonts w:cs="Arial"/>
                <w:lang w:bidi="he-IL"/>
              </w:rPr>
            </w:r>
            <w:r>
              <w:rPr>
                <w:rtl/>
                <w:rFonts w:cs="Arial"/>
                <w:lang w:bidi="he-IL"/>
              </w:rPr>
              <w:t>הופסק הניטור (02/2023)</w:t>
            </w:r>
          </w:p>
        </w:tc>
        <w:tc>
          <w:tcPr>
            <w:tcW w:type="dxa" w:w="2160"/>
          </w:tcPr>
          <w:p>
            <w:pPr>
              <w:bidi/>
              <w:jc w:val="both"/>
              <w:rPr>
                <w:rtl/>
              </w:rPr>
            </w:pPr>
            <w:r>
              <w:rPr>
                <w:rtl/>
                <w:rFonts w:cs="Arial"/>
                <w:lang w:bidi="he-IL"/>
              </w:rPr>
            </w:r>
            <w:r>
              <w:rPr>
                <w:rtl/>
                <w:rFonts w:cs="Arial"/>
                <w:lang w:bidi="he-IL"/>
              </w:rPr>
              <w:t>כרום 7,540% מהתקן (3 מדידות)</w:t>
            </w:r>
          </w:p>
        </w:tc>
      </w:tr>
      <w:tr>
        <w:tc>
          <w:tcPr>
            <w:tcW w:type="dxa" w:w="2160"/>
          </w:tcPr>
          <w:p>
            <w:pPr>
              <w:bidi/>
              <w:jc w:val="both"/>
              <w:rPr>
                <w:rtl/>
              </w:rPr>
            </w:pPr>
            <w:r>
              <w:rPr>
                <w:rtl/>
                <w:rFonts w:cs="Arial"/>
                <w:lang w:bidi="he-IL"/>
              </w:rPr>
            </w:r>
            <w:r>
              <w:rPr>
                <w:rtl/>
                <w:rFonts w:cs="Arial"/>
                <w:lang w:bidi="he-IL"/>
              </w:rPr>
              <w:t>נד דלק מרכבות האש 1</w:t>
            </w:r>
          </w:p>
        </w:tc>
        <w:tc>
          <w:tcPr>
            <w:tcW w:type="dxa" w:w="2160"/>
          </w:tcPr>
          <w:p>
            <w:pPr>
              <w:bidi/>
              <w:jc w:val="both"/>
              <w:rPr>
                <w:rtl/>
              </w:rPr>
            </w:pPr>
            <w:r>
              <w:rPr>
                <w:rtl/>
                <w:rFonts w:cs="Arial"/>
                <w:lang w:bidi="he-IL"/>
              </w:rPr>
            </w:r>
            <w:r>
              <w:rPr>
                <w:rtl/>
                <w:rFonts w:cs="Arial"/>
                <w:lang w:bidi="he-IL"/>
              </w:rPr>
              <w:t>FUEL 8</w:t>
            </w:r>
          </w:p>
        </w:tc>
        <w:tc>
          <w:tcPr>
            <w:tcW w:type="dxa" w:w="2160"/>
          </w:tcPr>
          <w:p>
            <w:pPr>
              <w:bidi/>
              <w:jc w:val="both"/>
              <w:rPr>
                <w:rtl/>
              </w:rPr>
            </w:pPr>
            <w:r>
              <w:rPr>
                <w:rtl/>
                <w:rFonts w:cs="Arial"/>
                <w:lang w:bidi="he-IL"/>
              </w:rPr>
            </w:r>
            <w:r>
              <w:rPr>
                <w:rtl/>
                <w:rFonts w:cs="Arial"/>
                <w:lang w:bidi="he-IL"/>
              </w:rPr>
              <w:t>פעיל (אחרון 05/2023)</w:t>
            </w:r>
          </w:p>
        </w:tc>
        <w:tc>
          <w:tcPr>
            <w:tcW w:type="dxa" w:w="2160"/>
          </w:tcPr>
          <w:p>
            <w:pPr>
              <w:bidi/>
              <w:jc w:val="both"/>
              <w:rPr>
                <w:rtl/>
              </w:rPr>
            </w:pPr>
            <w:r>
              <w:rPr>
                <w:rtl/>
                <w:rFonts w:cs="Arial"/>
                <w:lang w:bidi="he-IL"/>
              </w:rPr>
            </w:r>
            <w:r>
              <w:rPr>
                <w:rtl/>
                <w:rFonts w:cs="Arial"/>
                <w:lang w:bidi="he-IL"/>
              </w:rPr>
              <w:t>TBA 120,000 µg/L</w:t>
            </w:r>
          </w:p>
        </w:tc>
      </w:tr>
      <w:tr>
        <w:tc>
          <w:tcPr>
            <w:tcW w:type="dxa" w:w="2160"/>
          </w:tcPr>
          <w:p>
            <w:pPr>
              <w:bidi/>
              <w:jc w:val="both"/>
              <w:rPr>
                <w:rtl/>
              </w:rPr>
            </w:pPr>
            <w:r>
              <w:rPr>
                <w:rtl/>
                <w:rFonts w:cs="Arial"/>
                <w:lang w:bidi="he-IL"/>
              </w:rPr>
            </w:r>
            <w:r>
              <w:rPr>
                <w:rtl/>
                <w:rFonts w:cs="Arial"/>
                <w:lang w:bidi="he-IL"/>
              </w:rPr>
              <w:t>נת אלביט חולון 1</w:t>
            </w:r>
          </w:p>
        </w:tc>
        <w:tc>
          <w:tcPr>
            <w:tcW w:type="dxa" w:w="2160"/>
          </w:tcPr>
          <w:p>
            <w:pPr>
              <w:bidi/>
              <w:jc w:val="both"/>
              <w:rPr>
                <w:rtl/>
              </w:rPr>
            </w:pPr>
            <w:r>
              <w:rPr>
                <w:rtl/>
                <w:rFonts w:cs="Arial"/>
                <w:lang w:bidi="he-IL"/>
              </w:rPr>
            </w:r>
            <w:r>
              <w:rPr>
                <w:rtl/>
                <w:rFonts w:cs="Arial"/>
                <w:lang w:bidi="he-IL"/>
              </w:rPr>
              <w:t>CVOC 8</w:t>
            </w:r>
          </w:p>
        </w:tc>
        <w:tc>
          <w:tcPr>
            <w:tcW w:type="dxa" w:w="2160"/>
          </w:tcPr>
          <w:p>
            <w:pPr>
              <w:bidi/>
              <w:jc w:val="both"/>
              <w:rPr>
                <w:rtl/>
              </w:rPr>
            </w:pPr>
            <w:r>
              <w:rPr>
                <w:rtl/>
                <w:rFonts w:cs="Arial"/>
                <w:lang w:bidi="he-IL"/>
              </w:rPr>
            </w:r>
            <w:r>
              <w:rPr>
                <w:rtl/>
                <w:rFonts w:cs="Arial"/>
                <w:lang w:bidi="he-IL"/>
              </w:rPr>
              <w:t>הופסק הניטור (03/2018)</w:t>
            </w:r>
          </w:p>
        </w:tc>
        <w:tc>
          <w:tcPr>
            <w:tcW w:type="dxa" w:w="2160"/>
          </w:tcPr>
          <w:p>
            <w:pPr>
              <w:bidi/>
              <w:jc w:val="both"/>
              <w:rPr>
                <w:rtl/>
              </w:rPr>
            </w:pPr>
            <w:r>
              <w:rPr>
                <w:rtl/>
                <w:rFonts w:cs="Arial"/>
                <w:lang w:bidi="he-IL"/>
              </w:rPr>
            </w:r>
            <w:r>
              <w:rPr>
                <w:rtl/>
                <w:rFonts w:cs="Arial"/>
                <w:lang w:bidi="he-IL"/>
              </w:rPr>
              <w:t>TCE 35,573% מהתקן</w:t>
            </w:r>
          </w:p>
        </w:tc>
      </w:tr>
      <w:tr>
        <w:tc>
          <w:tcPr>
            <w:tcW w:type="dxa" w:w="2160"/>
          </w:tcPr>
          <w:p>
            <w:pPr>
              <w:bidi/>
              <w:jc w:val="both"/>
              <w:rPr>
                <w:rtl/>
              </w:rPr>
            </w:pPr>
            <w:r>
              <w:rPr>
                <w:rtl/>
                <w:rFonts w:cs="Arial"/>
                <w:lang w:bidi="he-IL"/>
              </w:rPr>
            </w:r>
            <w:r>
              <w:rPr>
                <w:rtl/>
                <w:rFonts w:cs="Arial"/>
                <w:lang w:bidi="he-IL"/>
              </w:rPr>
              <w:t>מק חולון 14</w:t>
            </w:r>
          </w:p>
        </w:tc>
        <w:tc>
          <w:tcPr>
            <w:tcW w:type="dxa" w:w="2160"/>
          </w:tcPr>
          <w:p>
            <w:pPr>
              <w:bidi/>
              <w:jc w:val="both"/>
              <w:rPr>
                <w:rtl/>
              </w:rPr>
            </w:pPr>
            <w:r>
              <w:rPr>
                <w:rtl/>
                <w:rFonts w:cs="Arial"/>
                <w:lang w:bidi="he-IL"/>
              </w:rPr>
            </w:r>
            <w:r>
              <w:rPr>
                <w:rtl/>
                <w:rFonts w:cs="Arial"/>
                <w:lang w:bidi="he-IL"/>
              </w:rPr>
              <w:t>CVOC 3</w:t>
            </w:r>
          </w:p>
        </w:tc>
        <w:tc>
          <w:tcPr>
            <w:tcW w:type="dxa" w:w="2160"/>
          </w:tcPr>
          <w:p>
            <w:pPr>
              <w:bidi/>
              <w:jc w:val="both"/>
              <w:rPr>
                <w:rtl/>
              </w:rPr>
            </w:pPr>
            <w:r>
              <w:rPr>
                <w:rtl/>
                <w:rFonts w:cs="Arial"/>
                <w:lang w:bidi="he-IL"/>
              </w:rPr>
            </w:r>
            <w:r>
              <w:rPr>
                <w:rtl/>
                <w:rFonts w:cs="Arial"/>
                <w:lang w:bidi="he-IL"/>
              </w:rPr>
              <w:t>פעיל (אחרון 11/2025)</w:t>
            </w:r>
          </w:p>
        </w:tc>
        <w:tc>
          <w:tcPr>
            <w:tcW w:type="dxa" w:w="2160"/>
          </w:tcPr>
          <w:p>
            <w:pPr>
              <w:bidi/>
              <w:jc w:val="both"/>
              <w:rPr>
                <w:rtl/>
              </w:rPr>
            </w:pPr>
            <w:r>
              <w:rPr>
                <w:rtl/>
                <w:rFonts w:cs="Arial"/>
                <w:lang w:bidi="he-IL"/>
              </w:rPr>
            </w:r>
            <w:r>
              <w:rPr>
                <w:rtl/>
                <w:rFonts w:cs="Arial"/>
                <w:lang w:bidi="he-IL"/>
              </w:rPr>
              <w:t>קולטן הפקה; קרוב לתקן</w:t>
            </w:r>
          </w:p>
        </w:tc>
      </w:tr>
      <w:tr>
        <w:tc>
          <w:tcPr>
            <w:tcW w:type="dxa" w:w="2160"/>
          </w:tcPr>
          <w:p>
            <w:pPr>
              <w:bidi/>
              <w:jc w:val="both"/>
              <w:rPr>
                <w:rtl/>
              </w:rPr>
            </w:pPr>
            <w:r>
              <w:rPr>
                <w:rtl/>
                <w:rFonts w:cs="Arial"/>
                <w:lang w:bidi="he-IL"/>
              </w:rPr>
            </w:r>
            <w:r>
              <w:rPr>
                <w:rtl/>
                <w:rFonts w:cs="Arial"/>
                <w:lang w:bidi="he-IL"/>
              </w:rPr>
              <w:t>נת חווה חקלאית א</w:t>
            </w:r>
          </w:p>
        </w:tc>
        <w:tc>
          <w:tcPr>
            <w:tcW w:type="dxa" w:w="2160"/>
          </w:tcPr>
          <w:p>
            <w:pPr>
              <w:bidi/>
              <w:jc w:val="both"/>
              <w:rPr>
                <w:rtl/>
              </w:rPr>
            </w:pPr>
            <w:r>
              <w:rPr>
                <w:rtl/>
                <w:rFonts w:cs="Arial"/>
                <w:lang w:bidi="he-IL"/>
              </w:rPr>
            </w:r>
            <w:r>
              <w:rPr>
                <w:rtl/>
                <w:rFonts w:cs="Arial"/>
                <w:lang w:bidi="he-IL"/>
              </w:rPr>
              <w:t>EMERGING 4</w:t>
            </w:r>
          </w:p>
        </w:tc>
        <w:tc>
          <w:tcPr>
            <w:tcW w:type="dxa" w:w="2160"/>
          </w:tcPr>
          <w:p>
            <w:pPr>
              <w:bidi/>
              <w:jc w:val="both"/>
              <w:rPr>
                <w:rtl/>
              </w:rPr>
            </w:pPr>
            <w:r>
              <w:rPr>
                <w:rtl/>
                <w:rFonts w:cs="Arial"/>
                <w:lang w:bidi="he-IL"/>
              </w:rPr>
            </w:r>
            <w:r>
              <w:rPr>
                <w:rtl/>
                <w:rFonts w:cs="Arial"/>
                <w:lang w:bidi="he-IL"/>
              </w:rPr>
              <w:t>פעיל (אחרון 02/2026)</w:t>
            </w:r>
          </w:p>
        </w:tc>
        <w:tc>
          <w:tcPr>
            <w:tcW w:type="dxa" w:w="2160"/>
          </w:tcPr>
          <w:p>
            <w:pPr>
              <w:bidi/>
              <w:jc w:val="both"/>
              <w:rPr>
                <w:rtl/>
              </w:rPr>
            </w:pPr>
            <w:r>
              <w:rPr>
                <w:rtl/>
                <w:rFonts w:cs="Arial"/>
                <w:lang w:bidi="he-IL"/>
              </w:rPr>
            </w:r>
            <w:r>
              <w:rPr>
                <w:rtl/>
                <w:rFonts w:cs="Arial"/>
                <w:lang w:bidi="he-IL"/>
              </w:rPr>
              <w:t>חזית דיאוקסן חקלאית</w:t>
            </w:r>
          </w:p>
        </w:tc>
      </w:tr>
      <w:tr>
        <w:tc>
          <w:tcPr>
            <w:tcW w:type="dxa" w:w="2160"/>
          </w:tcPr>
          <w:p>
            <w:pPr>
              <w:bidi/>
              <w:jc w:val="both"/>
              <w:rPr>
                <w:rtl/>
              </w:rPr>
            </w:pPr>
            <w:r>
              <w:rPr>
                <w:rtl/>
                <w:rFonts w:cs="Arial"/>
                <w:lang w:bidi="he-IL"/>
              </w:rPr>
            </w:r>
            <w:r>
              <w:rPr>
                <w:rtl/>
                <w:rFonts w:cs="Arial"/>
                <w:lang w:bidi="he-IL"/>
              </w:rPr>
              <w:t>מק חולון 7/8/21/15/13</w:t>
            </w:r>
          </w:p>
        </w:tc>
        <w:tc>
          <w:tcPr>
            <w:tcW w:type="dxa" w:w="2160"/>
          </w:tcPr>
          <w:p>
            <w:pPr>
              <w:bidi/>
              <w:jc w:val="both"/>
              <w:rPr>
                <w:rtl/>
              </w:rPr>
            </w:pPr>
            <w:r>
              <w:rPr>
                <w:rtl/>
                <w:rFonts w:cs="Arial"/>
                <w:lang w:bidi="he-IL"/>
              </w:rPr>
            </w:r>
            <w:r>
              <w:rPr>
                <w:rtl/>
                <w:rFonts w:cs="Arial"/>
                <w:lang w:bidi="he-IL"/>
              </w:rPr>
              <w:t>—</w:t>
            </w:r>
          </w:p>
        </w:tc>
        <w:tc>
          <w:tcPr>
            <w:tcW w:type="dxa" w:w="2160"/>
          </w:tcPr>
          <w:p>
            <w:pPr>
              <w:bidi/>
              <w:jc w:val="both"/>
              <w:rPr>
                <w:rtl/>
              </w:rPr>
            </w:pPr>
            <w:r>
              <w:rPr>
                <w:rtl/>
                <w:rFonts w:cs="Arial"/>
                <w:lang w:bidi="he-IL"/>
              </w:rPr>
            </w:r>
            <w:r>
              <w:rPr>
                <w:rtl/>
                <w:rFonts w:cs="Arial"/>
                <w:lang w:bidi="he-IL"/>
              </w:rPr>
              <w:t>פסולים</w:t>
            </w:r>
          </w:p>
        </w:tc>
        <w:tc>
          <w:tcPr>
            <w:tcW w:type="dxa" w:w="2160"/>
          </w:tcPr>
          <w:p>
            <w:pPr>
              <w:bidi/>
              <w:jc w:val="both"/>
              <w:rPr>
                <w:rtl/>
              </w:rPr>
            </w:pPr>
            <w:r>
              <w:rPr>
                <w:rtl/>
                <w:rFonts w:cs="Arial"/>
                <w:lang w:bidi="he-IL"/>
              </w:rPr>
            </w:r>
            <w:r>
              <w:rPr>
                <w:rtl/>
                <w:rFonts w:cs="Arial"/>
                <w:lang w:bidi="he-IL"/>
              </w:rPr>
              <w:t>קידוחי הפקה שנפסלו היסטורית</w:t>
            </w:r>
          </w:p>
        </w:tc>
      </w:tr>
    </w:tbl>
    <w:p>
      <w:pPr>
        <w:bidi/>
        <w:pStyle w:val="Heading3"/>
        <w:jc w:val="both"/>
        <w:rPr>
          <w:rtl/>
        </w:rPr>
      </w:pPr>
      <w:r>
        <w:rPr>
          <w:rtl/>
          <w:rFonts w:cs="Arial"/>
          <w:lang w:bidi="he-IL"/>
        </w:rPr>
        <w:t>נספח ב — מקורות חיצוניים שנבדקו</w:t>
      </w:r>
    </w:p>
    <w:p>
      <w:pPr>
        <w:bidi/>
        <w:jc w:val="both"/>
        <w:rPr>
          <w:rtl/>
        </w:rPr>
      </w:pPr>
      <w:r>
        <w:rPr>
          <w:rtl/>
          <w:rFonts w:cs="Arial"/>
          <w:lang w:bidi="he-IL"/>
        </w:rPr>
        <w:t>סקר היסטורי 2007 (DHV MED / Ludan / EWRE); דוחות אקולוג 2009 (מוקד רימטל) ו-2012 (שלב ג', מודל ממוחשב); דוח בקרת איכות מים 2021 (אגף איכות מים). מקורות web ו-PRTR שימשו לאימות סטטוס פעילות נוכחי (רמת ודאות לזיהום: נמוכה — מאמת מיקום/פעילות בלבד).</w:t>
      </w:r>
    </w:p>
    <w:p>
      <w:pPr>
        <w:bidi/>
        <w:pStyle w:val="Heading3"/>
        <w:jc w:val="both"/>
        <w:rPr>
          <w:rtl/>
        </w:rPr>
      </w:pPr>
      <w:r>
        <w:rPr>
          <w:rtl/>
          <w:rFonts w:cs="Arial"/>
          <w:lang w:bidi="he-IL"/>
        </w:rPr>
        <w:t>נספח ג — אינדקס מועמדי מקור</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both"/>
              <w:rPr>
                <w:rtl/>
              </w:rPr>
            </w:pPr>
            <w:r>
              <w:rPr>
                <w:b/>
                <w:rtl/>
                <w:rFonts w:cs="Arial"/>
                <w:lang w:bidi="he-IL"/>
              </w:rPr>
            </w:r>
            <w:r>
              <w:rPr>
                <w:b/>
                <w:rtl/>
                <w:rFonts w:cs="Arial"/>
                <w:lang w:bidi="he-IL"/>
              </w:rPr>
              <w:t>מועמד</w:t>
            </w:r>
          </w:p>
        </w:tc>
        <w:tc>
          <w:tcPr>
            <w:tcW w:type="dxa" w:w="2160"/>
          </w:tcPr>
          <w:p>
            <w:pPr>
              <w:bidi/>
              <w:jc w:val="both"/>
              <w:rPr>
                <w:rtl/>
              </w:rPr>
            </w:pPr>
            <w:r>
              <w:rPr>
                <w:b/>
                <w:rtl/>
                <w:rFonts w:cs="Arial"/>
                <w:lang w:bidi="he-IL"/>
              </w:rPr>
            </w:r>
            <w:r>
              <w:rPr>
                <w:b/>
                <w:rtl/>
                <w:rFonts w:cs="Arial"/>
                <w:lang w:bidi="he-IL"/>
              </w:rPr>
              <w:t>סקטור</w:t>
            </w:r>
          </w:p>
        </w:tc>
        <w:tc>
          <w:tcPr>
            <w:tcW w:type="dxa" w:w="2160"/>
          </w:tcPr>
          <w:p>
            <w:pPr>
              <w:bidi/>
              <w:jc w:val="both"/>
              <w:rPr>
                <w:rtl/>
              </w:rPr>
            </w:pPr>
            <w:r>
              <w:rPr>
                <w:b/>
                <w:rtl/>
                <w:rFonts w:cs="Arial"/>
                <w:lang w:bidi="he-IL"/>
              </w:rPr>
            </w:r>
            <w:r>
              <w:rPr>
                <w:b/>
                <w:rtl/>
                <w:rFonts w:cs="Arial"/>
                <w:lang w:bidi="he-IL"/>
              </w:rPr>
              <w:t>מזהמים</w:t>
            </w:r>
          </w:p>
        </w:tc>
        <w:tc>
          <w:tcPr>
            <w:tcW w:type="dxa" w:w="2160"/>
          </w:tcPr>
          <w:p>
            <w:pPr>
              <w:bidi/>
              <w:jc w:val="both"/>
              <w:rPr>
                <w:rtl/>
              </w:rPr>
            </w:pPr>
            <w:r>
              <w:rPr>
                <w:b/>
                <w:rtl/>
                <w:rFonts w:cs="Arial"/>
                <w:lang w:bidi="he-IL"/>
              </w:rPr>
            </w:r>
            <w:r>
              <w:rPr>
                <w:b/>
                <w:rtl/>
                <w:rFonts w:cs="Arial"/>
                <w:lang w:bidi="he-IL"/>
              </w:rPr>
              <w:t>רמת ודאות</w:t>
            </w:r>
          </w:p>
        </w:tc>
      </w:tr>
      <w:tr>
        <w:tc>
          <w:tcPr>
            <w:tcW w:type="dxa" w:w="2160"/>
          </w:tcPr>
          <w:p>
            <w:pPr>
              <w:bidi/>
              <w:jc w:val="both"/>
              <w:rPr>
                <w:rtl/>
              </w:rPr>
            </w:pPr>
            <w:r>
              <w:rPr>
                <w:rtl/>
                <w:rFonts w:cs="Arial"/>
                <w:lang w:bidi="he-IL"/>
              </w:rPr>
            </w:r>
            <w:r>
              <w:rPr>
                <w:rtl/>
                <w:rFonts w:cs="Arial"/>
                <w:lang w:bidi="he-IL"/>
              </w:rPr>
              <w:t>תדיראן-קשר / אלביט</w:t>
            </w:r>
          </w:p>
        </w:tc>
        <w:tc>
          <w:tcPr>
            <w:tcW w:type="dxa" w:w="2160"/>
          </w:tcPr>
          <w:p>
            <w:pPr>
              <w:bidi/>
              <w:jc w:val="both"/>
              <w:rPr>
                <w:rtl/>
              </w:rPr>
            </w:pPr>
            <w:r>
              <w:rPr>
                <w:rtl/>
                <w:rFonts w:cs="Arial"/>
                <w:lang w:bidi="he-IL"/>
              </w:rPr>
            </w:r>
            <w:r>
              <w:rPr>
                <w:rtl/>
                <w:rFonts w:cs="Arial"/>
                <w:lang w:bidi="he-IL"/>
              </w:rPr>
              <w:t>ציפוי + מיקרואלקטרוניקה</w:t>
            </w:r>
          </w:p>
        </w:tc>
        <w:tc>
          <w:tcPr>
            <w:tcW w:type="dxa" w:w="2160"/>
          </w:tcPr>
          <w:p>
            <w:pPr>
              <w:bidi/>
              <w:jc w:val="both"/>
              <w:rPr>
                <w:rtl/>
              </w:rPr>
            </w:pPr>
            <w:r>
              <w:rPr>
                <w:rtl/>
                <w:rFonts w:cs="Arial"/>
                <w:lang w:bidi="he-IL"/>
              </w:rPr>
            </w:r>
            <w:r>
              <w:rPr>
                <w:rtl/>
                <w:rFonts w:cs="Arial"/>
                <w:lang w:bidi="he-IL"/>
              </w:rPr>
              <w:t>TCE, PCE, DCE</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תדירגן</w:t>
            </w:r>
          </w:p>
        </w:tc>
        <w:tc>
          <w:tcPr>
            <w:tcW w:type="dxa" w:w="2160"/>
          </w:tcPr>
          <w:p>
            <w:pPr>
              <w:bidi/>
              <w:jc w:val="both"/>
              <w:rPr>
                <w:rtl/>
              </w:rPr>
            </w:pPr>
            <w:r>
              <w:rPr>
                <w:rtl/>
                <w:rFonts w:cs="Arial"/>
                <w:lang w:bidi="he-IL"/>
              </w:rPr>
            </w:r>
            <w:r>
              <w:rPr>
                <w:rtl/>
                <w:rFonts w:cs="Arial"/>
                <w:lang w:bidi="he-IL"/>
              </w:rPr>
              <w:t>ציפוי מתכות</w:t>
            </w:r>
          </w:p>
        </w:tc>
        <w:tc>
          <w:tcPr>
            <w:tcW w:type="dxa" w:w="2160"/>
          </w:tcPr>
          <w:p>
            <w:pPr>
              <w:bidi/>
              <w:jc w:val="both"/>
              <w:rPr>
                <w:rtl/>
              </w:rPr>
            </w:pPr>
            <w:r>
              <w:rPr>
                <w:rtl/>
                <w:rFonts w:cs="Arial"/>
                <w:lang w:bidi="he-IL"/>
              </w:rPr>
            </w:r>
            <w:r>
              <w:rPr>
                <w:rtl/>
                <w:rFonts w:cs="Arial"/>
                <w:lang w:bidi="he-IL"/>
              </w:rPr>
              <w:t>TCE, PCE, כרומאט</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תרשיש</w:t>
            </w:r>
          </w:p>
        </w:tc>
        <w:tc>
          <w:tcPr>
            <w:tcW w:type="dxa" w:w="2160"/>
          </w:tcPr>
          <w:p>
            <w:pPr>
              <w:bidi/>
              <w:jc w:val="both"/>
              <w:rPr>
                <w:rtl/>
              </w:rPr>
            </w:pPr>
            <w:r>
              <w:rPr>
                <w:rtl/>
                <w:rFonts w:cs="Arial"/>
                <w:lang w:bidi="he-IL"/>
              </w:rPr>
            </w:r>
            <w:r>
              <w:rPr>
                <w:rtl/>
                <w:rFonts w:cs="Arial"/>
                <w:lang w:bidi="he-IL"/>
              </w:rPr>
              <w:t>ציפוי מתכות</w:t>
            </w:r>
          </w:p>
        </w:tc>
        <w:tc>
          <w:tcPr>
            <w:tcW w:type="dxa" w:w="2160"/>
          </w:tcPr>
          <w:p>
            <w:pPr>
              <w:bidi/>
              <w:jc w:val="both"/>
              <w:rPr>
                <w:rtl/>
              </w:rPr>
            </w:pPr>
            <w:r>
              <w:rPr>
                <w:rtl/>
                <w:rFonts w:cs="Arial"/>
                <w:lang w:bidi="he-IL"/>
              </w:rPr>
            </w:r>
            <w:r>
              <w:rPr>
                <w:rtl/>
                <w:rFonts w:cs="Arial"/>
                <w:lang w:bidi="he-IL"/>
              </w:rPr>
              <w:t>TCE, כרום</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רימטל / ארן-מטל</w:t>
            </w:r>
          </w:p>
        </w:tc>
        <w:tc>
          <w:tcPr>
            <w:tcW w:type="dxa" w:w="2160"/>
          </w:tcPr>
          <w:p>
            <w:pPr>
              <w:bidi/>
              <w:jc w:val="both"/>
              <w:rPr>
                <w:rtl/>
              </w:rPr>
            </w:pPr>
            <w:r>
              <w:rPr>
                <w:rtl/>
                <w:rFonts w:cs="Arial"/>
                <w:lang w:bidi="he-IL"/>
              </w:rPr>
            </w:r>
            <w:r>
              <w:rPr>
                <w:rtl/>
                <w:rFonts w:cs="Arial"/>
                <w:lang w:bidi="he-IL"/>
              </w:rPr>
              <w:t>מחזור מתכות</w:t>
            </w:r>
          </w:p>
        </w:tc>
        <w:tc>
          <w:tcPr>
            <w:tcW w:type="dxa" w:w="2160"/>
          </w:tcPr>
          <w:p>
            <w:pPr>
              <w:bidi/>
              <w:jc w:val="both"/>
              <w:rPr>
                <w:rtl/>
              </w:rPr>
            </w:pPr>
            <w:r>
              <w:rPr>
                <w:rtl/>
                <w:rFonts w:cs="Arial"/>
                <w:lang w:bidi="he-IL"/>
              </w:rPr>
            </w:r>
            <w:r>
              <w:rPr>
                <w:rtl/>
                <w:rFonts w:cs="Arial"/>
                <w:lang w:bidi="he-IL"/>
              </w:rPr>
              <w:t>Ni, Al, Fe, Pb</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מחניון אגד</w:t>
            </w:r>
          </w:p>
        </w:tc>
        <w:tc>
          <w:tcPr>
            <w:tcW w:type="dxa" w:w="2160"/>
          </w:tcPr>
          <w:p>
            <w:pPr>
              <w:bidi/>
              <w:jc w:val="both"/>
              <w:rPr>
                <w:rtl/>
              </w:rPr>
            </w:pPr>
            <w:r>
              <w:rPr>
                <w:rtl/>
                <w:rFonts w:cs="Arial"/>
                <w:lang w:bidi="he-IL"/>
              </w:rPr>
            </w:r>
            <w:r>
              <w:rPr>
                <w:rtl/>
                <w:rFonts w:cs="Arial"/>
                <w:lang w:bidi="he-IL"/>
              </w:rPr>
              <w:t>תדלוק/חניון</w:t>
            </w:r>
          </w:p>
        </w:tc>
        <w:tc>
          <w:tcPr>
            <w:tcW w:type="dxa" w:w="2160"/>
          </w:tcPr>
          <w:p>
            <w:pPr>
              <w:bidi/>
              <w:jc w:val="both"/>
              <w:rPr>
                <w:rtl/>
              </w:rPr>
            </w:pPr>
            <w:r>
              <w:rPr>
                <w:rtl/>
                <w:rFonts w:cs="Arial"/>
                <w:lang w:bidi="he-IL"/>
              </w:rPr>
            </w:r>
            <w:r>
              <w:rPr>
                <w:rtl/>
                <w:rFonts w:cs="Arial"/>
                <w:lang w:bidi="he-IL"/>
              </w:rPr>
              <w:t>BTEX, MTBE</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אמינוגרף</w:t>
            </w:r>
          </w:p>
        </w:tc>
        <w:tc>
          <w:tcPr>
            <w:tcW w:type="dxa" w:w="2160"/>
          </w:tcPr>
          <w:p>
            <w:pPr>
              <w:bidi/>
              <w:jc w:val="both"/>
              <w:rPr>
                <w:rtl/>
              </w:rPr>
            </w:pPr>
            <w:r>
              <w:rPr>
                <w:rtl/>
                <w:rFonts w:cs="Arial"/>
                <w:lang w:bidi="he-IL"/>
              </w:rPr>
            </w:r>
            <w:r>
              <w:rPr>
                <w:rtl/>
                <w:rFonts w:cs="Arial"/>
                <w:lang w:bidi="he-IL"/>
              </w:rPr>
              <w:t>ציפוי מתכות</w:t>
            </w:r>
          </w:p>
        </w:tc>
        <w:tc>
          <w:tcPr>
            <w:tcW w:type="dxa" w:w="2160"/>
          </w:tcPr>
          <w:p>
            <w:pPr>
              <w:bidi/>
              <w:jc w:val="both"/>
              <w:rPr>
                <w:rtl/>
              </w:rPr>
            </w:pPr>
            <w:r>
              <w:rPr>
                <w:rtl/>
                <w:rFonts w:cs="Arial"/>
                <w:lang w:bidi="he-IL"/>
              </w:rPr>
            </w:r>
            <w:r>
              <w:rPr>
                <w:rtl/>
                <w:rFonts w:cs="Arial"/>
                <w:lang w:bidi="he-IL"/>
              </w:rPr>
              <w:t>TCE, DCE</w:t>
            </w:r>
          </w:p>
        </w:tc>
        <w:tc>
          <w:tcPr>
            <w:tcW w:type="dxa" w:w="2160"/>
          </w:tcPr>
          <w:p>
            <w:pPr>
              <w:bidi/>
              <w:jc w:val="both"/>
              <w:rPr>
                <w:rtl/>
              </w:rPr>
            </w:pPr>
            <w:r>
              <w:rPr>
                <w:rtl/>
                <w:rFonts w:cs="Arial"/>
                <w:lang w:bidi="he-IL"/>
              </w:rPr>
            </w:r>
            <w:r>
              <w:rPr>
                <w:rtl/>
                <w:rFonts w:cs="Arial"/>
                <w:lang w:bidi="he-IL"/>
              </w:rPr>
              <w:t>גבוהה</w:t>
            </w:r>
          </w:p>
        </w:tc>
      </w:tr>
      <w:tr>
        <w:tc>
          <w:tcPr>
            <w:tcW w:type="dxa" w:w="2160"/>
          </w:tcPr>
          <w:p>
            <w:pPr>
              <w:bidi/>
              <w:jc w:val="both"/>
              <w:rPr>
                <w:rtl/>
              </w:rPr>
            </w:pPr>
            <w:r>
              <w:rPr>
                <w:rtl/>
                <w:rFonts w:cs="Arial"/>
                <w:lang w:bidi="he-IL"/>
              </w:rPr>
            </w:r>
            <w:r>
              <w:rPr>
                <w:rtl/>
                <w:rFonts w:cs="Arial"/>
                <w:lang w:bidi="he-IL"/>
              </w:rPr>
              <w:t>אמקור פליז</w:t>
            </w:r>
          </w:p>
        </w:tc>
        <w:tc>
          <w:tcPr>
            <w:tcW w:type="dxa" w:w="2160"/>
          </w:tcPr>
          <w:p>
            <w:pPr>
              <w:bidi/>
              <w:jc w:val="both"/>
              <w:rPr>
                <w:rtl/>
              </w:rPr>
            </w:pPr>
            <w:r>
              <w:rPr>
                <w:rtl/>
                <w:rFonts w:cs="Arial"/>
                <w:lang w:bidi="he-IL"/>
              </w:rPr>
            </w:r>
            <w:r>
              <w:rPr>
                <w:rtl/>
                <w:rFonts w:cs="Arial"/>
                <w:lang w:bidi="he-IL"/>
              </w:rPr>
              <w:t>ציפוי מתכות</w:t>
            </w:r>
          </w:p>
        </w:tc>
        <w:tc>
          <w:tcPr>
            <w:tcW w:type="dxa" w:w="2160"/>
          </w:tcPr>
          <w:p>
            <w:pPr>
              <w:bidi/>
              <w:jc w:val="both"/>
              <w:rPr>
                <w:rtl/>
              </w:rPr>
            </w:pPr>
            <w:r>
              <w:rPr>
                <w:rtl/>
                <w:rFonts w:cs="Arial"/>
                <w:lang w:bidi="he-IL"/>
              </w:rPr>
            </w:r>
            <w:r>
              <w:rPr>
                <w:rtl/>
                <w:rFonts w:cs="Arial"/>
                <w:lang w:bidi="he-IL"/>
              </w:rPr>
              <w:t>TCE, DCE, Cd</w:t>
            </w:r>
          </w:p>
        </w:tc>
        <w:tc>
          <w:tcPr>
            <w:tcW w:type="dxa" w:w="2160"/>
          </w:tcPr>
          <w:p>
            <w:pPr>
              <w:bidi/>
              <w:jc w:val="both"/>
              <w:rPr>
                <w:rtl/>
              </w:rPr>
            </w:pPr>
            <w:r>
              <w:rPr>
                <w:rtl/>
                <w:rFonts w:cs="Arial"/>
                <w:lang w:bidi="he-IL"/>
              </w:rPr>
            </w:r>
            <w:r>
              <w:rPr>
                <w:rtl/>
                <w:rFonts w:cs="Arial"/>
                <w:lang w:bidi="he-IL"/>
              </w:rPr>
              <w:t>גבוהה / בינונית</w:t>
            </w:r>
          </w:p>
        </w:tc>
      </w:tr>
      <w:tr>
        <w:tc>
          <w:tcPr>
            <w:tcW w:type="dxa" w:w="2160"/>
          </w:tcPr>
          <w:p>
            <w:pPr>
              <w:bidi/>
              <w:jc w:val="both"/>
              <w:rPr>
                <w:rtl/>
              </w:rPr>
            </w:pPr>
            <w:r>
              <w:rPr>
                <w:rtl/>
                <w:rFonts w:cs="Arial"/>
                <w:lang w:bidi="he-IL"/>
              </w:rPr>
            </w:r>
            <w:r>
              <w:rPr>
                <w:rtl/>
                <w:rFonts w:cs="Arial"/>
                <w:lang w:bidi="he-IL"/>
              </w:rPr>
              <w:t>כור מתכת / כרומט</w:t>
            </w:r>
          </w:p>
        </w:tc>
        <w:tc>
          <w:tcPr>
            <w:tcW w:type="dxa" w:w="2160"/>
          </w:tcPr>
          <w:p>
            <w:pPr>
              <w:bidi/>
              <w:jc w:val="both"/>
              <w:rPr>
                <w:rtl/>
              </w:rPr>
            </w:pPr>
            <w:r>
              <w:rPr>
                <w:rtl/>
                <w:rFonts w:cs="Arial"/>
                <w:lang w:bidi="he-IL"/>
              </w:rPr>
            </w:r>
            <w:r>
              <w:rPr>
                <w:rtl/>
                <w:rFonts w:cs="Arial"/>
                <w:lang w:bidi="he-IL"/>
              </w:rPr>
              <w:t>ציפוי מתכות</w:t>
            </w:r>
          </w:p>
        </w:tc>
        <w:tc>
          <w:tcPr>
            <w:tcW w:type="dxa" w:w="2160"/>
          </w:tcPr>
          <w:p>
            <w:pPr>
              <w:bidi/>
              <w:jc w:val="both"/>
              <w:rPr>
                <w:rtl/>
              </w:rPr>
            </w:pPr>
            <w:r>
              <w:rPr>
                <w:rtl/>
                <w:rFonts w:cs="Arial"/>
                <w:lang w:bidi="he-IL"/>
              </w:rPr>
            </w:r>
            <w:r>
              <w:rPr>
                <w:rtl/>
                <w:rFonts w:cs="Arial"/>
                <w:lang w:bidi="he-IL"/>
              </w:rPr>
              <w:t>TCE, DCE, Cr, 1,4-dioxane</w:t>
            </w:r>
          </w:p>
        </w:tc>
        <w:tc>
          <w:tcPr>
            <w:tcW w:type="dxa" w:w="2160"/>
          </w:tcPr>
          <w:p>
            <w:pPr>
              <w:bidi/>
              <w:jc w:val="both"/>
              <w:rPr>
                <w:rtl/>
              </w:rPr>
            </w:pPr>
            <w:r>
              <w:rPr>
                <w:rtl/>
                <w:rFonts w:cs="Arial"/>
                <w:lang w:bidi="he-IL"/>
              </w:rPr>
            </w:r>
            <w:r>
              <w:rPr>
                <w:rtl/>
                <w:rFonts w:cs="Arial"/>
                <w:lang w:bidi="he-IL"/>
              </w:rPr>
              <w:t>בינונית</w:t>
            </w:r>
          </w:p>
        </w:tc>
      </w:tr>
      <w:tr>
        <w:tc>
          <w:tcPr>
            <w:tcW w:type="dxa" w:w="2160"/>
          </w:tcPr>
          <w:p>
            <w:pPr>
              <w:bidi/>
              <w:jc w:val="both"/>
              <w:rPr>
                <w:rtl/>
              </w:rPr>
            </w:pPr>
            <w:r>
              <w:rPr>
                <w:rtl/>
                <w:rFonts w:cs="Arial"/>
                <w:lang w:bidi="he-IL"/>
              </w:rPr>
            </w:r>
            <w:r>
              <w:rPr>
                <w:rtl/>
                <w:rFonts w:cs="Arial"/>
                <w:lang w:bidi="he-IL"/>
              </w:rPr>
              <w:t>המלבין / סופר כרום</w:t>
            </w:r>
          </w:p>
        </w:tc>
        <w:tc>
          <w:tcPr>
            <w:tcW w:type="dxa" w:w="2160"/>
          </w:tcPr>
          <w:p>
            <w:pPr>
              <w:bidi/>
              <w:jc w:val="both"/>
              <w:rPr>
                <w:rtl/>
              </w:rPr>
            </w:pPr>
            <w:r>
              <w:rPr>
                <w:rtl/>
                <w:rFonts w:cs="Arial"/>
                <w:lang w:bidi="he-IL"/>
              </w:rPr>
            </w:r>
            <w:r>
              <w:rPr>
                <w:rtl/>
                <w:rFonts w:cs="Arial"/>
                <w:lang w:bidi="he-IL"/>
              </w:rPr>
              <w:t>ניקוי יבש / ציפוי</w:t>
            </w:r>
          </w:p>
        </w:tc>
        <w:tc>
          <w:tcPr>
            <w:tcW w:type="dxa" w:w="2160"/>
          </w:tcPr>
          <w:p>
            <w:pPr>
              <w:bidi/>
              <w:jc w:val="both"/>
              <w:rPr>
                <w:rtl/>
              </w:rPr>
            </w:pPr>
            <w:r>
              <w:rPr>
                <w:rtl/>
                <w:rFonts w:cs="Arial"/>
                <w:lang w:bidi="he-IL"/>
              </w:rPr>
            </w:r>
            <w:r>
              <w:rPr>
                <w:rtl/>
                <w:rFonts w:cs="Arial"/>
                <w:lang w:bidi="he-IL"/>
              </w:rPr>
              <w:t>TCE, כרום</w:t>
            </w:r>
          </w:p>
        </w:tc>
        <w:tc>
          <w:tcPr>
            <w:tcW w:type="dxa" w:w="2160"/>
          </w:tcPr>
          <w:p>
            <w:pPr>
              <w:bidi/>
              <w:jc w:val="both"/>
              <w:rPr>
                <w:rtl/>
              </w:rPr>
            </w:pPr>
            <w:r>
              <w:rPr>
                <w:rtl/>
                <w:rFonts w:cs="Arial"/>
                <w:lang w:bidi="he-IL"/>
              </w:rPr>
            </w:r>
            <w:r>
              <w:rPr>
                <w:rtl/>
                <w:rFonts w:cs="Arial"/>
                <w:lang w:bidi="he-IL"/>
              </w:rPr>
              <w:t>בינונית</w:t>
            </w:r>
          </w:p>
        </w:tc>
      </w:tr>
      <w:tr>
        <w:tc>
          <w:tcPr>
            <w:tcW w:type="dxa" w:w="2160"/>
          </w:tcPr>
          <w:p>
            <w:pPr>
              <w:bidi/>
              <w:jc w:val="both"/>
              <w:rPr>
                <w:rtl/>
              </w:rPr>
            </w:pPr>
            <w:r>
              <w:rPr>
                <w:rtl/>
                <w:rFonts w:cs="Arial"/>
                <w:lang w:bidi="he-IL"/>
              </w:rPr>
            </w:r>
            <w:r>
              <w:rPr>
                <w:rtl/>
                <w:rFonts w:cs="Arial"/>
                <w:lang w:bidi="he-IL"/>
              </w:rPr>
              <w:t>תדיראן (המרכבה 29), נירוסטה, אתרי פסולת</w:t>
            </w:r>
          </w:p>
        </w:tc>
        <w:tc>
          <w:tcPr>
            <w:tcW w:type="dxa" w:w="2160"/>
          </w:tcPr>
          <w:p>
            <w:pPr>
              <w:bidi/>
              <w:jc w:val="both"/>
              <w:rPr>
                <w:rtl/>
              </w:rPr>
            </w:pPr>
            <w:r>
              <w:rPr>
                <w:rtl/>
                <w:rFonts w:cs="Arial"/>
                <w:lang w:bidi="he-IL"/>
              </w:rPr>
            </w:r>
            <w:r>
              <w:rPr>
                <w:rtl/>
                <w:rFonts w:cs="Arial"/>
                <w:lang w:bidi="he-IL"/>
              </w:rPr>
              <w:t>רקע</w:t>
            </w:r>
          </w:p>
        </w:tc>
        <w:tc>
          <w:tcPr>
            <w:tcW w:type="dxa" w:w="2160"/>
          </w:tcPr>
          <w:p>
            <w:pPr>
              <w:bidi/>
              <w:jc w:val="both"/>
              <w:rPr>
                <w:rtl/>
              </w:rPr>
            </w:pPr>
            <w:r>
              <w:rPr>
                <w:rtl/>
                <w:rFonts w:cs="Arial"/>
                <w:lang w:bidi="he-IL"/>
              </w:rPr>
            </w:r>
            <w:r>
              <w:rPr>
                <w:rtl/>
                <w:rFonts w:cs="Arial"/>
                <w:lang w:bidi="he-IL"/>
              </w:rPr>
              <w:t>—</w:t>
            </w:r>
          </w:p>
        </w:tc>
        <w:tc>
          <w:tcPr>
            <w:tcW w:type="dxa" w:w="2160"/>
          </w:tcPr>
          <w:p>
            <w:pPr>
              <w:bidi/>
              <w:jc w:val="both"/>
              <w:rPr>
                <w:rtl/>
              </w:rPr>
            </w:pPr>
            <w:r>
              <w:rPr>
                <w:rtl/>
                <w:rFonts w:cs="Arial"/>
                <w:lang w:bidi="he-IL"/>
              </w:rPr>
            </w:r>
            <w:r>
              <w:rPr>
                <w:rtl/>
                <w:rFonts w:cs="Arial"/>
                <w:lang w:bidi="he-IL"/>
              </w:rPr>
              <w:t>נמוכה</w:t>
            </w:r>
          </w:p>
        </w:tc>
      </w:tr>
    </w:tbl>
    <w:p>
      <w:pPr>
        <w:bidi/>
        <w:pStyle w:val="Heading3"/>
        <w:jc w:val="both"/>
        <w:rPr>
          <w:rtl/>
        </w:rPr>
      </w:pPr>
      <w:r>
        <w:rPr>
          <w:rtl/>
          <w:rFonts w:cs="Arial"/>
          <w:lang w:bidi="he-IL"/>
        </w:rPr>
        <w:t>נספח ד — קיצורים וטרמינולוגיה</w:t>
      </w:r>
    </w:p>
    <w:p>
      <w:pPr>
        <w:bidi/>
        <w:pStyle w:val="ListBullet"/>
        <w:jc w:val="both"/>
        <w:rPr>
          <w:rtl/>
        </w:rPr>
      </w:pPr>
      <w:r>
        <w:rPr>
          <w:b/>
          <w:rtl/>
          <w:rFonts w:cs="Arial"/>
          <w:lang w:bidi="he-IL"/>
        </w:rPr>
        <w:t>CVOC</w:t>
      </w:r>
      <w:r>
        <w:rPr>
          <w:rtl/>
          <w:rFonts w:cs="Arial"/>
          <w:lang w:bidi="he-IL"/>
        </w:rPr>
        <w:t xml:space="preserve"> — ממסים אורגניים מוכלרים נדיפים; </w:t>
      </w:r>
      <w:r>
        <w:rPr>
          <w:b/>
          <w:rtl/>
          <w:rFonts w:cs="Arial"/>
          <w:lang w:bidi="he-IL"/>
        </w:rPr>
        <w:t>TCE</w:t>
      </w:r>
      <w:r>
        <w:rPr>
          <w:rtl/>
          <w:rFonts w:cs="Arial"/>
          <w:lang w:bidi="he-IL"/>
        </w:rPr>
        <w:t xml:space="preserve"> — טריכלורואתילן; </w:t>
      </w:r>
      <w:r>
        <w:rPr>
          <w:b/>
          <w:rtl/>
          <w:rFonts w:cs="Arial"/>
          <w:lang w:bidi="he-IL"/>
        </w:rPr>
        <w:t>PCE</w:t>
      </w:r>
      <w:r>
        <w:rPr>
          <w:rtl/>
          <w:rFonts w:cs="Arial"/>
          <w:lang w:bidi="he-IL"/>
        </w:rPr>
        <w:t xml:space="preserve"> — פרכלורואתילן; </w:t>
      </w:r>
      <w:r>
        <w:rPr>
          <w:b/>
          <w:rtl/>
          <w:rFonts w:cs="Arial"/>
          <w:lang w:bidi="he-IL"/>
        </w:rPr>
        <w:t>1,1-DCE</w:t>
      </w:r>
      <w:r>
        <w:rPr>
          <w:rtl/>
          <w:rFonts w:cs="Arial"/>
          <w:lang w:bidi="he-IL"/>
        </w:rPr>
        <w:t xml:space="preserve"> / </w:t>
      </w:r>
      <w:r>
        <w:rPr>
          <w:b/>
          <w:rtl/>
          <w:rFonts w:cs="Arial"/>
          <w:lang w:bidi="he-IL"/>
        </w:rPr>
        <w:t>cis-1,2-DCE</w:t>
      </w:r>
      <w:r>
        <w:rPr>
          <w:rtl/>
          <w:rFonts w:cs="Arial"/>
          <w:lang w:bidi="he-IL"/>
        </w:rPr>
        <w:t xml:space="preserve"> — דיכלורואתילן; </w:t>
      </w:r>
      <w:r>
        <w:rPr>
          <w:b/>
          <w:rtl/>
          <w:rFonts w:cs="Arial"/>
          <w:lang w:bidi="he-IL"/>
        </w:rPr>
        <w:t>VC</w:t>
      </w:r>
      <w:r>
        <w:rPr>
          <w:rtl/>
          <w:rFonts w:cs="Arial"/>
          <w:lang w:bidi="he-IL"/>
        </w:rPr>
        <w:t xml:space="preserve"> — וניל כלוריד.</w:t>
      </w:r>
    </w:p>
    <w:p>
      <w:pPr>
        <w:bidi/>
        <w:pStyle w:val="ListBullet"/>
        <w:jc w:val="both"/>
        <w:rPr>
          <w:rtl/>
        </w:rPr>
      </w:pPr>
      <w:r>
        <w:rPr>
          <w:b/>
          <w:rtl/>
          <w:rFonts w:cs="Arial"/>
          <w:lang w:bidi="he-IL"/>
        </w:rPr>
        <w:t>BTEX</w:t>
      </w:r>
      <w:r>
        <w:rPr>
          <w:rtl/>
          <w:rFonts w:cs="Arial"/>
          <w:lang w:bidi="he-IL"/>
        </w:rPr>
        <w:t xml:space="preserve"> — בנזן/טולואן/אתיל-בנזן/קסילן; </w:t>
      </w:r>
      <w:r>
        <w:rPr>
          <w:b/>
          <w:rtl/>
          <w:rFonts w:cs="Arial"/>
          <w:lang w:bidi="he-IL"/>
        </w:rPr>
        <w:t>MTBE</w:t>
      </w:r>
      <w:r>
        <w:rPr>
          <w:rtl/>
          <w:rFonts w:cs="Arial"/>
          <w:lang w:bidi="he-IL"/>
        </w:rPr>
        <w:t xml:space="preserve"> — מתיל-טרט-בוטיל-אתר; </w:t>
      </w:r>
      <w:r>
        <w:rPr>
          <w:b/>
          <w:rtl/>
          <w:rFonts w:cs="Arial"/>
          <w:lang w:bidi="he-IL"/>
        </w:rPr>
        <w:t>TBA</w:t>
      </w:r>
      <w:r>
        <w:rPr>
          <w:rtl/>
          <w:rFonts w:cs="Arial"/>
          <w:lang w:bidi="he-IL"/>
        </w:rPr>
        <w:t xml:space="preserve"> — טרט-בוטיל-אלכוהול.</w:t>
      </w:r>
    </w:p>
    <w:p>
      <w:pPr>
        <w:bidi/>
        <w:pStyle w:val="ListBullet"/>
        <w:jc w:val="both"/>
        <w:rPr>
          <w:rtl/>
        </w:rPr>
      </w:pPr>
      <w:r>
        <w:rPr>
          <w:b/>
          <w:rtl/>
          <w:rFonts w:cs="Arial"/>
          <w:lang w:bidi="he-IL"/>
        </w:rPr>
        <w:t>DNAPL</w:t>
      </w:r>
      <w:r>
        <w:rPr>
          <w:rtl/>
          <w:rFonts w:cs="Arial"/>
          <w:lang w:bidi="he-IL"/>
        </w:rPr>
        <w:t xml:space="preserve"> / </w:t>
      </w:r>
      <w:r>
        <w:rPr>
          <w:b/>
          <w:rtl/>
          <w:rFonts w:cs="Arial"/>
          <w:lang w:bidi="he-IL"/>
        </w:rPr>
        <w:t>LNAPL</w:t>
      </w:r>
      <w:r>
        <w:rPr>
          <w:rtl/>
          <w:rFonts w:cs="Arial"/>
          <w:lang w:bidi="he-IL"/>
        </w:rPr>
        <w:t xml:space="preserve"> — נוזל לא-מימי צפוף/קל; </w:t>
      </w:r>
      <w:r>
        <w:rPr>
          <w:b/>
          <w:rtl/>
          <w:rFonts w:cs="Arial"/>
          <w:lang w:bidi="he-IL"/>
        </w:rPr>
        <w:t>DWS</w:t>
      </w:r>
      <w:r>
        <w:rPr>
          <w:rtl/>
          <w:rFonts w:cs="Arial"/>
          <w:lang w:bidi="he-IL"/>
        </w:rPr>
        <w:t xml:space="preserve"> — תקן מי שתייה.</w:t>
      </w:r>
    </w:p>
    <w:p>
      <w:pPr>
        <w:bidi/>
        <w:pStyle w:val="ListBullet"/>
        <w:jc w:val="both"/>
        <w:rPr>
          <w:rtl/>
        </w:rPr>
      </w:pPr>
      <w:r>
        <w:rPr>
          <w:b/>
          <w:rtl/>
          <w:rFonts w:cs="Arial"/>
          <w:lang w:bidi="he-IL"/>
        </w:rPr>
        <w:t>אינדקס חומרה</w:t>
      </w:r>
      <w:r>
        <w:rPr>
          <w:rtl/>
          <w:rFonts w:cs="Arial"/>
          <w:lang w:bidi="he-IL"/>
        </w:rPr>
        <w:t xml:space="preserve"> — סולם 0–8 לפי יחס ריכוז/תקן; </w:t>
      </w:r>
      <w:r>
        <w:rPr>
          <w:b/>
          <w:rtl/>
          <w:rFonts w:cs="Arial"/>
          <w:lang w:bidi="he-IL"/>
        </w:rPr>
        <w:t>Mann-Kendall</w:t>
      </w:r>
      <w:r>
        <w:rPr>
          <w:rtl/>
          <w:rFonts w:cs="Arial"/>
          <w:lang w:bidi="he-IL"/>
        </w:rPr>
        <w:t xml:space="preserve"> — מבחן מגמה לא-פרמטרי; </w:t>
      </w:r>
      <w:r>
        <w:rPr>
          <w:b/>
          <w:rtl/>
          <w:rFonts w:cs="Arial"/>
          <w:lang w:bidi="he-IL"/>
        </w:rPr>
        <w:t>יחס אות/רעש</w:t>
      </w:r>
      <w:r>
        <w:rPr>
          <w:rtl/>
          <w:rFonts w:cs="Arial"/>
          <w:lang w:bidi="he-IL"/>
        </w:rPr>
        <w:t xml:space="preserve"> — סינון מובהקות; </w:t>
      </w:r>
      <w:r>
        <w:rPr>
          <w:b/>
          <w:rtl/>
          <w:rFonts w:cs="Arial"/>
          <w:lang w:bidi="he-IL"/>
        </w:rPr>
        <w:t>טריגר רך</w:t>
      </w:r>
      <w:r>
        <w:rPr>
          <w:rtl/>
          <w:rFonts w:cs="Arial"/>
          <w:lang w:bidi="he-IL"/>
        </w:rPr>
        <w:t xml:space="preserve"> — שני ערכים עולים רצופים בחלון.</w:t>
      </w:r>
    </w:p>
    <w:p>
      <w:pPr>
        <w:bidi/>
        <w:pStyle w:val="ListBullet"/>
        <w:jc w:val="both"/>
        <w:rPr>
          <w:rtl/>
        </w:rPr>
      </w:pPr>
      <w:r>
        <w:rPr>
          <w:b/>
          <w:rtl/>
          <w:rFonts w:cs="Arial"/>
          <w:lang w:bidi="he-IL"/>
        </w:rPr>
        <w:t>רמת ודאות</w:t>
      </w:r>
      <w:r>
        <w:rPr>
          <w:rtl/>
          <w:rFonts w:cs="Arial"/>
          <w:lang w:bidi="he-IL"/>
        </w:rPr>
        <w:t xml:space="preserve"> — דירוג ייחוס מקורות: גבוהה / בינונית / נמוכה.</w:t>
      </w:r>
    </w:p>
    <w:p>
      <w:pPr>
        <w:bidi/>
        <w:jc w:val="both"/>
        <w:rPr>
          <w:rtl/>
        </w:rPr>
      </w:pPr>
      <w:r>
        <w:rPr>
          <w:rtl/>
          <w:rFonts w:cs="Arial"/>
          <w:lang w:bidi="he-IL"/>
        </w:rPr>
        <w:t>──────────────────────────────────────────────────</w:t>
      </w:r>
    </w:p>
    <w:p>
      <w:pPr>
        <w:bidi/>
        <w:jc w:val="both"/>
        <w:rPr>
          <w:rtl/>
        </w:rPr>
      </w:pPr>
      <w:r>
        <w:rPr>
          <w:i/>
          <w:rtl/>
          <w:rFonts w:cs="Arial"/>
          <w:lang w:bidi="he-IL"/>
        </w:rPr>
        <w:t>דוח זה הופק במסגרת מערך הדיווח המובנה לאיכות מי תהום באזורי תעשייה. כל ייחוס מקור פרשני עד לאישור הידרולוג מוסמך, ובכפוף לתיאום עם המשרד להגנת הסביבה ועם רשות המים.</w:t>
      </w:r>
    </w:p>
    <w:p>
      <w:pPr>
        <w:jc w:val="center"/>
      </w:pPr>
      <w:r>
        <w:drawing>
          <wp:inline xmlns:a="http://schemas.openxmlformats.org/drawingml/2006/main" xmlns:pic="http://schemas.openxmlformats.org/drawingml/2006/picture">
            <wp:extent cx="5029200" cy="347014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470148"/>
                    </a:xfrm>
                    <a:prstGeom prst="rect"/>
                  </pic:spPr>
                </pic:pic>
              </a:graphicData>
            </a:graphic>
          </wp:inline>
        </w:drawing>
      </w:r>
    </w:p>
    <w:p>
      <w:pPr>
        <w:bidi/>
        <w:spacing w:before="120" w:after="240"/>
        <w:jc w:val="center"/>
      </w:pPr>
      <w:r>
        <w:rPr>
          <w:i/>
          <w:sz w:val="20"/>
          <w:rtl/>
        </w:rPr>
        <w:t>איור 4: תרשים ניתוח זיהום</w:t>
      </w:r>
    </w:p>
    <w:p>
      <w:pPr>
        <w:jc w:val="center"/>
      </w:pPr>
      <w:r>
        <w:drawing>
          <wp:inline xmlns:a="http://schemas.openxmlformats.org/drawingml/2006/main" xmlns:pic="http://schemas.openxmlformats.org/drawingml/2006/picture">
            <wp:extent cx="5029200" cy="32689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268980"/>
                    </a:xfrm>
                    <a:prstGeom prst="rect"/>
                  </pic:spPr>
                </pic:pic>
              </a:graphicData>
            </a:graphic>
          </wp:inline>
        </w:drawing>
      </w:r>
    </w:p>
    <w:p>
      <w:pPr>
        <w:bidi/>
        <w:spacing w:before="120" w:after="240"/>
        <w:jc w:val="center"/>
      </w:pPr>
      <w:r>
        <w:rPr>
          <w:i/>
          <w:sz w:val="20"/>
          <w:rtl/>
        </w:rPr>
        <w:t>איור 3: תרשים ניתוח זיהום</w:t>
      </w:r>
    </w:p>
    <w:p>
      <w:pPr>
        <w:jc w:val="center"/>
      </w:pPr>
      <w:r>
        <w:drawing>
          <wp:inline xmlns:a="http://schemas.openxmlformats.org/drawingml/2006/main" xmlns:pic="http://schemas.openxmlformats.org/drawingml/2006/picture">
            <wp:extent cx="5029200" cy="347014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470148"/>
                    </a:xfrm>
                    <a:prstGeom prst="rect"/>
                  </pic:spPr>
                </pic:pic>
              </a:graphicData>
            </a:graphic>
          </wp:inline>
        </w:drawing>
      </w:r>
    </w:p>
    <w:p>
      <w:pPr>
        <w:bidi/>
        <w:spacing w:before="120" w:after="240"/>
        <w:jc w:val="center"/>
      </w:pPr>
      <w:r>
        <w:rPr>
          <w:i/>
          <w:sz w:val="20"/>
          <w:rtl/>
        </w:rPr>
        <w:t>איור 2: תרשים ניתוח זיהום</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771900"/>
                    </a:xfrm>
                    <a:prstGeom prst="rect"/>
                  </pic:spPr>
                </pic:pic>
              </a:graphicData>
            </a:graphic>
          </wp:inline>
        </w:drawing>
      </w:r>
    </w:p>
    <w:p>
      <w:pPr>
        <w:bidi/>
        <w:spacing w:before="120" w:after="240"/>
        <w:jc w:val="center"/>
      </w:pPr>
      <w:r>
        <w:rPr>
          <w:i/>
          <w:sz w:val="20"/>
          <w:rtl/>
        </w:rPr>
        <w:t>איור 1: תרשים ניתוח זיהום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2"/>
      <w:rtl/>
      <w:lang w:val="en-US" w:bidi="he-IL"/>
    </w:rPr>
    <w:pPr>
      <w:bidi/>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