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COMPUTACIONAL PARA RECONHECIMENTO DE EXPRESSÕES FACIAIS NA TERAPIA DE CRIANÇAS COM TRANSTORNO DO ESPECTRO AUTISTA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COMPUTATIONAL VISION FOR FACIAL EXPRESSION RECOGNITION IN THE THERAPY OF CHILDREN WITH AUTISM SPECTRUM DISORDER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Haimon Cugler Vieira </w:t>
        <w:tab/>
        <w:tab/>
        <w:t xml:space="preserve">    </w:t>
        <w:tab/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{ haimon.vieira@fatec.sp.gov.br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Hudson Lucas Gregorio </w:t>
        <w:tab/>
        <w:tab/>
        <w:tab/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{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hudson.gregorio@fatec.sp.gov.br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}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Kevin da Silva Oliveira </w:t>
        <w:tab/>
        <w:tab/>
        <w:tab/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{ kevin.oliveira12@fatec.sp.gov.br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Luca Tony da Silva Carravieri Fudalli </w:t>
        <w:tab/>
        <w:tab/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{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luca.fudalli@fatec.sp.gov.br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}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Marcelo Jose Moreira Junior </w:t>
        <w:tab/>
        <w:tab/>
        <w:t xml:space="preserve">{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marcelo.moreira16@fatec.sp.gov.br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Transtorno do Espectro Autista (TEA) apresenta desafios significativos no desenvolvimento de habilidades socioemocionais, especialmente no reconhecimento e interpretação de expressões faciais. Tradicionalmente, a avaliação do progresso terapêutico nessas áreas depende da observação subjetiva de profissionais, o que pode limitar a precisão e a personalização das intervenções. Diante desse cenário, a visão computacional surge como uma ferramenta promissora para oferecer suporte tecnológico objetivo e baseado em dados.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meio de técnicas avançadas de processamento de imagem e análise de padrões, a visão computacional permite capturar, mapear e quantificar respostas faciais em tempo real durante sessões terapêuticas. Essa abordagem não apenas complementa o trabalho do terapeuta, mas também fornece métricas claras e mensuráveis sobre o engajamento e o progresso da criança.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artigo explorará como a aplicação dessa tecnologia pode transformar práticas terapêuticas, oferecer insights personalizados e, contribuir para um desenvolvimento mais eficaz das capacidades de interação social em crianças com TEA.</w:t>
      </w:r>
    </w:p>
    <w:p w:rsidR="00000000" w:rsidDel="00000000" w:rsidP="00000000" w:rsidRDefault="00000000" w:rsidRPr="00000000" w14:paraId="00000013">
      <w:pPr>
        <w:spacing w:after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amyz8y9siqo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Objetivo Geral</w:t>
      </w:r>
    </w:p>
    <w:p w:rsidR="00000000" w:rsidDel="00000000" w:rsidP="00000000" w:rsidRDefault="00000000" w:rsidRPr="00000000" w14:paraId="00000016">
      <w:pPr>
        <w:widowControl w:val="1"/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sistema baseado 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computacional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utilizando a biblioteca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dlib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reconhecimento de expressões faciais em crianças com Transtorno do Espectro Autista (TEA). O objetivo é auxiliar terapeutas na identificação e interpretação de emoções durante sessões terapêuticas, visando melhorar a comunicação e a interação social das crianças.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lfzewxeq3v9e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Objetivos Específicos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2t5g2hhls0zq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2.1 Implementação do Algoritmo de Detecção Facial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algoritmo eficiente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detecção facial em tempo real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utilizando a biblioteca dlib;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a detecção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landmarks faciais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identificar pontos-chave no rosto (como olhos, sobrancelhas, nariz e boca) com o intuito de melhorar a precisão da detecção de características faciais; 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Tentar assegurar que o sistema funcione sob diversas condições de iluminação e ângulos de captura.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9daxcy9way0o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2.2 Classificação de Expressões Faciais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Classificar expressões faciais básicas (felicidade, tristeza, raiva, surpresa, medo e neutralidade) com uma certa precisão;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Utilizar técnicas de processamento de imagens para extração de características faciais relevantes;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Obter maior precisão sobre expressões (landmarks) a partir de um banco de imagens.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z7eja6tjigq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2.3 Desenvolvimento de Interface de Usuário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gráfica amigável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uso em ambientes terapêuticos, facilitando a interação do usuário com o sistema;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visualizações em tempo real das emoções detectadas para auxiliar terapeutas durante as sessões; 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recursos adicionais como registro de sessões e geração de relatórios de progresso das crianças.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in7qsp7lvqto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2.4 Validação e Testes do Sistema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testes do sistema em ambientes terapêuticos reais, com a participação de crianças autistas e profissionais da área;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Coletar feedback dos usuários para identificar oportunidades de melhoria e ajustar o sistema conforme necessário; 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 a eficácia do sistema na melhoria da comunicação e da interação social das crianças autistas.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1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egcqkifl3fu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2.5 Integração e Expansão do Sistema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Explorar possibilidades de integração do sistema com outras ferramentas terapêuticas e educacionais;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módulos adicionais para personalização do sistema conforme as necessidades específicas de cada criança e terapeuta; 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Investigar a viabilidade de expansão do sistema para outras aplicações, incluindo jogos interativos e ferramentas de aprendizado.</w:t>
      </w:r>
    </w:p>
    <w:p w:rsidR="00000000" w:rsidDel="00000000" w:rsidP="00000000" w:rsidRDefault="00000000" w:rsidRPr="00000000" w14:paraId="0000002C">
      <w:pPr>
        <w:widowControl w:val="1"/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ESTADO DA ARTE</w:t>
      </w:r>
    </w:p>
    <w:p w:rsidR="00000000" w:rsidDel="00000000" w:rsidP="00000000" w:rsidRDefault="00000000" w:rsidRPr="00000000" w14:paraId="00000030">
      <w:pPr>
        <w:spacing w:after="240" w:line="360" w:lineRule="auto"/>
        <w:ind w:left="0" w:right="0" w:firstLine="708.661417322834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apresenta uma revisão dos principais estudos e ferramentas computacionais desenvolvidas para auxiliar crianças com TEA no reconhecimento de expressões faciais. O objetivo é analisar metodologias, resultados e lacunas, visando identificar oportunidades para pesquisas futuras.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jnw3saxsivdz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Fernandes e Pinto (2024) exploram a importância da identificação das emoções para o desenvolvimento de habilidades sociais em crianças com TEA e estratégias que a terapia apresenta. A pesquisa investiga as dificuldades da criança com o espectro de se expressar e interagir socialmente com os neurotípicos e como a Análise do Comportamento contribui para o ensino dessa habilidade. As autoras concluem que a essa dificuldade afeta nas interações sociais e há intervenções como ABA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Applied Behavior Analysis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ou Análise do Comportamento Aplicada, sendo voltadas para esse treinamento, explorando o uso de figuras de expressões faciais, fotos, histórias, jogos e aplicativos. O estudo das autoras é de caráter qualitativo baseado em pesquisas bibliográficas, mas não especifica outros métodos que podem ajudar indivíduos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neurodivergentes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alguma tecnologia para auxiliar os métodos clássicos.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5fvsl8s0i9n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pesquisa de Barbosa et al. (2025), eles investigam como a Inteligência Artificial (IA), aprendizado de máquina e visão computacional auxilia pessoas com o espectro autista no reconhecimento de expressões faciais e emoções para criar uma ferramenta para auxiliar profissionais da saúde, famílias e pessoas dentro do espectro. Foram utilizadas bibliotecas da linguagem de programação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elas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DeepFace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OpenCV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obter imagens em tempo real para fazer o reconhecimento de expressões e emoções, fazendo com que terapeutas ou familiares consigam melhorar a interpretação emocional e não verbal do indivíduo com espectro. Os resultados deles foram promissores utilizando as tecnologias, mas complementam dizendo que o uso de IA ainda precisa ser aprofundado neste campo. Destacam a ausência de pessoas dentro do espectro no estudo feito, para testar a ferramenta, mas afirmam que para pessoas neurotípicas a taxa de acerto da ferramenta desenvolvida foi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50%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qpmv9ia5pbz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pesquisa de Dantas (2021), desenvolvida em sua tese de doutorado, foi abordado o uso de redes neurais convolucionais e bases de dados públicas (ex.: CK+, FER2013) para criar um jogo voltado ao reconhecimento de emoções em crianças com TEA. O estudo incluiu uma revisão detalhada de trabalhos como os de Barbosa et al. (2025) e Fernandes e Pinto (2024), além de propor uma ferramenta inovadora.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avaliação do jogo foi realizada em dois cenários: Associação dos Deficientes da Liberdade e uma Clínica de Terapia Ocupacional, com foco nos resultados obtidos no segundo cenário, onde 8 crianças com TEA participaram do estudo. A metodologia foi dividida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três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360" w:lineRule="auto"/>
        <w:ind w:left="0" w:right="0" w:firstLine="708.6614173228347"/>
        <w:jc w:val="both"/>
        <w:rPr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Coleta de dados sobre o conhecimento inicial dos participantes;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0" w:right="0" w:firstLine="708.6614173228347"/>
        <w:jc w:val="both"/>
        <w:rPr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Intervenção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Uso do jogo para treinamento das habilidades emocionais; 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360" w:lineRule="auto"/>
        <w:ind w:left="0" w:right="0" w:firstLine="708.6614173228347"/>
        <w:jc w:val="both"/>
        <w:rPr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Reavaliação após a intervenção.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demonstraram uma melhora significativa no reconhecimento de emoções, especialmente na etapa de manutenção, onde a taxa de acerto alcançou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96,6%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média.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6kxbs2s65rkl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autor cita algumas lacunas que ficaram no seu trabalho como no problema de identificar micro-expressões e desbalanceamento da base de dados, propondo trabalhos futuros para melhorar a ferramenta.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xx4vddojpm14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o autor conclui que a ferramenta contribui para o aprimoramento das habilidades de detecção e expressão de emoções em indivíduos com TEA.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right="60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estudo propõe um sistema híbrido que integra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computacional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estratégias terapêuticas, como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do Comportamento Aplicada (ABA)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visando o reconhecimento de emoções complexas (ex.: micro-expressões). O sistema será validado com crianças com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Transtorno do Espectro Autista (TEA)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implementado em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jogo educacional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sério — uma ferramenta projetada para fins terapêuticos e pedagógicos, que combina diversão e aprendizagem para engajar as crianças.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right="60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9we26csz2q2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 auxiliar no desenvolvimento das habilidades sociais das crianças, o sistema fornecerá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quantitativos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profissionais da saúde, permitindo o monitoramento do progresso e a personalização das intervenções. Dessa forma, busca-se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preencher as lacunas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identificadas em estudos anteriores, que não integram tecnologias digitais com abordagens terapêuticas tradicionais ou validam ferramentas com o público-alvo.</w:t>
      </w:r>
    </w:p>
    <w:p w:rsidR="00000000" w:rsidDel="00000000" w:rsidP="00000000" w:rsidRDefault="00000000" w:rsidRPr="00000000" w14:paraId="0000003E">
      <w:pPr>
        <w:spacing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  <w:sectPr>
          <w:headerReference r:id="rId13" w:type="default"/>
          <w:footerReference r:id="rId14" w:type="default"/>
          <w:pgSz w:h="16840" w:w="11910" w:orient="portrait"/>
          <w:pgMar w:bottom="1133.8582677165355" w:top="1700.7874015748032" w:left="1700.7874015748032" w:right="1133.8582677165355" w:header="0" w:footer="83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2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FERNANDES, M.E; PINTO, D.S.M.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RECONHECIMENTO DE EMOÇÕES EM CRIANÇAS COM TRANSTORNO DO ESPECTRO AUTISTA: CONTRIBUIÇÕES DA ANÁLISE DO COMPORTAMENTO APLICADA.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FAP. Apucarana. 2024. Disponível em: 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https://www.fap.com.br/banco-tc/psicologia/2024/PSI2024005.pdf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7 de set. de 2025.</w:t>
      </w:r>
    </w:p>
    <w:p w:rsidR="00000000" w:rsidDel="00000000" w:rsidP="00000000" w:rsidRDefault="00000000" w:rsidRPr="00000000" w14:paraId="00000043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BARBOSA, B. B. M.; ROCHA, C. P. De Brito; BARRETO, Carlos Futino ; SOUSA, L. G. C. B. A.; VIEIRA, F. L. De Miranda.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Explorando visão computacional e IA para auxiliar indivíduos no Espectro Autista com o reconhecimento de expressões faciais e sentimentos.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REVISTA CADERNO PEDAGÓGICO, Teresina. 2025. Disponível em: 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https://ojs.studiespublicacoes.com.br/ojs/index.php/cadped/article/view/18082/9971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10 de set. de 2025.</w:t>
      </w:r>
    </w:p>
    <w:p w:rsidR="00000000" w:rsidDel="00000000" w:rsidP="00000000" w:rsidRDefault="00000000" w:rsidRPr="00000000" w14:paraId="00000044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DANTAS, Adilmar Coelho.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Abordagem Computacional para aprimoramento das habilidades com as emoções em indivíduos com autismo.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Federal de Uberlândia, Uberlândia. 2021. Disponível em: </w:t>
      </w:r>
      <w:hyperlink r:id="rId1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https://repositorio.ufu.br/bitstream/123456789/35070/10/AbordagemComputacionalAprimoramento.pdf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12 de set. de 2025.</w:t>
      </w:r>
    </w:p>
    <w:p w:rsidR="00000000" w:rsidDel="00000000" w:rsidP="00000000" w:rsidRDefault="00000000" w:rsidRPr="00000000" w14:paraId="00000045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133.8582677165355" w:top="1700.7874015748032" w:left="1700.7874015748032" w:right="1133.8582677165355" w:header="0" w:footer="83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6107112</wp:posOffset>
              </wp:positionH>
              <wp:positionV relativeFrom="paragraph">
                <wp:posOffset>10017292</wp:posOffset>
              </wp:positionV>
              <wp:extent cx="161925" cy="2203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9800" y="3674590"/>
                        <a:ext cx="15240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6107112</wp:posOffset>
              </wp:positionH>
              <wp:positionV relativeFrom="paragraph">
                <wp:posOffset>10017292</wp:posOffset>
              </wp:positionV>
              <wp:extent cx="161925" cy="22034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Fonts w:ascii="Arial" w:cs="Arial" w:eastAsia="Arial" w:hAnsi="Arial"/>
        <w:sz w:val="20"/>
        <w:szCs w:val="20"/>
      </w:rPr>
      <mc:AlternateContent>
        <mc:Choice Requires="wpg">
          <w:drawing>
            <wp:inline distB="0" distT="0" distL="0" distR="0">
              <wp:extent cx="5760000" cy="5842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85925" y="3472175"/>
                        <a:ext cx="5760000" cy="584200"/>
                        <a:chOff x="2285925" y="3472175"/>
                        <a:chExt cx="6120150" cy="615875"/>
                      </a:xfrm>
                    </wpg:grpSpPr>
                    <wpg:grpSp>
                      <wpg:cNvGrpSpPr/>
                      <wpg:grpSpPr>
                        <a:xfrm>
                          <a:off x="2285935" y="3472978"/>
                          <a:ext cx="6120130" cy="614045"/>
                          <a:chOff x="0" y="0"/>
                          <a:chExt cx="6120130" cy="61404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120125" cy="61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6398" y="106990"/>
                            <a:ext cx="904044" cy="4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6" name="Shape 6"/>
                        <wps:spPr>
                          <a:xfrm>
                            <a:off x="1263167" y="22837"/>
                            <a:ext cx="1270" cy="540385"/>
                          </a:xfrm>
                          <a:custGeom>
                            <a:rect b="b" l="l" r="r" t="t"/>
                            <a:pathLst>
                              <a:path extrusionOk="0" h="540385" w="120000">
                                <a:moveTo>
                                  <a:pt x="0" y="540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231F2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591314"/>
                            <a:ext cx="6120130" cy="1270"/>
                          </a:xfrm>
                          <a:custGeom>
                            <a:rect b="b" l="l" r="r" t="t"/>
                            <a:pathLst>
                              <a:path extrusionOk="0" h="120000"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231F2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610288"/>
                            <a:ext cx="6120130" cy="1270"/>
                          </a:xfrm>
                          <a:custGeom>
                            <a:rect b="b" l="l" r="r" t="t"/>
                            <a:pathLst>
                              <a:path extrusionOk="0" h="120000"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D2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612013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03.00000667572021"/>
                                <w:ind w:left="2113.000030517578" w:right="0" w:firstLine="2113.0000305175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Ministério da Educação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3.00000667572021"/>
                                <w:ind w:left="2113.000030517578" w:right="0" w:firstLine="2113.0000305175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Faculdade de Tecnologia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3.00000667572021"/>
                                <w:ind w:left="2113.000030517578" w:right="0" w:firstLine="2113.0000305175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Campus Registro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03.00000667572021"/>
                                <w:ind w:left="2113.000030517578" w:right="0" w:firstLine="2113.0000305175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ahoma" w:cs="Tahoma" w:eastAsia="Tahoma" w:hAnsi="Tahom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Desenvolvimento de Software Multiplataforma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760000" cy="5842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00" cy="584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208" w:lineRule="auto"/>
      <w:ind w:left="141"/>
    </w:pPr>
    <w:rPr>
      <w:rFonts w:ascii="Arial Black" w:cs="Arial Black" w:eastAsia="Arial Black" w:hAnsi="Arial Black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289" w:right="702" w:hanging="480.99999999999994"/>
    </w:pPr>
    <w:rPr>
      <w:rFonts w:ascii="Arial Black" w:cs="Arial Black" w:eastAsia="Arial Black" w:hAnsi="Arial Black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uca.fudalli@fatec.sp.gov.br" TargetMode="External"/><Relationship Id="rId10" Type="http://schemas.openxmlformats.org/officeDocument/2006/relationships/hyperlink" Target="mailto:%7Bluca.fudalli@fatec.sp.gov.br" TargetMode="External"/><Relationship Id="rId13" Type="http://schemas.openxmlformats.org/officeDocument/2006/relationships/header" Target="header1.xml"/><Relationship Id="rId12" Type="http://schemas.openxmlformats.org/officeDocument/2006/relationships/hyperlink" Target="mailto:%7Bmarcelo.moreira16@fatec.sp.gov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%7Bkevin.oliveira12@fatec.sp.gov.br" TargetMode="External"/><Relationship Id="rId15" Type="http://schemas.openxmlformats.org/officeDocument/2006/relationships/hyperlink" Target="https://www.fap.com.br/banco-tc/psicologia/2024/PSI2024005.pdf" TargetMode="External"/><Relationship Id="rId14" Type="http://schemas.openxmlformats.org/officeDocument/2006/relationships/footer" Target="footer1.xml"/><Relationship Id="rId17" Type="http://schemas.openxmlformats.org/officeDocument/2006/relationships/hyperlink" Target="https://repositorio.ufu.br/bitstream/123456789/35070/10/AbordagemComputacionalAprimoramento.pdf" TargetMode="External"/><Relationship Id="rId16" Type="http://schemas.openxmlformats.org/officeDocument/2006/relationships/hyperlink" Target="https://ojs.studiespublicacoes.com.br/ojs/index.php/cadped/article/view/18082/9971" TargetMode="External"/><Relationship Id="rId5" Type="http://schemas.openxmlformats.org/officeDocument/2006/relationships/styles" Target="styles.xml"/><Relationship Id="rId6" Type="http://schemas.openxmlformats.org/officeDocument/2006/relationships/hyperlink" Target="mailto:%7Bhaimon.vieira@fatec.sp.gov.br" TargetMode="External"/><Relationship Id="rId7" Type="http://schemas.openxmlformats.org/officeDocument/2006/relationships/hyperlink" Target="mailto:%7Bhudson.gregorio@fatec.sp.gov.br" TargetMode="External"/><Relationship Id="rId8" Type="http://schemas.openxmlformats.org/officeDocument/2006/relationships/hyperlink" Target="mailto:hudson.gregorio@fatec.sp.gov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2025-03-22T00:00:00Z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2025-03-22T00:00:00Z</vt:lpwstr>
  </property>
  <property fmtid="{D5CDD505-2E9C-101B-9397-08002B2CF9AE}" pid="5" name="PTEX.Fullbanner">
    <vt:lpwstr>This is MiKTeX-pdfTeX 4.21.0 (1.40.27)</vt:lpwstr>
  </property>
  <property fmtid="{D5CDD505-2E9C-101B-9397-08002B2CF9AE}" pid="6" name="Producer">
    <vt:lpwstr>MiKTeX pdfTeX-1.40.27</vt:lpwstr>
  </property>
  <property fmtid="{D5CDD505-2E9C-101B-9397-08002B2CF9AE}" pid="7" name="MSIP_Label_ff380b4d-8a71-4241-982c-3816ad3ce8fc_Enabled">
    <vt:lpwstr>true</vt:lpwstr>
  </property>
  <property fmtid="{D5CDD505-2E9C-101B-9397-08002B2CF9AE}" pid="8" name="MSIP_Label_ff380b4d-8a71-4241-982c-3816ad3ce8fc_SetDate">
    <vt:lpwstr>2025-03-24T13:23:41Z</vt:lpwstr>
  </property>
  <property fmtid="{D5CDD505-2E9C-101B-9397-08002B2CF9AE}" pid="9" name="MSIP_Label_ff380b4d-8a71-4241-982c-3816ad3ce8fc_Method">
    <vt:lpwstr>Standard</vt:lpwstr>
  </property>
  <property fmtid="{D5CDD505-2E9C-101B-9397-08002B2CF9AE}" pid="10" name="MSIP_Label_ff380b4d-8a71-4241-982c-3816ad3ce8fc_Name">
    <vt:lpwstr>defa4170-0d19-0005-0004-bc88714345d2</vt:lpwstr>
  </property>
  <property fmtid="{D5CDD505-2E9C-101B-9397-08002B2CF9AE}" pid="11" name="MSIP_Label_ff380b4d-8a71-4241-982c-3816ad3ce8fc_SiteId">
    <vt:lpwstr>eabe64c5-68f5-4a76-8301-9577a679e449</vt:lpwstr>
  </property>
  <property fmtid="{D5CDD505-2E9C-101B-9397-08002B2CF9AE}" pid="12" name="MSIP_Label_ff380b4d-8a71-4241-982c-3816ad3ce8fc_ActionId">
    <vt:lpwstr>48c5493e-851b-43f9-ab1e-5ba8c82970a6</vt:lpwstr>
  </property>
  <property fmtid="{D5CDD505-2E9C-101B-9397-08002B2CF9AE}" pid="13" name="MSIP_Label_ff380b4d-8a71-4241-982c-3816ad3ce8fc_ContentBits">
    <vt:lpwstr>0</vt:lpwstr>
  </property>
</Properties>
</file>