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bidi/>
        <w:spacing w:after="160" w:before="400"/>
        <w:jc w:val="center"/>
      </w:pPr>
      <w:r>
        <w:rPr>
          <w:rFonts w:ascii="Arial" w:cs="Arial" w:eastAsia="Arial" w:hAnsi="Arial"/>
          <w:b/>
          <w:bCs/>
          <w:color w:val="1F4E79"/>
          <w:sz w:val="60"/>
          <w:szCs w:val="60"/>
        </w:rPr>
        <w:t xml:space="preserve">מדריך זכויות מקיף</w:t>
      </w:r>
    </w:p>
    <w:p>
      <w:pPr>
        <w:bidi/>
        <w:spacing w:after="120" w:before="0"/>
        <w:jc w:val="center"/>
      </w:pPr>
      <w:r>
        <w:rPr>
          <w:rFonts w:ascii="Arial" w:cs="Arial" w:eastAsia="Arial" w:hAnsi="Arial"/>
          <w:b/>
          <w:bCs/>
          <w:color w:val="2E75B6"/>
          <w:sz w:val="34"/>
          <w:szCs w:val="34"/>
        </w:rPr>
        <w:t xml:space="preserve">תיקון מס' 47 לחוק משפחות חיילים שנספו במערכה</w:t>
      </w:r>
    </w:p>
    <w:p>
      <w:pPr>
        <w:bidi/>
        <w:spacing w:after="120" w:before="0"/>
        <w:jc w:val="center"/>
      </w:pPr>
      <w:r>
        <w:rPr>
          <w:rFonts w:ascii="Arial" w:cs="Arial" w:eastAsia="Arial" w:hAnsi="Arial"/>
          <w:color w:val="666666"/>
          <w:sz w:val="24"/>
          <w:szCs w:val="24"/>
        </w:rPr>
        <w:t xml:space="preserve">לעובדי שיקום ואיבה | כולל כל הזכויות לכל האוכלוסיות</w:t>
      </w:r>
    </w:p>
    <w:p>
      <w:pPr>
        <w:bidi/>
        <w:spacing w:after="600" w:before="0"/>
        <w:jc w:val="center"/>
      </w:pPr>
      <w:r>
        <w:rPr>
          <w:rFonts w:ascii="Arial" w:cs="Arial" w:eastAsia="Arial" w:hAnsi="Arial"/>
          <w:b/>
          <w:bCs/>
          <w:color w:val="888888"/>
          <w:sz w:val="22"/>
          <w:szCs w:val="22"/>
        </w:rPr>
        <w:t xml:space="preserve">בתוקף מ-1 בפברואר 2026</w:t>
      </w:r>
    </w:p>
    <w:p>
      <w:pPr>
        <w:pBdr>
          <w:bottom w:val="single" w:color="CCCCCC" w:sz="2" w:space="1"/>
        </w:pBdr>
        <w:spacing w:after="120" w:before="120"/>
      </w:pPr>
    </w:p>
    <w:p>
      <w:pPr>
        <w:spacing w:after="40" w:before="40"/>
      </w:pPr>
      <w:r>
        <w:t xml:space="preserve"/>
      </w:r>
    </w:p>
    <w:p>
      <w:pPr>
        <w:pBdr>
          <w:bottom w:val="single" w:color="1F4E79" w:sz="8" w:space="4"/>
        </w:pBdr>
        <w:bidi/>
        <w:spacing w:after="160" w:before="480"/>
        <w:jc w:val="right"/>
      </w:pPr>
      <w:r>
        <w:rPr>
          <w:rFonts w:ascii="Arial" w:cs="Arial" w:eastAsia="Arial" w:hAnsi="Arial"/>
          <w:b/>
          <w:bCs/>
          <w:color w:val="1F4E79"/>
          <w:sz w:val="36"/>
          <w:szCs w:val="36"/>
        </w:rPr>
        <w:t xml:space="preserve">א. הגדרות מרכזיות</w:t>
      </w:r>
    </w:p>
    <w:p>
      <w:pPr>
        <w:bidi/>
        <w:spacing w:after="60" w:before="60"/>
        <w:jc w:val="right"/>
      </w:pPr>
      <w:r>
        <w:rPr>
          <w:rFonts w:ascii="Arial" w:cs="Arial" w:eastAsia="Arial" w:hAnsi="Arial"/>
          <w:sz w:val="22"/>
          <w:szCs w:val="22"/>
        </w:rPr>
        <w:t xml:space="preserve">לפני העיון בזכויות, חשוב להכיר את ההגדרות החוקיות המדויקות:</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6"/>
              <w:left w:val="single" w:color="1F4E79" w:sz="6"/>
              <w:bottom w:val="single" w:color="1F4E79" w:sz="6"/>
              <w:right w:val="single" w:color="1F4E79" w:sz="6"/>
            </w:tcBorders>
            <w:shd w:fill="DEEAF1" w:val="clear"/>
            <w:tcMar>
              <w:top w:type="dxa" w:w="120"/>
              <w:left w:type="dxa" w:w="180"/>
              <w:bottom w:type="dxa" w:w="120"/>
              <w:right w:type="dxa" w:w="180"/>
            </w:tcMar>
          </w:tcPr>
          <w:p>
            <w:pPr>
              <w:bidi/>
              <w:spacing w:after="80"/>
              <w:jc w:val="right"/>
            </w:pPr>
            <w:r>
              <w:rPr>
                <w:rFonts w:ascii="Arial" w:cs="Arial" w:eastAsia="Arial" w:hAnsi="Arial"/>
                <w:b/>
                <w:bCs/>
                <w:color w:val="1F4E79"/>
                <w:sz w:val="24"/>
                <w:szCs w:val="24"/>
              </w:rPr>
              <w:t xml:space="preserve">📖 הגדרות – תיקון מס' 47</w:t>
            </w:r>
          </w:p>
          <w:p>
            <w:pPr>
              <w:bidi/>
              <w:spacing w:after="30" w:before="30"/>
              <w:jc w:val="right"/>
            </w:pPr>
            <w:r>
              <w:rPr>
                <w:rFonts w:ascii="Arial" w:cs="Arial" w:eastAsia="Arial" w:hAnsi="Arial"/>
                <w:sz w:val="22"/>
                <w:szCs w:val="22"/>
              </w:rPr>
              <w:t xml:space="preserve">יתום – ילדו של הנספה, שלא מלאו לו 30 שנה במות הנספה; או שמחמת מום גופני/שכלי לא עמד ברשות עצמו במות הנספה או בהגיעו לגיל 21 אחרי מותו – לפי המאוחר, וכל עוד אינו עומד ברשות עצמו.</w:t>
            </w:r>
          </w:p>
          <w:p>
            <w:pPr>
              <w:bidi/>
              <w:spacing w:after="30" w:before="30"/>
              <w:jc w:val="right"/>
            </w:pPr>
            <w:r>
              <w:rPr>
                <w:rFonts w:ascii="Arial" w:cs="Arial" w:eastAsia="Arial" w:hAnsi="Arial"/>
                <w:sz w:val="22"/>
                <w:szCs w:val="22"/>
              </w:rPr>
              <w:t xml:space="preserve">ילדו של נספה ("יתום בוגר") – מי שהתייתם מעל גיל 30, או מי שהתייתם מעל גיל 21 והוא מעל גיל 30 ביום 01.02.2026. זכאי לחלק מהזכויות (ראה פירוט).</w:t>
            </w:r>
          </w:p>
          <w:p>
            <w:pPr>
              <w:bidi/>
              <w:spacing w:after="30" w:before="30"/>
              <w:jc w:val="right"/>
            </w:pPr>
            <w:r>
              <w:rPr>
                <w:rFonts w:ascii="Arial" w:cs="Arial" w:eastAsia="Arial" w:hAnsi="Arial"/>
                <w:sz w:val="22"/>
                <w:szCs w:val="22"/>
              </w:rPr>
              <w:t xml:space="preserve">יתום עצמאי – יתום חסר עורף משפחתי שנאלץ לעזוב את בית ההורה שלא מרצונו, בהמלצת פקיד סעד לנוער או החלטת בית משפט. אינו חל על יתום שהוכר עקב נישואים.</w:t>
            </w:r>
          </w:p>
          <w:p>
            <w:pPr>
              <w:bidi/>
              <w:spacing w:after="30" w:before="30"/>
              <w:jc w:val="right"/>
            </w:pPr>
            <w:r>
              <w:rPr>
                <w:rFonts w:ascii="Arial" w:cs="Arial" w:eastAsia="Arial" w:hAnsi="Arial"/>
                <w:sz w:val="22"/>
                <w:szCs w:val="22"/>
              </w:rPr>
              <w:t xml:space="preserve">יתום שאינו עומד ברשות עצמו – ייבחן בגיל 21, או בגיל שהתייתם לראשונה (עד גיל 30) – לפי המאוחר.</w:t>
            </w:r>
          </w:p>
          <w:p>
            <w:pPr>
              <w:bidi/>
              <w:spacing w:after="30" w:before="30"/>
              <w:jc w:val="right"/>
            </w:pPr>
            <w:r>
              <w:rPr>
                <w:rFonts w:ascii="Arial" w:cs="Arial" w:eastAsia="Arial" w:hAnsi="Arial"/>
                <w:sz w:val="22"/>
                <w:szCs w:val="22"/>
              </w:rPr>
              <w:t xml:space="preserve">מחוסר דיור – יחיד או משפחה שאין ולא היו להם ב-10 השנים שחלפו זכויות כלשהן בדירה (בנפרד או במשותף) – בהתאם להגדרת משרד הבינוי והשיכון.</w:t>
            </w:r>
          </w:p>
          <w:p>
            <w:pPr>
              <w:bidi/>
              <w:spacing w:after="30" w:before="30"/>
              <w:jc w:val="right"/>
            </w:pPr>
            <w:r>
              <w:rPr>
                <w:rFonts w:ascii="Arial" w:cs="Arial" w:eastAsia="Arial" w:hAnsi="Arial"/>
                <w:sz w:val="22"/>
                <w:szCs w:val="22"/>
              </w:rPr>
              <w:t xml:space="preserve">הכנסה כדי מחיה – גובה תגמול נכות מאיבה בשיעור 100% (שווה ערך לשכר עובד מדינה דרגה י"ד).</w:t>
            </w:r>
          </w:p>
        </w:tc>
      </w:tr>
    </w:tbl>
    <w:p>
      <w:pPr>
        <w:spacing w:after="40" w:before="40"/>
      </w:pPr>
      <w:r>
        <w:t xml:space="preserve"/>
      </w:r>
    </w:p>
    <w:p>
      <w:pPr>
        <w:bidi/>
        <w:spacing w:after="80" w:before="80"/>
        <w:ind w:left="300"/>
        <w:jc w:val="right"/>
      </w:pPr>
      <w:r>
        <w:rPr>
          <w:rFonts w:ascii="Arial" w:cs="Arial" w:eastAsia="Arial" w:hAnsi="Arial"/>
          <w:i/>
          <w:iCs/>
          <w:color w:val="843C0C"/>
          <w:sz w:val="21"/>
          <w:szCs w:val="21"/>
        </w:rPr>
        <w:t xml:space="preserve">⚠️  חשוב: יתום בוגר ("ילדו של נספה") זכאי לחלק מהזכויות בלבד – בעיקר 162 טיפולי התערבות לרווחה רגשית וסיוע בהגעה לאזכרה. אינו זכאי לתגמולים חודשיים, תל"א, ועוד.</w:t>
      </w:r>
    </w:p>
    <w:p>
      <w:pPr>
        <w:spacing w:after="40" w:before="40"/>
      </w:pPr>
      <w:r>
        <w:t xml:space="preserve"/>
      </w:r>
    </w:p>
    <w:p>
      <w:r>
        <w:br w:type="page"/>
      </w:r>
    </w:p>
    <w:p>
      <w:pPr>
        <w:pBdr>
          <w:bottom w:val="single" w:color="1F4E79" w:sz="8" w:space="4"/>
        </w:pBdr>
        <w:bidi/>
        <w:spacing w:after="160" w:before="480"/>
        <w:jc w:val="right"/>
      </w:pPr>
      <w:r>
        <w:rPr>
          <w:rFonts w:ascii="Arial" w:cs="Arial" w:eastAsia="Arial" w:hAnsi="Arial"/>
          <w:b/>
          <w:bCs/>
          <w:color w:val="1F4E79"/>
          <w:sz w:val="36"/>
          <w:szCs w:val="36"/>
        </w:rPr>
        <w:t xml:space="preserve">ב. יתומים – סל הזכויות המלא</w:t>
      </w:r>
    </w:p>
    <w:p>
      <w:pPr>
        <w:bidi/>
        <w:spacing w:after="60" w:before="60"/>
        <w:jc w:val="right"/>
      </w:pPr>
      <w:r>
        <w:rPr>
          <w:rFonts w:ascii="Arial" w:cs="Arial" w:eastAsia="Arial" w:hAnsi="Arial"/>
          <w:sz w:val="22"/>
          <w:szCs w:val="22"/>
        </w:rPr>
        <w:t xml:space="preserve">כל הזכויות בסעיף זה מיועדות ל"יתום" כהגדרתו לעיל (התייתם לפני גיל 30). יתום בוגר ראה סעיף ו'.</w:t>
      </w:r>
    </w:p>
    <w:p>
      <w:pPr>
        <w:bidi/>
        <w:spacing w:after="100" w:before="320"/>
        <w:jc w:val="right"/>
      </w:pPr>
      <w:r>
        <w:rPr>
          <w:rFonts w:ascii="Arial" w:cs="Arial" w:eastAsia="Arial" w:hAnsi="Arial"/>
          <w:b/>
          <w:bCs/>
          <w:color w:val="2E75B6"/>
          <w:sz w:val="28"/>
          <w:szCs w:val="28"/>
        </w:rPr>
        <w:t xml:space="preserve">1. תגמולים חודשיים</w:t>
      </w:r>
    </w:p>
    <w:p>
      <w:pPr>
        <w:bidi/>
        <w:spacing w:after="60" w:before="60"/>
        <w:jc w:val="right"/>
      </w:pPr>
      <w:r>
        <w:rPr>
          <w:rFonts w:ascii="Arial" w:cs="Arial" w:eastAsia="Arial" w:hAnsi="Arial"/>
          <w:sz w:val="22"/>
          <w:szCs w:val="22"/>
        </w:rPr>
        <w:t xml:space="preserve">התגמולים החודשיים ליתומים מתחילים מגיל 21. לפני גיל 21 – תוספת מגיעה לאלמנה/אפוטרופוס (ראה סעיף ד).</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6"/>
              <w:left w:val="single" w:color="375623" w:sz="6"/>
              <w:bottom w:val="single" w:color="375623" w:sz="6"/>
              <w:right w:val="single" w:color="375623" w:sz="6"/>
            </w:tcBorders>
            <w:shd w:fill="E2EFDA" w:val="clear"/>
            <w:tcMar>
              <w:top w:type="dxa" w:w="120"/>
              <w:left w:type="dxa" w:w="180"/>
              <w:bottom w:type="dxa" w:w="120"/>
              <w:right w:type="dxa" w:w="180"/>
            </w:tcMar>
          </w:tcPr>
          <w:p>
            <w:pPr>
              <w:bidi/>
              <w:spacing w:after="80"/>
              <w:jc w:val="right"/>
            </w:pPr>
            <w:r>
              <w:rPr>
                <w:rFonts w:ascii="Arial" w:cs="Arial" w:eastAsia="Arial" w:hAnsi="Arial"/>
                <w:b/>
                <w:bCs/>
                <w:color w:val="375623"/>
                <w:sz w:val="24"/>
                <w:szCs w:val="24"/>
              </w:rPr>
              <w:t xml:space="preserve">📢 שינוי מרכזי – תחולה רטרואקטיבית</w:t>
            </w:r>
          </w:p>
          <w:p>
            <w:pPr>
              <w:bidi/>
              <w:spacing w:after="30" w:before="30"/>
              <w:jc w:val="right"/>
            </w:pPr>
            <w:r>
              <w:rPr>
                <w:rFonts w:ascii="Arial" w:cs="Arial" w:eastAsia="Arial" w:hAnsi="Arial"/>
                <w:sz w:val="22"/>
                <w:szCs w:val="22"/>
              </w:rPr>
              <w:t xml:space="preserve">העלאת גיל ההכרה ביתום מגיל 21 לגיל 30 חלה גם על יתומים קיימים.</w:t>
            </w:r>
          </w:p>
          <w:p>
            <w:pPr>
              <w:bidi/>
              <w:spacing w:after="30" w:before="30"/>
              <w:jc w:val="right"/>
            </w:pPr>
            <w:r>
              <w:rPr>
                <w:rFonts w:ascii="Arial" w:cs="Arial" w:eastAsia="Arial" w:hAnsi="Arial"/>
                <w:sz w:val="22"/>
                <w:szCs w:val="22"/>
              </w:rPr>
              <w:t xml:space="preserve">מי שהתייתמו לאחר גיל 21 וטרם מלאו להם 30 ביום 01.02.2026 – נכנסים לחוק ומקבלים את כל הזכויות.</w:t>
            </w:r>
          </w:p>
          <w:p>
            <w:pPr>
              <w:bidi/>
              <w:spacing w:after="30" w:before="30"/>
              <w:jc w:val="right"/>
            </w:pPr>
            <w:r>
              <w:rPr>
                <w:rFonts w:ascii="Arial" w:cs="Arial" w:eastAsia="Arial" w:hAnsi="Arial"/>
                <w:sz w:val="22"/>
                <w:szCs w:val="22"/>
              </w:rPr>
              <w:t xml:space="preserve">תגמולים עבור תקופה זו ישולמו מיום תחילת החוק (01.02.2026) ואילך – לא רטרואקטיבית לפני.</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קבוצה</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תגמול חודשי</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יתום גיל 21–30</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3,651 ₪ לחודש</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יתום גיל 30–40</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2,000 ₪ לחודש</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יתום עצמאי (הוכר בגיל 18–21)</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8,665.75 ₪ לחודש – ישירות לידיו, עד גיל 30</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יתום שאינו עומד ברשות עצמו (מעל 21)</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8,665.75 ₪ לחודש – ללא הגבלת גיל</w:t>
            </w:r>
          </w:p>
        </w:tc>
      </w:tr>
    </w:tbl>
    <w:p>
      <w:pPr>
        <w:spacing w:after="40" w:before="40"/>
      </w:pPr>
      <w:r>
        <w:t xml:space="preserve"/>
      </w:r>
    </w:p>
    <w:p>
      <w:pPr>
        <w:bidi/>
        <w:spacing w:after="80" w:before="80"/>
        <w:ind w:left="300"/>
        <w:jc w:val="right"/>
      </w:pPr>
      <w:r>
        <w:rPr>
          <w:rFonts w:ascii="Arial" w:cs="Arial" w:eastAsia="Arial" w:hAnsi="Arial"/>
          <w:i/>
          <w:iCs/>
          <w:color w:val="843C0C"/>
          <w:sz w:val="21"/>
          <w:szCs w:val="21"/>
        </w:rPr>
        <w:t xml:space="preserve">⚠️  אין כפל תגמולים – יינתן תמיד התגמול הגבוה מביניהם בלבד.</w:t>
      </w:r>
    </w:p>
    <w:p>
      <w:pPr>
        <w:bidi/>
        <w:spacing w:after="80" w:before="80"/>
        <w:ind w:left="300"/>
        <w:jc w:val="right"/>
      </w:pPr>
      <w:r>
        <w:rPr>
          <w:rFonts w:ascii="Arial" w:cs="Arial" w:eastAsia="Arial" w:hAnsi="Arial"/>
          <w:i/>
          <w:iCs/>
          <w:color w:val="843C0C"/>
          <w:sz w:val="21"/>
          <w:szCs w:val="21"/>
        </w:rPr>
        <w:t xml:space="preserve">⚠️  יתום המקבל תגמול חודשי בגיל 21–30 אינו זכאי לדמי מחיה בזמן לימודים.</w:t>
      </w:r>
    </w:p>
    <w:p>
      <w:pPr>
        <w:bidi/>
        <w:spacing w:after="60" w:before="60"/>
        <w:ind w:left="300"/>
        <w:jc w:val="right"/>
      </w:pPr>
      <w:r>
        <w:rPr>
          <w:rFonts w:ascii="Arial" w:cs="Arial" w:eastAsia="Arial" w:hAnsi="Arial"/>
          <w:i/>
          <w:iCs/>
          <w:color w:val="2E75B6"/>
          <w:sz w:val="20"/>
          <w:szCs w:val="20"/>
        </w:rPr>
        <w:t xml:space="preserve">ℹ️  יתום עצמאי עקב נישואים – זכאי לתגמול עצמאי רק עד גיל 21. לאחר מכן עובר לתגמול הרגיל (3,651 ₪).</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2. מענקים חד-פעמיים</w:t>
      </w:r>
    </w:p>
    <w:p>
      <w:pPr>
        <w:bidi/>
        <w:spacing w:after="80" w:before="200"/>
        <w:jc w:val="right"/>
      </w:pPr>
      <w:r>
        <w:rPr>
          <w:rFonts w:ascii="Arial" w:cs="Arial" w:eastAsia="Arial" w:hAnsi="Arial"/>
          <w:b/>
          <w:bCs/>
          <w:color w:val="404040"/>
          <w:sz w:val="24"/>
          <w:szCs w:val="24"/>
        </w:rPr>
        <w:t xml:space="preserve">א. מענק חד-פעמי ליתומים בוגרים (קבוצה סגורה – ב-01.02.2026)</w:t>
      </w:r>
    </w:p>
    <w:p>
      <w:pPr>
        <w:bidi/>
        <w:spacing w:after="60" w:before="60"/>
        <w:jc w:val="right"/>
      </w:pPr>
      <w:r>
        <w:rPr>
          <w:rFonts w:ascii="Arial" w:cs="Arial" w:eastAsia="Arial" w:hAnsi="Arial"/>
          <w:sz w:val="22"/>
          <w:szCs w:val="22"/>
        </w:rPr>
        <w:t xml:space="preserve">ליתומים שהתייתמו לפני גיל 21, ובמועד תחילת החוק (01.02.2026) מלאו להם 30+:</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gridCol w:w="2708"/>
      </w:tblGrid>
      <w:tr>
        <w:tc>
          <w:tcPr>
            <w:tcW w:type="dxa" w:w="315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גיל ב-01.02.2026</w:t>
            </w:r>
          </w:p>
        </w:tc>
        <w:tc>
          <w:tcPr>
            <w:tcW w:type="dxa" w:w="315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מועד תשלום</w:t>
            </w:r>
          </w:p>
        </w:tc>
        <w:tc>
          <w:tcPr>
            <w:tcW w:type="dxa" w:w="27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סכום</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30–39</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בהגיעו לגיל 40</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25,000 ₪</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30–39</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בהגיעו לגיל 60</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25,000 ₪ נוסף</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40–59</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מיידי (01.02.2026)</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25,000 ₪</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40–59</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בהגיעו לגיל 60</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25,000 ₪ נוסף</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60+</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מיידי (01.06.2026)</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50,000 ₪</w:t>
            </w:r>
          </w:p>
        </w:tc>
      </w:tr>
    </w:tbl>
    <w:p>
      <w:pPr>
        <w:spacing w:after="40" w:before="40"/>
      </w:pPr>
      <w:r>
        <w:t xml:space="preserve"/>
      </w:r>
    </w:p>
    <w:p>
      <w:pPr>
        <w:bidi/>
        <w:spacing w:after="80" w:before="80"/>
        <w:ind w:left="300"/>
        <w:jc w:val="right"/>
      </w:pPr>
      <w:r>
        <w:rPr>
          <w:rFonts w:ascii="Arial" w:cs="Arial" w:eastAsia="Arial" w:hAnsi="Arial"/>
          <w:i/>
          <w:iCs/>
          <w:color w:val="843C0C"/>
          <w:sz w:val="21"/>
          <w:szCs w:val="21"/>
        </w:rPr>
        <w:t xml:space="preserve">⚠️  מענקים אלה ישולמו ב-01.06.2026. מיועדים לקבוצה סגורה בלבד.</w:t>
      </w:r>
    </w:p>
    <w:p>
      <w:pPr>
        <w:bidi/>
        <w:spacing w:after="80" w:before="80"/>
        <w:ind w:left="300"/>
        <w:jc w:val="right"/>
      </w:pPr>
      <w:r>
        <w:rPr>
          <w:rFonts w:ascii="Arial" w:cs="Arial" w:eastAsia="Arial" w:hAnsi="Arial"/>
          <w:i/>
          <w:iCs/>
          <w:color w:val="843C0C"/>
          <w:sz w:val="21"/>
          <w:szCs w:val="21"/>
        </w:rPr>
        <w:t xml:space="preserve">⚠️  יתום שמקבל תגמול לפי סעיף 9 או 9ב(ב) אינו זכאי למענקים אלה.</w:t>
      </w:r>
    </w:p>
    <w:p>
      <w:pPr>
        <w:spacing w:after="40" w:before="40"/>
      </w:pPr>
      <w:r>
        <w:t xml:space="preserve"/>
      </w:r>
    </w:p>
    <w:p>
      <w:pPr>
        <w:bidi/>
        <w:spacing w:after="80" w:before="200"/>
        <w:jc w:val="right"/>
      </w:pPr>
      <w:r>
        <w:rPr>
          <w:rFonts w:ascii="Arial" w:cs="Arial" w:eastAsia="Arial" w:hAnsi="Arial"/>
          <w:b/>
          <w:bCs/>
          <w:color w:val="404040"/>
          <w:sz w:val="24"/>
          <w:szCs w:val="24"/>
        </w:rPr>
        <w:t xml:space="preserve">ב. מענק נישואין / דיור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6"/>
              <w:left w:val="single" w:color="375623" w:sz="6"/>
              <w:bottom w:val="single" w:color="375623" w:sz="6"/>
              <w:right w:val="single" w:color="375623" w:sz="6"/>
            </w:tcBorders>
            <w:shd w:fill="E2EFDA" w:val="clear"/>
            <w:tcMar>
              <w:top w:type="dxa" w:w="120"/>
              <w:left w:type="dxa" w:w="180"/>
              <w:bottom w:type="dxa" w:w="120"/>
              <w:right w:type="dxa" w:w="180"/>
            </w:tcMar>
          </w:tcPr>
          <w:p>
            <w:pPr>
              <w:bidi/>
              <w:spacing w:after="80"/>
              <w:jc w:val="right"/>
            </w:pPr>
            <w:r>
              <w:rPr>
                <w:rFonts w:ascii="Arial" w:cs="Arial" w:eastAsia="Arial" w:hAnsi="Arial"/>
                <w:b/>
                <w:bCs/>
                <w:color w:val="375623"/>
                <w:sz w:val="24"/>
                <w:szCs w:val="24"/>
              </w:rPr>
              <w:t xml:space="preserve">💍 מענק נישואין / דיור – 300,000 ₪</w:t>
            </w:r>
          </w:p>
          <w:p>
            <w:pPr>
              <w:bidi/>
              <w:spacing w:after="30" w:before="30"/>
              <w:jc w:val="right"/>
            </w:pPr>
            <w:r>
              <w:rPr>
                <w:rFonts w:ascii="Arial" w:cs="Arial" w:eastAsia="Arial" w:hAnsi="Arial"/>
                <w:sz w:val="22"/>
                <w:szCs w:val="22"/>
              </w:rPr>
              <w:t xml:space="preserve">הסכום: 300,000 ₪ (הוגדל מ-174,000 ₪)</w:t>
            </w:r>
          </w:p>
          <w:p>
            <w:pPr>
              <w:bidi/>
              <w:spacing w:after="30" w:before="30"/>
              <w:jc w:val="right"/>
            </w:pPr>
            <w:r>
              <w:rPr>
                <w:rFonts w:ascii="Arial" w:cs="Arial" w:eastAsia="Arial" w:hAnsi="Arial"/>
                <w:sz w:val="22"/>
                <w:szCs w:val="22"/>
              </w:rPr>
              <w:t xml:space="preserve">מועד: בעת הנישואין, ולכל המאוחר עד גיל 30</w:t>
            </w:r>
          </w:p>
          <w:p>
            <w:pPr>
              <w:bidi/>
              <w:spacing w:after="30" w:before="30"/>
              <w:jc w:val="right"/>
            </w:pPr>
            <w:r>
              <w:rPr>
                <w:rFonts w:ascii="Arial" w:cs="Arial" w:eastAsia="Arial" w:hAnsi="Arial"/>
                <w:sz w:val="22"/>
                <w:szCs w:val="22"/>
              </w:rPr>
              <w:t xml:space="preserve">ניתן להמיר במלואו (100%) למענק דיור</w:t>
            </w:r>
          </w:p>
          <w:p>
            <w:pPr>
              <w:bidi/>
              <w:spacing w:after="30" w:before="30"/>
              <w:jc w:val="right"/>
            </w:pPr>
            <w:r>
              <w:rPr>
                <w:rFonts w:ascii="Arial" w:cs="Arial" w:eastAsia="Arial" w:hAnsi="Arial"/>
                <w:sz w:val="22"/>
                <w:szCs w:val="22"/>
              </w:rPr>
              <w:t xml:space="preserve">יתום שקיבל מענק דיור בשיעור 80% וטרם מלאו לו 30 – זכאי להשלמה של 20% מהמענק החדש (300,000 ₪)</w:t>
            </w:r>
          </w:p>
        </w:tc>
      </w:tr>
    </w:tbl>
    <w:p>
      <w:pPr>
        <w:spacing w:after="40" w:before="40"/>
      </w:pPr>
      <w:r>
        <w:t xml:space="preserve"/>
      </w:r>
    </w:p>
    <w:p>
      <w:pPr>
        <w:bidi/>
        <w:spacing w:after="100" w:before="320"/>
        <w:jc w:val="right"/>
      </w:pPr>
      <w:r>
        <w:rPr>
          <w:rFonts w:ascii="Arial" w:cs="Arial" w:eastAsia="Arial" w:hAnsi="Arial"/>
          <w:b/>
          <w:bCs/>
          <w:color w:val="2E75B6"/>
          <w:sz w:val="28"/>
          <w:szCs w:val="28"/>
        </w:rPr>
        <w:t xml:space="preserve">3. לימודים ושיקום מקצועי</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זכאות</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פירוט</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השכלה גבוהה / הכשרה מקצועית</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גיל 65 (הורחב מגיל 30). תואר ראשון אחד</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אבחון תעסוקתי</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גיל 60 (הורחב מגיל 30)</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לימודי העשרה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ניתן גם ליתומים – פעם אחת לכל החיים עד גובה שכ"ל אוניברסיטאי לשנה</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דמי מחיה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בוטלו ליתום המקבל תגמול חודשי</w:t>
            </w:r>
          </w:p>
        </w:tc>
      </w:tr>
    </w:tbl>
    <w:p>
      <w:pPr>
        <w:spacing w:after="40" w:before="40"/>
      </w:pPr>
      <w:r>
        <w:t xml:space="preserve"/>
      </w:r>
    </w:p>
    <w:p>
      <w:pPr>
        <w:bidi/>
        <w:spacing w:after="80" w:before="80"/>
        <w:ind w:left="300"/>
        <w:jc w:val="right"/>
      </w:pPr>
      <w:r>
        <w:rPr>
          <w:rFonts w:ascii="Arial" w:cs="Arial" w:eastAsia="Arial" w:hAnsi="Arial"/>
          <w:i/>
          <w:iCs/>
          <w:color w:val="843C0C"/>
          <w:sz w:val="21"/>
          <w:szCs w:val="21"/>
        </w:rPr>
        <w:t xml:space="preserve">⚠️  ביטול דמי מחיה: יתום המקבל תגמול חודשי (3,651 ₪ בגיל 21–30) אינו זכאי לדמי מחיה בתקופת הלימודים.</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4. סל שיקום תעסוקתי ליתומים בוגרים (מעל גיל 30)</w:t>
      </w:r>
    </w:p>
    <w:p>
      <w:pPr>
        <w:bidi/>
        <w:spacing w:after="60" w:before="60"/>
        <w:jc w:val="right"/>
      </w:pPr>
      <w:r>
        <w:rPr>
          <w:rFonts w:ascii="Arial" w:cs="Arial" w:eastAsia="Arial" w:hAnsi="Arial"/>
          <w:sz w:val="22"/>
          <w:szCs w:val="22"/>
        </w:rPr>
        <w:t xml:space="preserve">מהו סל השיקום התעסוקתי? זהו מנגנון תמיכה כלכלית ייחודי ליתומים בוגרים שאינם מצליחים להשתלב בשוק העבודה. הסל מחליף בפועל את ההכנסה שאין ליתום, ומאפשר לו לעבור תהליך שיקום תעסוקתי מלווה ומובנה. המטרה: להחזיר אותו למעגל העבודה תוך מתן רשת ביטחון כלכלית.</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6"/>
              <w:left w:val="single" w:color="1F4E79" w:sz="6"/>
              <w:bottom w:val="single" w:color="1F4E79" w:sz="6"/>
              <w:right w:val="single" w:color="1F4E79" w:sz="6"/>
            </w:tcBorders>
            <w:shd w:fill="DEEAF1" w:val="clear"/>
            <w:tcMar>
              <w:top w:type="dxa" w:w="120"/>
              <w:left w:type="dxa" w:w="180"/>
              <w:bottom w:type="dxa" w:w="120"/>
              <w:right w:type="dxa" w:w="180"/>
            </w:tcMar>
          </w:tcPr>
          <w:p>
            <w:pPr>
              <w:bidi/>
              <w:spacing w:after="80"/>
              <w:jc w:val="right"/>
            </w:pPr>
            <w:r>
              <w:rPr>
                <w:rFonts w:ascii="Arial" w:cs="Arial" w:eastAsia="Arial" w:hAnsi="Arial"/>
                <w:b/>
                <w:bCs/>
                <w:color w:val="1F4E79"/>
                <w:sz w:val="24"/>
                <w:szCs w:val="24"/>
              </w:rPr>
              <w:t xml:space="preserve">🔧 סל שיקום תעסוקתי – תנאי זכאות (כולם יחד)</w:t>
            </w:r>
          </w:p>
          <w:p>
            <w:pPr>
              <w:bidi/>
              <w:spacing w:after="30" w:before="30"/>
              <w:jc w:val="right"/>
            </w:pPr>
            <w:r>
              <w:rPr>
                <w:rFonts w:ascii="Arial" w:cs="Arial" w:eastAsia="Arial" w:hAnsi="Arial"/>
                <w:sz w:val="22"/>
                <w:szCs w:val="22"/>
              </w:rPr>
              <w:t xml:space="preserve">גיל: מלאו לו 30 וטרם הגיע לגיל פרישה</w:t>
            </w:r>
          </w:p>
          <w:p>
            <w:pPr>
              <w:bidi/>
              <w:spacing w:after="30" w:before="30"/>
              <w:jc w:val="right"/>
            </w:pPr>
            <w:r>
              <w:rPr>
                <w:rFonts w:ascii="Arial" w:cs="Arial" w:eastAsia="Arial" w:hAnsi="Arial"/>
                <w:sz w:val="22"/>
                <w:szCs w:val="22"/>
              </w:rPr>
              <w:t xml:space="preserve">תעסוקה: לא עבד / עובד עצמאי 18 חודשים מתוך 24 לפני הבקשה – או הכנסה עד כ-6,200 ₪ לחודש</w:t>
            </w:r>
          </w:p>
          <w:p>
            <w:pPr>
              <w:bidi/>
              <w:spacing w:after="30" w:before="30"/>
              <w:jc w:val="right"/>
            </w:pPr>
            <w:r>
              <w:rPr>
                <w:rFonts w:ascii="Arial" w:cs="Arial" w:eastAsia="Arial" w:hAnsi="Arial"/>
                <w:sz w:val="22"/>
                <w:szCs w:val="22"/>
              </w:rPr>
              <w:t xml:space="preserve">אינו מוכר כ"יתום שאינו עומד ברשות עצמו"</w:t>
            </w:r>
          </w:p>
          <w:p>
            <w:pPr>
              <w:bidi/>
              <w:spacing w:after="30" w:before="30"/>
              <w:jc w:val="right"/>
            </w:pPr>
            <w:r>
              <w:rPr>
                <w:rFonts w:ascii="Arial" w:cs="Arial" w:eastAsia="Arial" w:hAnsi="Arial"/>
                <w:sz w:val="22"/>
                <w:szCs w:val="22"/>
              </w:rPr>
              <w:t xml:space="preserve">משתף פעולה עם הליכי השיקום התעסוקתי – תנאי מחייב</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פרמטר</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פירוט</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גובה הסל</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3,651 ₪ לחודש – בנוסף לתגמולים אחרים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משך בסיסי</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שנתיים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הארכה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פרקים של עד 3 שנים כל אחד עד גיל פרישה – אם פקיד תביעות קבע שאינו מסוגל להשתכר</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לאחר גיל פרישה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אם קיבל סל 5 שנים לפחות לפני גיל פרישה – ממשיך לקבל גם אחריו</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נכות 100%</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יתום עם אי-כושר צמית מעל 74% – ממשיך לקבל ללא עמידה בתנאים, ובלבד שאין לו הכנסה כדי מחייה</w:t>
            </w:r>
          </w:p>
        </w:tc>
      </w:tr>
    </w:tbl>
    <w:p>
      <w:pPr>
        <w:spacing w:after="40" w:before="40"/>
      </w:pPr>
      <w:r>
        <w:t xml:space="preserve"/>
      </w:r>
    </w:p>
    <w:p>
      <w:pPr>
        <w:bidi/>
        <w:spacing w:after="60" w:before="60"/>
        <w:ind w:left="300"/>
        <w:jc w:val="right"/>
      </w:pPr>
      <w:r>
        <w:rPr>
          <w:rFonts w:ascii="Arial" w:cs="Arial" w:eastAsia="Arial" w:hAnsi="Arial"/>
          <w:i/>
          <w:iCs/>
          <w:color w:val="2E75B6"/>
          <w:sz w:val="20"/>
          <w:szCs w:val="20"/>
        </w:rPr>
        <w:t xml:space="preserve">ℹ️  הסל נועד ליתומים שנפלו בין הכיסאות – לא עובדים, לא במסלול שיקום, ולא הצליחו להשתלב. זהו כלי אחרון לפני ויתור על שיקום.</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5. התערבות לרווחה רגשית – 162 טיפולים</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6"/>
              <w:left w:val="single" w:color="375623" w:sz="6"/>
              <w:bottom w:val="single" w:color="375623" w:sz="6"/>
              <w:right w:val="single" w:color="375623" w:sz="6"/>
            </w:tcBorders>
            <w:shd w:fill="E2EFDA" w:val="clear"/>
            <w:tcMar>
              <w:top w:type="dxa" w:w="120"/>
              <w:left w:type="dxa" w:w="180"/>
              <w:bottom w:type="dxa" w:w="120"/>
              <w:right w:type="dxa" w:w="180"/>
            </w:tcMar>
          </w:tcPr>
          <w:p>
            <w:pPr>
              <w:bidi/>
              <w:spacing w:after="80"/>
              <w:jc w:val="right"/>
            </w:pPr>
            <w:r>
              <w:rPr>
                <w:rFonts w:ascii="Arial" w:cs="Arial" w:eastAsia="Arial" w:hAnsi="Arial"/>
                <w:b/>
                <w:bCs/>
                <w:color w:val="375623"/>
                <w:sz w:val="24"/>
                <w:szCs w:val="24"/>
              </w:rPr>
              <w:t xml:space="preserve">💚 162 טיפולים – נתוני מפתח</w:t>
            </w:r>
          </w:p>
          <w:p>
            <w:pPr>
              <w:bidi/>
              <w:spacing w:after="30" w:before="30"/>
              <w:jc w:val="right"/>
            </w:pPr>
            <w:r>
              <w:rPr>
                <w:rFonts w:ascii="Arial" w:cs="Arial" w:eastAsia="Arial" w:hAnsi="Arial"/>
                <w:sz w:val="22"/>
                <w:szCs w:val="22"/>
              </w:rPr>
              <w:t xml:space="preserve">כמות: 162 טיפולים לכל החיים</w:t>
            </w:r>
          </w:p>
          <w:p>
            <w:pPr>
              <w:bidi/>
              <w:spacing w:after="30" w:before="30"/>
              <w:jc w:val="right"/>
            </w:pPr>
            <w:r>
              <w:rPr>
                <w:rFonts w:ascii="Arial" w:cs="Arial" w:eastAsia="Arial" w:hAnsi="Arial"/>
                <w:sz w:val="22"/>
                <w:szCs w:val="22"/>
              </w:rPr>
              <w:t xml:space="preserve">תעריף: 290 ₪ לטיפול (לא כולל מע''מ) | 342 ₪ כולל מע''מ</w:t>
            </w:r>
          </w:p>
          <w:p>
            <w:pPr>
              <w:bidi/>
              <w:spacing w:after="30" w:before="30"/>
              <w:jc w:val="right"/>
            </w:pPr>
            <w:r>
              <w:rPr>
                <w:rFonts w:ascii="Arial" w:cs="Arial" w:eastAsia="Arial" w:hAnsi="Arial"/>
                <w:sz w:val="22"/>
                <w:szCs w:val="22"/>
              </w:rPr>
              <w:t xml:space="preserve">תדירות: עד פעם בשבוע (52 בשנה לכל היותר)</w:t>
            </w:r>
          </w:p>
          <w:p>
            <w:pPr>
              <w:bidi/>
              <w:spacing w:after="30" w:before="30"/>
              <w:jc w:val="right"/>
            </w:pPr>
            <w:r>
              <w:rPr>
                <w:rFonts w:ascii="Arial" w:cs="Arial" w:eastAsia="Arial" w:hAnsi="Arial"/>
                <w:sz w:val="22"/>
                <w:szCs w:val="22"/>
              </w:rPr>
              <w:t xml:space="preserve">ניתן לקבל במקביל לטיפול נפשי רגיל (ביטול ה"או-או")</w:t>
            </w:r>
          </w:p>
          <w:p>
            <w:pPr>
              <w:bidi/>
              <w:spacing w:after="30" w:before="30"/>
              <w:jc w:val="right"/>
            </w:pPr>
            <w:r>
              <w:rPr>
                <w:rFonts w:ascii="Arial" w:cs="Arial" w:eastAsia="Arial" w:hAnsi="Arial"/>
                <w:sz w:val="22"/>
                <w:szCs w:val="22"/>
              </w:rPr>
              <w:t xml:space="preserve">ללא הגבלת גיל – כולל ילדים. אין זכאות מתחדשת בגיל 18</w:t>
            </w:r>
          </w:p>
          <w:p>
            <w:pPr>
              <w:bidi/>
              <w:spacing w:after="30" w:before="30"/>
              <w:jc w:val="right"/>
            </w:pPr>
            <w:r>
              <w:rPr>
                <w:rFonts w:ascii="Arial" w:cs="Arial" w:eastAsia="Arial" w:hAnsi="Arial"/>
                <w:sz w:val="22"/>
                <w:szCs w:val="22"/>
              </w:rPr>
              <w:t xml:space="preserve">טיפול פרטני בלבד – לא קבוצתי, לא סדנאות, לא חוגים</w:t>
            </w:r>
          </w:p>
          <w:p>
            <w:pPr>
              <w:bidi/>
              <w:spacing w:after="30" w:before="30"/>
              <w:jc w:val="right"/>
            </w:pPr>
            <w:r>
              <w:rPr>
                <w:rFonts w:ascii="Arial" w:cs="Arial" w:eastAsia="Arial" w:hAnsi="Arial"/>
                <w:sz w:val="22"/>
                <w:szCs w:val="22"/>
              </w:rPr>
              <w:t xml:space="preserve">נדרש אישור מקדים מעובד השיקום</w:t>
            </w:r>
          </w:p>
          <w:p>
            <w:pPr>
              <w:bidi/>
              <w:spacing w:after="30" w:before="30"/>
              <w:jc w:val="right"/>
            </w:pPr>
            <w:r>
              <w:rPr>
                <w:rFonts w:ascii="Arial" w:cs="Arial" w:eastAsia="Arial" w:hAnsi="Arial"/>
                <w:sz w:val="22"/>
                <w:szCs w:val="22"/>
              </w:rPr>
              <w:t xml:space="preserve">הזכאי אחראי לבחירת סוג הטיפול ואיש המקצוע</w:t>
            </w:r>
          </w:p>
          <w:p>
            <w:pPr>
              <w:bidi/>
              <w:spacing w:after="30" w:before="30"/>
              <w:jc w:val="right"/>
            </w:pPr>
            <w:r>
              <w:rPr>
                <w:rFonts w:ascii="Arial" w:cs="Arial" w:eastAsia="Arial" w:hAnsi="Arial"/>
                <w:sz w:val="22"/>
                <w:szCs w:val="22"/>
              </w:rPr>
              <w:t xml:space="preserve">הרחבה זו אינה חלה על בני זוג וילדיהם של יתומים משני הורים</w:t>
            </w:r>
          </w:p>
        </w:tc>
      </w:tr>
    </w:tbl>
    <w:p>
      <w:pPr>
        <w:spacing w:after="40" w:before="40"/>
      </w:pPr>
      <w:r>
        <w:t xml:space="preserve"/>
      </w:r>
    </w:p>
    <w:p>
      <w:pPr>
        <w:bidi/>
        <w:spacing w:after="80" w:before="200"/>
        <w:jc w:val="right"/>
      </w:pPr>
      <w:r>
        <w:rPr>
          <w:rFonts w:ascii="Arial" w:cs="Arial" w:eastAsia="Arial" w:hAnsi="Arial"/>
          <w:b/>
          <w:bCs/>
          <w:color w:val="404040"/>
          <w:sz w:val="24"/>
          <w:szCs w:val="24"/>
        </w:rPr>
        <w:t xml:space="preserve">רשימת הטיפולים המאושרים</w:t>
      </w:r>
    </w:p>
    <w:p>
      <w:pPr>
        <w:bidi/>
        <w:spacing w:after="60" w:before="60"/>
        <w:jc w:val="right"/>
      </w:pPr>
      <w:r>
        <w:rPr>
          <w:rFonts w:ascii="Arial" w:cs="Arial" w:eastAsia="Arial" w:hAnsi="Arial"/>
          <w:b/>
          <w:bCs/>
          <w:sz w:val="22"/>
          <w:szCs w:val="22"/>
        </w:rPr>
        <w:t xml:space="preserve">טיפולי גוף ונפש:</w:t>
      </w:r>
    </w:p>
    <w:p>
      <w:pPr>
        <w:pStyle w:val="ListParagraph"/>
        <w:numPr>
          <w:ilvl w:val="0"/>
          <w:numId w:val="2"/>
        </w:numPr>
        <w:bidi/>
        <w:spacing w:after="40" w:before="40"/>
        <w:jc w:val="right"/>
      </w:pPr>
      <w:r>
        <w:rPr>
          <w:rFonts w:ascii="Arial" w:cs="Arial" w:eastAsia="Arial" w:hAnsi="Arial"/>
          <w:b w:val="false"/>
          <w:bCs w:val="false"/>
          <w:sz w:val="22"/>
          <w:szCs w:val="22"/>
        </w:rPr>
        <w:t xml:space="preserve">EMDR, Somatic Experience</w:t>
      </w:r>
    </w:p>
    <w:p>
      <w:pPr>
        <w:pStyle w:val="ListParagraph"/>
        <w:numPr>
          <w:ilvl w:val="0"/>
          <w:numId w:val="2"/>
        </w:numPr>
        <w:bidi/>
        <w:spacing w:after="40" w:before="40"/>
        <w:jc w:val="right"/>
      </w:pPr>
      <w:r>
        <w:rPr>
          <w:rFonts w:ascii="Arial" w:cs="Arial" w:eastAsia="Arial" w:hAnsi="Arial"/>
          <w:b w:val="false"/>
          <w:bCs w:val="false"/>
          <w:sz w:val="22"/>
          <w:szCs w:val="22"/>
        </w:rPr>
        <w:t xml:space="preserve">אגרוף, אימון כושר, גלישה, ריצה, שחייה</w:t>
      </w:r>
    </w:p>
    <w:p>
      <w:pPr>
        <w:pStyle w:val="ListParagraph"/>
        <w:numPr>
          <w:ilvl w:val="0"/>
          <w:numId w:val="2"/>
        </w:numPr>
        <w:bidi/>
        <w:spacing w:after="40" w:before="40"/>
        <w:jc w:val="right"/>
      </w:pPr>
      <w:r>
        <w:rPr>
          <w:rFonts w:ascii="Arial" w:cs="Arial" w:eastAsia="Arial" w:hAnsi="Arial"/>
          <w:b w:val="false"/>
          <w:bCs w:val="false"/>
          <w:sz w:val="22"/>
          <w:szCs w:val="22"/>
        </w:rPr>
        <w:t xml:space="preserve">ביו-פידבק והיפנוזה, דיקור, דימיון מודרך</w:t>
      </w:r>
    </w:p>
    <w:p>
      <w:pPr>
        <w:pStyle w:val="ListParagraph"/>
        <w:numPr>
          <w:ilvl w:val="0"/>
          <w:numId w:val="2"/>
        </w:numPr>
        <w:bidi/>
        <w:spacing w:after="40" w:before="40"/>
        <w:jc w:val="right"/>
      </w:pPr>
      <w:r>
        <w:rPr>
          <w:rFonts w:ascii="Arial" w:cs="Arial" w:eastAsia="Arial" w:hAnsi="Arial"/>
          <w:b w:val="false"/>
          <w:bCs w:val="false"/>
          <w:sz w:val="22"/>
          <w:szCs w:val="22"/>
        </w:rPr>
        <w:t xml:space="preserve">הומוטוקסיקולוגיה, הילינג (Healing)</w:t>
      </w:r>
    </w:p>
    <w:p>
      <w:pPr>
        <w:pStyle w:val="ListParagraph"/>
        <w:numPr>
          <w:ilvl w:val="0"/>
          <w:numId w:val="2"/>
        </w:numPr>
        <w:bidi/>
        <w:spacing w:after="40" w:before="40"/>
        <w:jc w:val="right"/>
      </w:pPr>
      <w:r>
        <w:rPr>
          <w:rFonts w:ascii="Arial" w:cs="Arial" w:eastAsia="Arial" w:hAnsi="Arial"/>
          <w:b w:val="false"/>
          <w:bCs w:val="false"/>
          <w:sz w:val="22"/>
          <w:szCs w:val="22"/>
        </w:rPr>
        <w:t xml:space="preserve">טאי צ'י, טיפול בתנועה ובמחול</w:t>
      </w:r>
    </w:p>
    <w:p>
      <w:pPr>
        <w:pStyle w:val="ListParagraph"/>
        <w:numPr>
          <w:ilvl w:val="0"/>
          <w:numId w:val="2"/>
        </w:numPr>
        <w:bidi/>
        <w:spacing w:after="40" w:before="40"/>
        <w:jc w:val="right"/>
      </w:pPr>
      <w:r>
        <w:rPr>
          <w:rFonts w:ascii="Arial" w:cs="Arial" w:eastAsia="Arial" w:hAnsi="Arial"/>
          <w:b w:val="false"/>
          <w:bCs w:val="false"/>
          <w:sz w:val="22"/>
          <w:szCs w:val="22"/>
        </w:rPr>
        <w:t xml:space="preserve">יוגה תרפיה ויוגה רגשית לטראומה</w:t>
      </w:r>
    </w:p>
    <w:p>
      <w:pPr>
        <w:pStyle w:val="ListParagraph"/>
        <w:numPr>
          <w:ilvl w:val="0"/>
          <w:numId w:val="2"/>
        </w:numPr>
        <w:bidi/>
        <w:spacing w:after="40" w:before="40"/>
        <w:jc w:val="right"/>
      </w:pPr>
      <w:r>
        <w:rPr>
          <w:rFonts w:ascii="Arial" w:cs="Arial" w:eastAsia="Arial" w:hAnsi="Arial"/>
          <w:b w:val="false"/>
          <w:bCs w:val="false"/>
          <w:sz w:val="22"/>
          <w:szCs w:val="22"/>
        </w:rPr>
        <w:t xml:space="preserve">כירופרקטיקה ואוסטאופתיה, מדיטציה, מאסטר טאפינג</w:t>
      </w:r>
    </w:p>
    <w:p>
      <w:pPr>
        <w:pStyle w:val="ListParagraph"/>
        <w:numPr>
          <w:ilvl w:val="0"/>
          <w:numId w:val="2"/>
        </w:numPr>
        <w:bidi/>
        <w:spacing w:after="40" w:before="40"/>
        <w:jc w:val="right"/>
      </w:pPr>
      <w:r>
        <w:rPr>
          <w:rFonts w:ascii="Arial" w:cs="Arial" w:eastAsia="Arial" w:hAnsi="Arial"/>
          <w:b w:val="false"/>
          <w:bCs w:val="false"/>
          <w:sz w:val="22"/>
          <w:szCs w:val="22"/>
        </w:rPr>
        <w:t xml:space="preserve">עיסוי רפואי / רפלקסולוגיה / טווינא / שיאצו</w:t>
      </w:r>
    </w:p>
    <w:p>
      <w:pPr>
        <w:pStyle w:val="ListParagraph"/>
        <w:numPr>
          <w:ilvl w:val="0"/>
          <w:numId w:val="2"/>
        </w:numPr>
        <w:bidi/>
        <w:spacing w:after="40" w:before="40"/>
        <w:jc w:val="right"/>
      </w:pPr>
      <w:r>
        <w:rPr>
          <w:rFonts w:ascii="Arial" w:cs="Arial" w:eastAsia="Arial" w:hAnsi="Arial"/>
          <w:b w:val="false"/>
          <w:bCs w:val="false"/>
          <w:sz w:val="22"/>
          <w:szCs w:val="22"/>
        </w:rPr>
        <w:t xml:space="preserve">פילאטיס, צ'י קונג, קינסיולוגיה, קיר טיפוס</w:t>
      </w:r>
    </w:p>
    <w:p>
      <w:pPr>
        <w:pStyle w:val="ListParagraph"/>
        <w:numPr>
          <w:ilvl w:val="0"/>
          <w:numId w:val="2"/>
        </w:numPr>
        <w:bidi/>
        <w:spacing w:after="40" w:before="40"/>
        <w:jc w:val="right"/>
      </w:pPr>
      <w:r>
        <w:rPr>
          <w:rFonts w:ascii="Arial" w:cs="Arial" w:eastAsia="Arial" w:hAnsi="Arial"/>
          <w:b w:val="false"/>
          <w:bCs w:val="false"/>
          <w:sz w:val="22"/>
          <w:szCs w:val="22"/>
        </w:rPr>
        <w:t xml:space="preserve">מיינדפולנס, רייקי</w:t>
      </w:r>
    </w:p>
    <w:p>
      <w:pPr>
        <w:pStyle w:val="ListParagraph"/>
        <w:numPr>
          <w:ilvl w:val="0"/>
          <w:numId w:val="2"/>
        </w:numPr>
        <w:bidi/>
        <w:spacing w:after="40" w:before="40"/>
        <w:jc w:val="right"/>
      </w:pPr>
      <w:r>
        <w:rPr>
          <w:rFonts w:ascii="Arial" w:cs="Arial" w:eastAsia="Arial" w:hAnsi="Arial"/>
          <w:b w:val="false"/>
          <w:bCs w:val="false"/>
          <w:sz w:val="22"/>
          <w:szCs w:val="22"/>
        </w:rPr>
        <w:t xml:space="preserve">שיטת פאולה (כיווץ והרפיה של שרירים טבעתיים)</w:t>
      </w:r>
    </w:p>
    <w:p>
      <w:pPr>
        <w:pStyle w:val="ListParagraph"/>
        <w:numPr>
          <w:ilvl w:val="0"/>
          <w:numId w:val="2"/>
        </w:numPr>
        <w:bidi/>
        <w:spacing w:after="40" w:before="40"/>
        <w:jc w:val="right"/>
      </w:pPr>
      <w:r>
        <w:rPr>
          <w:rFonts w:ascii="Arial" w:cs="Arial" w:eastAsia="Arial" w:hAnsi="Arial"/>
          <w:b w:val="false"/>
          <w:bCs w:val="false"/>
          <w:sz w:val="22"/>
          <w:szCs w:val="22"/>
        </w:rPr>
        <w:t xml:space="preserve">טיפול שונישין (גירוי עור באמצעות כלי מתכת)</w:t>
      </w:r>
    </w:p>
    <w:p>
      <w:pPr>
        <w:spacing w:after="40" w:before="40"/>
      </w:pPr>
      <w:r>
        <w:t xml:space="preserve"/>
      </w:r>
    </w:p>
    <w:p>
      <w:pPr>
        <w:bidi/>
        <w:spacing w:after="60" w:before="60"/>
        <w:jc w:val="right"/>
      </w:pPr>
      <w:r>
        <w:rPr>
          <w:rFonts w:ascii="Arial" w:cs="Arial" w:eastAsia="Arial" w:hAnsi="Arial"/>
          <w:b/>
          <w:bCs/>
          <w:sz w:val="22"/>
          <w:szCs w:val="22"/>
        </w:rPr>
        <w:t xml:space="preserve">טיפולי שיח וליווי רוחני:</w:t>
      </w:r>
    </w:p>
    <w:p>
      <w:pPr>
        <w:pStyle w:val="ListParagraph"/>
        <w:numPr>
          <w:ilvl w:val="0"/>
          <w:numId w:val="2"/>
        </w:numPr>
        <w:bidi/>
        <w:spacing w:after="40" w:before="40"/>
        <w:jc w:val="right"/>
      </w:pPr>
      <w:r>
        <w:rPr>
          <w:rFonts w:ascii="Arial" w:cs="Arial" w:eastAsia="Arial" w:hAnsi="Arial"/>
          <w:b w:val="false"/>
          <w:bCs w:val="false"/>
          <w:sz w:val="22"/>
          <w:szCs w:val="22"/>
        </w:rPr>
        <w:t xml:space="preserve">CBT, DBT, NLP</w:t>
      </w:r>
    </w:p>
    <w:p>
      <w:pPr>
        <w:pStyle w:val="ListParagraph"/>
        <w:numPr>
          <w:ilvl w:val="0"/>
          <w:numId w:val="2"/>
        </w:numPr>
        <w:bidi/>
        <w:spacing w:after="40" w:before="40"/>
        <w:jc w:val="right"/>
      </w:pPr>
      <w:r>
        <w:rPr>
          <w:rFonts w:ascii="Arial" w:cs="Arial" w:eastAsia="Arial" w:hAnsi="Arial"/>
          <w:b w:val="false"/>
          <w:bCs w:val="false"/>
          <w:sz w:val="22"/>
          <w:szCs w:val="22"/>
        </w:rPr>
        <w:t xml:space="preserve">אימון אישי, הדרכה אדלריאנית (הדרכת הורים)</w:t>
      </w:r>
    </w:p>
    <w:p>
      <w:pPr>
        <w:pStyle w:val="ListParagraph"/>
        <w:numPr>
          <w:ilvl w:val="0"/>
          <w:numId w:val="2"/>
        </w:numPr>
        <w:bidi/>
        <w:spacing w:after="40" w:before="40"/>
        <w:jc w:val="right"/>
      </w:pPr>
      <w:r>
        <w:rPr>
          <w:rFonts w:ascii="Arial" w:cs="Arial" w:eastAsia="Arial" w:hAnsi="Arial"/>
          <w:b w:val="false"/>
          <w:bCs w:val="false"/>
          <w:sz w:val="22"/>
          <w:szCs w:val="22"/>
        </w:rPr>
        <w:t xml:space="preserve">התמקדות (Focusing), סכמה תרפיה, פסיכולוגיה חיובית</w:t>
      </w:r>
    </w:p>
    <w:p>
      <w:pPr>
        <w:pStyle w:val="ListParagraph"/>
        <w:numPr>
          <w:ilvl w:val="0"/>
          <w:numId w:val="2"/>
        </w:numPr>
        <w:bidi/>
        <w:spacing w:after="40" w:before="40"/>
        <w:jc w:val="right"/>
      </w:pPr>
      <w:r>
        <w:rPr>
          <w:rFonts w:ascii="Arial" w:cs="Arial" w:eastAsia="Arial" w:hAnsi="Arial"/>
          <w:b w:val="false"/>
          <w:bCs w:val="false"/>
          <w:sz w:val="22"/>
          <w:szCs w:val="22"/>
        </w:rPr>
        <w:t xml:space="preserve">שיטת סאטיה – גישה אינטגרטיבית להתפתחות אישית</w:t>
      </w:r>
    </w:p>
    <w:p>
      <w:pPr>
        <w:pStyle w:val="ListParagraph"/>
        <w:numPr>
          <w:ilvl w:val="0"/>
          <w:numId w:val="2"/>
        </w:numPr>
        <w:bidi/>
        <w:spacing w:after="40" w:before="40"/>
        <w:jc w:val="right"/>
      </w:pPr>
      <w:r>
        <w:rPr>
          <w:rFonts w:ascii="Arial" w:cs="Arial" w:eastAsia="Arial" w:hAnsi="Arial"/>
          <w:b w:val="false"/>
          <w:bCs w:val="false"/>
          <w:sz w:val="22"/>
          <w:szCs w:val="22"/>
        </w:rPr>
        <w:t xml:space="preserve">ליווי, תמיכה וייעוץ רוחני</w:t>
      </w:r>
    </w:p>
    <w:p>
      <w:pPr>
        <w:spacing w:after="40" w:before="40"/>
      </w:pPr>
      <w:r>
        <w:t xml:space="preserve"/>
      </w:r>
    </w:p>
    <w:p>
      <w:pPr>
        <w:bidi/>
        <w:spacing w:after="60" w:before="60"/>
        <w:jc w:val="right"/>
      </w:pPr>
      <w:r>
        <w:rPr>
          <w:rFonts w:ascii="Arial" w:cs="Arial" w:eastAsia="Arial" w:hAnsi="Arial"/>
          <w:b/>
          <w:bCs/>
          <w:sz w:val="22"/>
          <w:szCs w:val="22"/>
        </w:rPr>
        <w:t xml:space="preserve">טיפולי הבעה, יצירה וטבע:</w:t>
      </w:r>
    </w:p>
    <w:p>
      <w:pPr>
        <w:pStyle w:val="ListParagraph"/>
        <w:numPr>
          <w:ilvl w:val="0"/>
          <w:numId w:val="2"/>
        </w:numPr>
        <w:bidi/>
        <w:spacing w:after="40" w:before="40"/>
        <w:jc w:val="right"/>
      </w:pPr>
      <w:r>
        <w:rPr>
          <w:rFonts w:ascii="Arial" w:cs="Arial" w:eastAsia="Arial" w:hAnsi="Arial"/>
          <w:b w:val="false"/>
          <w:bCs w:val="false"/>
          <w:sz w:val="22"/>
          <w:szCs w:val="22"/>
        </w:rPr>
        <w:t xml:space="preserve">אמנות חזותית – ציור, פיסול, צילום, קולאז'</w:t>
      </w:r>
    </w:p>
    <w:p>
      <w:pPr>
        <w:pStyle w:val="ListParagraph"/>
        <w:numPr>
          <w:ilvl w:val="0"/>
          <w:numId w:val="2"/>
        </w:numPr>
        <w:bidi/>
        <w:spacing w:after="40" w:before="40"/>
        <w:jc w:val="right"/>
      </w:pPr>
      <w:r>
        <w:rPr>
          <w:rFonts w:ascii="Arial" w:cs="Arial" w:eastAsia="Arial" w:hAnsi="Arial"/>
          <w:b w:val="false"/>
          <w:bCs w:val="false"/>
          <w:sz w:val="22"/>
          <w:szCs w:val="22"/>
        </w:rPr>
        <w:t xml:space="preserve">ביבליותרפיה – שימוש בספרות, קריאה וכתיבה</w:t>
      </w:r>
    </w:p>
    <w:p>
      <w:pPr>
        <w:pStyle w:val="ListParagraph"/>
        <w:numPr>
          <w:ilvl w:val="0"/>
          <w:numId w:val="2"/>
        </w:numPr>
        <w:bidi/>
        <w:spacing w:after="40" w:before="40"/>
        <w:jc w:val="right"/>
      </w:pPr>
      <w:r>
        <w:rPr>
          <w:rFonts w:ascii="Arial" w:cs="Arial" w:eastAsia="Arial" w:hAnsi="Arial"/>
          <w:b w:val="false"/>
          <w:bCs w:val="false"/>
          <w:sz w:val="22"/>
          <w:szCs w:val="22"/>
        </w:rPr>
        <w:t xml:space="preserve">בישול טיפולי, דרמה ופסיכודרמה, טיפול בשולחן חול</w:t>
      </w:r>
    </w:p>
    <w:p>
      <w:pPr>
        <w:pStyle w:val="ListParagraph"/>
        <w:numPr>
          <w:ilvl w:val="0"/>
          <w:numId w:val="2"/>
        </w:numPr>
        <w:bidi/>
        <w:spacing w:after="40" w:before="40"/>
        <w:jc w:val="right"/>
      </w:pPr>
      <w:r>
        <w:rPr>
          <w:rFonts w:ascii="Arial" w:cs="Arial" w:eastAsia="Arial" w:hAnsi="Arial"/>
          <w:b w:val="false"/>
          <w:bCs w:val="false"/>
          <w:sz w:val="22"/>
          <w:szCs w:val="22"/>
        </w:rPr>
        <w:t xml:space="preserve">אימון כלבים, גינון טיפולי, גלישת סאפ</w:t>
      </w:r>
    </w:p>
    <w:p>
      <w:pPr>
        <w:pStyle w:val="ListParagraph"/>
        <w:numPr>
          <w:ilvl w:val="0"/>
          <w:numId w:val="2"/>
        </w:numPr>
        <w:bidi/>
        <w:spacing w:after="40" w:before="40"/>
        <w:jc w:val="right"/>
      </w:pPr>
      <w:r>
        <w:rPr>
          <w:rFonts w:ascii="Arial" w:cs="Arial" w:eastAsia="Arial" w:hAnsi="Arial"/>
          <w:b w:val="false"/>
          <w:bCs w:val="false"/>
          <w:sz w:val="22"/>
          <w:szCs w:val="22"/>
        </w:rPr>
        <w:t xml:space="preserve">הידרותרפיה, וואטסו, טבע תרפיה, רפואת יער</w:t>
      </w:r>
    </w:p>
    <w:p>
      <w:pPr>
        <w:pStyle w:val="ListParagraph"/>
        <w:numPr>
          <w:ilvl w:val="0"/>
          <w:numId w:val="2"/>
        </w:numPr>
        <w:bidi/>
        <w:spacing w:after="40" w:before="40"/>
        <w:jc w:val="right"/>
      </w:pPr>
      <w:r>
        <w:rPr>
          <w:rFonts w:ascii="Arial" w:cs="Arial" w:eastAsia="Arial" w:hAnsi="Arial"/>
          <w:b w:val="false"/>
          <w:bCs w:val="false"/>
          <w:sz w:val="22"/>
          <w:szCs w:val="22"/>
        </w:rPr>
        <w:t xml:space="preserve">טיפול באמצעות בעלי חיים, רכיבה טיפולית, טיפול בסוסים</w:t>
      </w:r>
    </w:p>
    <w:p>
      <w:pPr>
        <w:spacing w:after="40" w:before="40"/>
      </w:pPr>
      <w:r>
        <w:t xml:space="preserve"/>
      </w:r>
    </w:p>
    <w:p>
      <w:pPr>
        <w:bidi/>
        <w:spacing w:after="60" w:before="60"/>
        <w:ind w:left="300"/>
        <w:jc w:val="right"/>
      </w:pPr>
      <w:r>
        <w:rPr>
          <w:rFonts w:ascii="Arial" w:cs="Arial" w:eastAsia="Arial" w:hAnsi="Arial"/>
          <w:i/>
          <w:iCs/>
          <w:color w:val="2E75B6"/>
          <w:sz w:val="20"/>
          <w:szCs w:val="20"/>
        </w:rPr>
        <w:t xml:space="preserve">ℹ️  הרשימה "נושמת" – ניתן להוסיף טיפולים נוספים בפנייה לרפרנטים. פניות בנושא יועברו לאגף.</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שאלות ותשובות שכיחות – 162 הטיפולים</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שאלה</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תשובה</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הומאופתיה – מותר?</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מופיעה ברשימה. הומאוטוקסיקולוגיה – כן מאושרת.</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נטורופתיה – מותר?</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עדיין בבדיקה. לפנות לרפרנטים.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מה עם טיפול שאינו ברשימה אך נופל בהגדרה?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לבדוק עם שיקול דעת. אם לא ברור – לפנות לרפרנטים. הרשימה נושמת וניתנת לעדכון.</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האם ניתן לממן מאמן כושר בחדר כושר?</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רק אם זה מאמן אישי פרטני. כניסה לחדר כושר בלבד – לא.</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האם סדנאות וכתיבה קבוצתית מותרות?</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 פרטני בלבד. אין קבוצות, אין סדנאות, אין חוגים.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האם ניתן לממן ניבוי רוחני / ליווי רוחני?</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כן – ניבוי/ליווי רוחני הוא הגדרה מוכרת, בתנאי שיש תעודה מוכרת.</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מה לגבי אנשי דת כמטפלים?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עצם היות אדם איש דת אינו מגדיר אותו כמטפל. נדרשות תעודות רלוונטיות לרווחה/רגש.</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האם ניתן לקבל גם טיפול נפשי וגם 162 טיפולים?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כן – ביטול ה'או-או'. ניתן לקבל את שניהם במקביל.</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מה לגבי ה-20 טיפולים השנתיים הישנים?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ממשיכים להתקיים במקביל ל-162. שתי זכאויות נפרדות.</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כיצד מגישים קבלות?</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השקת האפליקציה – שיטת הגשת קבלות רגילה. אפליקציה בפיתוח.</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אלמנה/שכול שהם גם נכים – כפל זכאות?</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כן – זכאים לכפל טיפולים. המערכת מנהלת את זה ועוצרת כפל בלתי חוקי.</w:t>
            </w:r>
          </w:p>
        </w:tc>
      </w:tr>
    </w:tbl>
    <w:p>
      <w:pPr>
        <w:spacing w:after="40" w:before="40"/>
      </w:pPr>
      <w:r>
        <w:t xml:space="preserve"/>
      </w:r>
    </w:p>
    <w:p>
      <w:pPr>
        <w:bidi/>
        <w:spacing w:after="100" w:before="320"/>
        <w:jc w:val="right"/>
      </w:pPr>
      <w:r>
        <w:rPr>
          <w:rFonts w:ascii="Arial" w:cs="Arial" w:eastAsia="Arial" w:hAnsi="Arial"/>
          <w:b/>
          <w:bCs/>
          <w:color w:val="2E75B6"/>
          <w:sz w:val="28"/>
          <w:szCs w:val="28"/>
        </w:rPr>
        <w:t xml:space="preserve">6. תוכנית תל"א – ליווי אישי ליתומים (0–21)</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6"/>
              <w:left w:val="single" w:color="1F4E79" w:sz="6"/>
              <w:bottom w:val="single" w:color="1F4E79" w:sz="6"/>
              <w:right w:val="single" w:color="1F4E79" w:sz="6"/>
            </w:tcBorders>
            <w:shd w:fill="DEEAF1" w:val="clear"/>
            <w:tcMar>
              <w:top w:type="dxa" w:w="120"/>
              <w:left w:type="dxa" w:w="180"/>
              <w:bottom w:type="dxa" w:w="120"/>
              <w:right w:type="dxa" w:w="180"/>
            </w:tcMar>
          </w:tcPr>
          <w:p>
            <w:pPr>
              <w:bidi/>
              <w:spacing w:after="80"/>
              <w:jc w:val="right"/>
            </w:pPr>
            <w:r>
              <w:rPr>
                <w:rFonts w:ascii="Arial" w:cs="Arial" w:eastAsia="Arial" w:hAnsi="Arial"/>
                <w:b/>
                <w:bCs/>
                <w:color w:val="1F4E79"/>
                <w:sz w:val="24"/>
                <w:szCs w:val="24"/>
              </w:rPr>
              <w:t xml:space="preserve">🌟 תוכנית תל"א – נתוני מפתח</w:t>
            </w:r>
          </w:p>
          <w:p>
            <w:pPr>
              <w:bidi/>
              <w:spacing w:after="30" w:before="30"/>
              <w:jc w:val="right"/>
            </w:pPr>
            <w:r>
              <w:rPr>
                <w:rFonts w:ascii="Arial" w:cs="Arial" w:eastAsia="Arial" w:hAnsi="Arial"/>
                <w:sz w:val="22"/>
                <w:szCs w:val="22"/>
              </w:rPr>
              <w:t xml:space="preserve">סכום: עד 50,000 ₪ לכל ילד – לכל תקופת הזכאות</w:t>
            </w:r>
          </w:p>
          <w:p>
            <w:pPr>
              <w:bidi/>
              <w:spacing w:after="30" w:before="30"/>
              <w:jc w:val="right"/>
            </w:pPr>
            <w:r>
              <w:rPr>
                <w:rFonts w:ascii="Arial" w:cs="Arial" w:eastAsia="Arial" w:hAnsi="Arial"/>
                <w:sz w:val="22"/>
                <w:szCs w:val="22"/>
              </w:rPr>
              <w:t xml:space="preserve">גיל: מגיל 0 עד גיל 21</w:t>
            </w:r>
          </w:p>
          <w:p>
            <w:pPr>
              <w:bidi/>
              <w:spacing w:after="30" w:before="30"/>
              <w:jc w:val="right"/>
            </w:pPr>
            <w:r>
              <w:rPr>
                <w:rFonts w:ascii="Arial" w:cs="Arial" w:eastAsia="Arial" w:hAnsi="Arial"/>
                <w:sz w:val="22"/>
                <w:szCs w:val="22"/>
              </w:rPr>
              <w:t xml:space="preserve">הסכום חד-פעמי לכל החיים – אינו מתחדש ואינו עובר לאחר גיל 21</w:t>
            </w:r>
          </w:p>
          <w:p>
            <w:pPr>
              <w:bidi/>
              <w:spacing w:after="30" w:before="30"/>
              <w:jc w:val="right"/>
            </w:pPr>
            <w:r>
              <w:rPr>
                <w:rFonts w:ascii="Arial" w:cs="Arial" w:eastAsia="Arial" w:hAnsi="Arial"/>
                <w:sz w:val="22"/>
                <w:szCs w:val="22"/>
              </w:rPr>
              <w:t xml:space="preserve">מנוהל על שם האלמנה/האלמן (למעט יתומים משני הורים – על שם היתום)</w:t>
            </w:r>
          </w:p>
          <w:p>
            <w:pPr>
              <w:bidi/>
              <w:spacing w:after="30" w:before="30"/>
              <w:jc w:val="right"/>
            </w:pPr>
            <w:r>
              <w:rPr>
                <w:rFonts w:ascii="Arial" w:cs="Arial" w:eastAsia="Arial" w:hAnsi="Arial"/>
                <w:sz w:val="22"/>
                <w:szCs w:val="22"/>
              </w:rPr>
              <w:t xml:space="preserve">גרושים/גרושות המגדלים יתומים – התוכנית על שם ההורה המגדל</w:t>
            </w:r>
          </w:p>
          <w:p>
            <w:pPr>
              <w:bidi/>
              <w:spacing w:after="30" w:before="30"/>
              <w:jc w:val="right"/>
            </w:pPr>
            <w:r>
              <w:rPr>
                <w:rFonts w:ascii="Arial" w:cs="Arial" w:eastAsia="Arial" w:hAnsi="Arial"/>
                <w:sz w:val="22"/>
                <w:szCs w:val="22"/>
              </w:rPr>
              <w:t xml:space="preserve">ניתן להעביר תקציב מילד לילד בתוך אותה משפחה</w:t>
            </w:r>
          </w:p>
          <w:p>
            <w:pPr>
              <w:bidi/>
              <w:spacing w:after="30" w:before="30"/>
              <w:jc w:val="right"/>
            </w:pPr>
            <w:r>
              <w:rPr>
                <w:rFonts w:ascii="Arial" w:cs="Arial" w:eastAsia="Arial" w:hAnsi="Arial"/>
                <w:sz w:val="22"/>
                <w:szCs w:val="22"/>
              </w:rPr>
              <w:t xml:space="preserve">הכסף אינו עובר לאלמנה או לתום לאחר גיל 21 אם לא מומש</w:t>
            </w:r>
          </w:p>
        </w:tc>
      </w:tr>
    </w:tbl>
    <w:p>
      <w:pPr>
        <w:spacing w:after="40" w:before="40"/>
      </w:pPr>
      <w:r>
        <w:t xml:space="preserve"/>
      </w:r>
    </w:p>
    <w:p>
      <w:pPr>
        <w:bidi/>
        <w:spacing w:after="80" w:before="200"/>
        <w:jc w:val="right"/>
      </w:pPr>
      <w:r>
        <w:rPr>
          <w:rFonts w:ascii="Arial" w:cs="Arial" w:eastAsia="Arial" w:hAnsi="Arial"/>
          <w:b/>
          <w:bCs/>
          <w:color w:val="404040"/>
          <w:sz w:val="24"/>
          <w:szCs w:val="24"/>
        </w:rPr>
        <w:t xml:space="preserve">תחומי מיקוד</w:t>
      </w:r>
    </w:p>
    <w:p>
      <w:pPr>
        <w:pStyle w:val="ListParagraph"/>
        <w:numPr>
          <w:ilvl w:val="0"/>
          <w:numId w:val="2"/>
        </w:numPr>
        <w:bidi/>
        <w:spacing w:after="40" w:before="40"/>
        <w:jc w:val="right"/>
      </w:pPr>
      <w:r>
        <w:rPr>
          <w:rFonts w:ascii="Arial" w:cs="Arial" w:eastAsia="Arial" w:hAnsi="Arial"/>
          <w:b w:val="false"/>
          <w:bCs w:val="false"/>
          <w:sz w:val="22"/>
          <w:szCs w:val="22"/>
        </w:rPr>
        <w:t xml:space="preserve">הצלחה בלימודים – מעבר לשיעורי עזר (מרכזי תמיכה, חיזוק מיוחד)</w:t>
      </w:r>
    </w:p>
    <w:p>
      <w:pPr>
        <w:pStyle w:val="ListParagraph"/>
        <w:numPr>
          <w:ilvl w:val="0"/>
          <w:numId w:val="2"/>
        </w:numPr>
        <w:bidi/>
        <w:spacing w:after="40" w:before="40"/>
        <w:jc w:val="right"/>
      </w:pPr>
      <w:r>
        <w:rPr>
          <w:rFonts w:ascii="Arial" w:cs="Arial" w:eastAsia="Arial" w:hAnsi="Arial"/>
          <w:b w:val="false"/>
          <w:bCs w:val="false"/>
          <w:sz w:val="22"/>
          <w:szCs w:val="22"/>
        </w:rPr>
        <w:t xml:space="preserve">פיתוח מיומניות חברתיות – מנהיגות צעירה, ביטחון חברתי</w:t>
      </w:r>
    </w:p>
    <w:p>
      <w:pPr>
        <w:pStyle w:val="ListParagraph"/>
        <w:numPr>
          <w:ilvl w:val="0"/>
          <w:numId w:val="2"/>
        </w:numPr>
        <w:bidi/>
        <w:spacing w:after="40" w:before="40"/>
        <w:jc w:val="right"/>
      </w:pPr>
      <w:r>
        <w:rPr>
          <w:rFonts w:ascii="Arial" w:cs="Arial" w:eastAsia="Arial" w:hAnsi="Arial"/>
          <w:b w:val="false"/>
          <w:bCs w:val="false"/>
          <w:sz w:val="22"/>
          <w:szCs w:val="22"/>
        </w:rPr>
        <w:t xml:space="preserve">חיזוק קשרים משפחתיים – פעילויות משותפות, פרויקטים משפחתיים</w:t>
      </w:r>
    </w:p>
    <w:p>
      <w:pPr>
        <w:pStyle w:val="ListParagraph"/>
        <w:numPr>
          <w:ilvl w:val="0"/>
          <w:numId w:val="2"/>
        </w:numPr>
        <w:bidi/>
        <w:spacing w:after="40" w:before="40"/>
        <w:jc w:val="right"/>
      </w:pPr>
      <w:r>
        <w:rPr>
          <w:rFonts w:ascii="Arial" w:cs="Arial" w:eastAsia="Arial" w:hAnsi="Arial"/>
          <w:b w:val="false"/>
          <w:bCs w:val="false"/>
          <w:sz w:val="22"/>
          <w:szCs w:val="22"/>
        </w:rPr>
        <w:t xml:space="preserve">מנטורים וליווי אישי – ספורט, אמנות, מקצוע</w:t>
      </w:r>
    </w:p>
    <w:p>
      <w:pPr>
        <w:pStyle w:val="ListParagraph"/>
        <w:numPr>
          <w:ilvl w:val="0"/>
          <w:numId w:val="2"/>
        </w:numPr>
        <w:bidi/>
        <w:spacing w:after="40" w:before="40"/>
        <w:jc w:val="right"/>
      </w:pPr>
      <w:r>
        <w:rPr>
          <w:rFonts w:ascii="Arial" w:cs="Arial" w:eastAsia="Arial" w:hAnsi="Arial"/>
          <w:b w:val="false"/>
          <w:bCs w:val="false"/>
          <w:sz w:val="22"/>
          <w:szCs w:val="22"/>
        </w:rPr>
        <w:t xml:space="preserve">טיפוח כישורים ותחומי עניין – פיתוח תחביב מתמשך ומשמעותי</w:t>
      </w:r>
    </w:p>
    <w:p>
      <w:pPr>
        <w:spacing w:after="40" w:before="40"/>
      </w:pPr>
      <w:r>
        <w:t xml:space="preserve"/>
      </w:r>
    </w:p>
    <w:p>
      <w:pPr>
        <w:bidi/>
        <w:spacing w:after="80" w:before="200"/>
        <w:jc w:val="right"/>
      </w:pPr>
      <w:r>
        <w:rPr>
          <w:rFonts w:ascii="Arial" w:cs="Arial" w:eastAsia="Arial" w:hAnsi="Arial"/>
          <w:b/>
          <w:bCs/>
          <w:color w:val="404040"/>
          <w:sz w:val="24"/>
          <w:szCs w:val="24"/>
        </w:rPr>
        <w:t xml:space="preserve">מה לא נכנס לתל"א</w:t>
      </w:r>
    </w:p>
    <w:p>
      <w:pPr>
        <w:pStyle w:val="ListParagraph"/>
        <w:numPr>
          <w:ilvl w:val="0"/>
          <w:numId w:val="2"/>
        </w:numPr>
        <w:bidi/>
        <w:spacing w:after="40" w:before="40"/>
        <w:jc w:val="right"/>
      </w:pPr>
      <w:r>
        <w:rPr>
          <w:rFonts w:ascii="Arial" w:cs="Arial" w:eastAsia="Arial" w:hAnsi="Arial"/>
          <w:b w:val="false"/>
          <w:bCs w:val="false"/>
          <w:sz w:val="22"/>
          <w:szCs w:val="22"/>
        </w:rPr>
        <w:t xml:space="preserve">שיעורי עזר סטנדרטיים – קיים מענה בחוק נפרד</w:t>
      </w:r>
    </w:p>
    <w:p>
      <w:pPr>
        <w:pStyle w:val="ListParagraph"/>
        <w:numPr>
          <w:ilvl w:val="0"/>
          <w:numId w:val="2"/>
        </w:numPr>
        <w:bidi/>
        <w:spacing w:after="40" w:before="40"/>
        <w:jc w:val="right"/>
      </w:pPr>
      <w:r>
        <w:rPr>
          <w:rFonts w:ascii="Arial" w:cs="Arial" w:eastAsia="Arial" w:hAnsi="Arial"/>
          <w:b w:val="false"/>
          <w:bCs w:val="false"/>
          <w:sz w:val="22"/>
          <w:szCs w:val="22"/>
        </w:rPr>
        <w:t xml:space="preserve">טיפול ושיקום רגשי</w:t>
      </w:r>
    </w:p>
    <w:p>
      <w:pPr>
        <w:pStyle w:val="ListParagraph"/>
        <w:numPr>
          <w:ilvl w:val="0"/>
          <w:numId w:val="2"/>
        </w:numPr>
        <w:bidi/>
        <w:spacing w:after="40" w:before="40"/>
        <w:jc w:val="right"/>
      </w:pPr>
      <w:r>
        <w:rPr>
          <w:rFonts w:ascii="Arial" w:cs="Arial" w:eastAsia="Arial" w:hAnsi="Arial"/>
          <w:b w:val="false"/>
          <w:bCs w:val="false"/>
          <w:sz w:val="22"/>
          <w:szCs w:val="22"/>
        </w:rPr>
        <w:t xml:space="preserve">טיסות לחו"ל</w:t>
      </w:r>
    </w:p>
    <w:p>
      <w:pPr>
        <w:pStyle w:val="ListParagraph"/>
        <w:numPr>
          <w:ilvl w:val="0"/>
          <w:numId w:val="2"/>
        </w:numPr>
        <w:bidi/>
        <w:spacing w:after="40" w:before="40"/>
        <w:jc w:val="right"/>
      </w:pPr>
      <w:r>
        <w:rPr>
          <w:rFonts w:ascii="Arial" w:cs="Arial" w:eastAsia="Arial" w:hAnsi="Arial"/>
          <w:b w:val="false"/>
          <w:bCs w:val="false"/>
          <w:sz w:val="22"/>
          <w:szCs w:val="22"/>
        </w:rPr>
        <w:t xml:space="preserve">השלמת תקציב להטבות קיימות בחוק אחר</w:t>
      </w:r>
    </w:p>
    <w:p>
      <w:pPr>
        <w:spacing w:after="40" w:before="40"/>
      </w:pPr>
      <w:r>
        <w:t xml:space="preserve"/>
      </w:r>
    </w:p>
    <w:p>
      <w:pPr>
        <w:bidi/>
        <w:spacing w:after="80" w:before="200"/>
        <w:jc w:val="right"/>
      </w:pPr>
      <w:r>
        <w:rPr>
          <w:rFonts w:ascii="Arial" w:cs="Arial" w:eastAsia="Arial" w:hAnsi="Arial"/>
          <w:b/>
          <w:bCs/>
          <w:color w:val="404040"/>
          <w:sz w:val="24"/>
          <w:szCs w:val="24"/>
        </w:rPr>
        <w:t xml:space="preserve">מודל העבודה</w:t>
      </w:r>
    </w:p>
    <w:p>
      <w:pPr>
        <w:bidi/>
        <w:spacing w:after="60" w:before="60"/>
        <w:jc w:val="right"/>
      </w:pPr>
      <w:r>
        <w:rPr>
          <w:rFonts w:ascii="Arial" w:cs="Arial" w:eastAsia="Arial" w:hAnsi="Arial"/>
          <w:sz w:val="22"/>
          <w:szCs w:val="22"/>
        </w:rPr>
        <w:t xml:space="preserve">התוכנית נבנית בתהליך – לא על בסיס הגשת קבלות בלבד:</w:t>
      </w:r>
    </w:p>
    <w:p>
      <w:pPr>
        <w:pStyle w:val="ListParagraph"/>
        <w:numPr>
          <w:ilvl w:val="0"/>
          <w:numId w:val="2"/>
        </w:numPr>
        <w:bidi/>
        <w:spacing w:after="40" w:before="40"/>
        <w:jc w:val="right"/>
      </w:pPr>
      <w:r>
        <w:rPr>
          <w:rFonts w:ascii="Arial" w:cs="Arial" w:eastAsia="Arial" w:hAnsi="Arial"/>
          <w:b w:val="false"/>
          <w:bCs w:val="false"/>
          <w:sz w:val="22"/>
          <w:szCs w:val="22"/>
        </w:rPr>
        <w:t xml:space="preserve">מפגש היכרות עם הילד וההורה – זיהוי חוזקות, צרכים, אתגרים</w:t>
      </w:r>
    </w:p>
    <w:p>
      <w:pPr>
        <w:pStyle w:val="ListParagraph"/>
        <w:numPr>
          <w:ilvl w:val="0"/>
          <w:numId w:val="2"/>
        </w:numPr>
        <w:bidi/>
        <w:spacing w:after="40" w:before="40"/>
        <w:jc w:val="right"/>
      </w:pPr>
      <w:r>
        <w:rPr>
          <w:rFonts w:ascii="Arial" w:cs="Arial" w:eastAsia="Arial" w:hAnsi="Arial"/>
          <w:b w:val="false"/>
          <w:bCs w:val="false"/>
          <w:sz w:val="22"/>
          <w:szCs w:val="22"/>
        </w:rPr>
        <w:t xml:space="preserve">בניית תוכנית משותפת – אחת לשנה או בכל שינוי משמעותי</w:t>
      </w:r>
    </w:p>
    <w:p>
      <w:pPr>
        <w:pStyle w:val="ListParagraph"/>
        <w:numPr>
          <w:ilvl w:val="0"/>
          <w:numId w:val="2"/>
        </w:numPr>
        <w:bidi/>
        <w:spacing w:after="40" w:before="40"/>
        <w:jc w:val="right"/>
      </w:pPr>
      <w:r>
        <w:rPr>
          <w:rFonts w:ascii="Arial" w:cs="Arial" w:eastAsia="Arial" w:hAnsi="Arial"/>
          <w:b w:val="false"/>
          <w:bCs w:val="false"/>
          <w:sz w:val="22"/>
          <w:szCs w:val="22"/>
        </w:rPr>
        <w:t xml:space="preserve">תשומת לב לאבני דרך: כניסה ליסודי, בר/בת מצווה, מעבר לתיכון, גיוס</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שאלות ותשובות שכיחות – תוכנית תלא</w:t>
      </w:r>
    </w:p>
    <w:p>
      <w:pPr>
        <w:spacing w:after="40" w:before="40"/>
      </w:pPr>
      <w:r>
        <w:t xml:space="preserve"/>
      </w:r>
    </w:p>
    <w:p>
      <w:pPr>
        <w:bidi/>
        <w:spacing w:after="60" w:before="60"/>
        <w:jc w:val="right"/>
      </w:pPr>
      <w:r>
        <w:rPr>
          <w:rFonts w:ascii="Arial" w:cs="Arial" w:eastAsia="Arial" w:hAnsi="Arial"/>
          <w:sz w:val="22"/>
          <w:szCs w:val="22"/>
        </w:rPr>
        <w:t xml:space="preserve">השאלות הבאות עלו בדיוני עובדי שיקום מהשטח:</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שאלה</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תשובה</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מה קורה אם לא מנצלים את הסכום עד גיל 21?</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הכסף אינו עובר – לא ליתום ולא לאלמנה. יש לתכנן, אך לא להמהר לנצל הכל בגיל צעיר מאוד.</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האם ניתן לממן קלינאית תקשורת / ריפוי בעיסוק?</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יתכן שכן – אם אין מענה בחוק אחר. יש לבדוק מה מכסה קופת החולים ומה הפערים, ולפנות לרפרנטים.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מה לגבי מכינה קדם-צבאית לאחר גיל 18?</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זוהי אחת מ'אבני הדרך'. אם קיים צורך – יש לבדוק ולתת מענה.</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האם ניתן לממן פסנתר כנף?</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בהתחלה. רק אם הנגינה הופכת לתחום מרכזי ומשמעותי לאורך זמן – ניתן לשקול.</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מה לגבי מחנה קיץ בחול?</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ניתן לממן את חלק המחנה בלבד – לא את הטיסה.</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יתומה בת 20.5 – כמה זמן נותר לה לתוכנית?</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גיל 21 בלבד. יש לפתוח תוכנית מיידית ולנצל את הזמן שנותר.</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גרוש/ה המגדל/ת יתומים – על שם מי?</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על שם הגרוש/ה – בדיוק כמו אלמנה. למעט יתומים משני הורים שהתוכנית על שם היתום.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האם ניתן להעביר כסף מילד לילד באותה משפחה?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כן – ניתן להעביר תקציב בין ילדים באותה משפחה.</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האם תלא היא בנוסף לחוגים?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 תלא מחליפה את החוגים. הכוונה היא לתוכנית רחבה יותר מאשר חוגים בלבד.</w:t>
            </w:r>
          </w:p>
        </w:tc>
      </w:tr>
    </w:tbl>
    <w:p>
      <w:pPr>
        <w:spacing w:after="40" w:before="40"/>
      </w:pPr>
      <w:r>
        <w:t xml:space="preserve"/>
      </w:r>
    </w:p>
    <w:p>
      <w:pPr>
        <w:bidi/>
        <w:spacing w:after="60" w:before="60"/>
        <w:ind w:left="300"/>
        <w:jc w:val="right"/>
      </w:pPr>
      <w:r>
        <w:rPr>
          <w:rFonts w:ascii="Arial" w:cs="Arial" w:eastAsia="Arial" w:hAnsi="Arial"/>
          <w:i/>
          <w:iCs/>
          <w:color w:val="2E75B6"/>
          <w:sz w:val="20"/>
          <w:szCs w:val="20"/>
        </w:rPr>
        <w:t xml:space="preserve">ℹ️  המלצה מהשטח: כדאי לשלוף מהמערכת רשימת יתומים קרובים לגיל 18 (עוד 3 שנים) ולפנות אליהם ביוזמה, לפני שהזמן חולף.</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7. שיעורי עזר ליתומים קטינים</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פרמטר</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פירוט</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סכום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2,500 ₪ לשנה לכל יתום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גיל</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כיתות א'–י"ב (לימודי חובה)</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תנאי</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נדרשת המלצת גורם מקצועי</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הערה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הוחלף את הסיוע הישן של 4,500 ₪ (ירידה בסכום, אך נוספת תל"א)</w:t>
            </w:r>
          </w:p>
        </w:tc>
      </w:tr>
    </w:tbl>
    <w:p>
      <w:pPr>
        <w:spacing w:after="40" w:before="40"/>
      </w:pPr>
      <w:r>
        <w:t xml:space="preserve"/>
      </w:r>
    </w:p>
    <w:p>
      <w:pPr>
        <w:bidi/>
        <w:spacing w:after="80" w:before="80"/>
        <w:ind w:left="300"/>
        <w:jc w:val="right"/>
      </w:pPr>
      <w:r>
        <w:rPr>
          <w:rFonts w:ascii="Arial" w:cs="Arial" w:eastAsia="Arial" w:hAnsi="Arial"/>
          <w:i/>
          <w:iCs/>
          <w:color w:val="843C0C"/>
          <w:sz w:val="21"/>
          <w:szCs w:val="21"/>
        </w:rPr>
        <w:t xml:space="preserve">⚠️  בוטלו: חוגים ליתומים קטינים שהיו בהוראה 11.3 – מוחלפים בתוכנית תל"א.</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8. זכאויות נוספות ליתומים</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זכאות</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פירוט</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טיפולי פוריות / פונדקאות</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ליתום מגיל 21 – סיוע חד-פעמי עד כ-25,000 ₪</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ועדת למ"ד</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רשאית לדון ביתומים מעל גיל 30 במקרים חריגים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סיוע בהגעה לאזכרה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הגעה בתוך ישראל לאזכרה הלאומית או הפרטית</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הנחה בארנונה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פטור חלקי בהתאם לחוק הרשויות המקומיות – לכל תקופת הזכאות לתגמולים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דמי חבר בארגון יציג</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ינוכו מהתגמול החודשי של היתום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תוכנית ליווי אישי (מגיל 21, שאינו עומד ברשות עצמו)</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3,000 ₪ לשנה – ראה סעיף ז' להלן</w:t>
            </w:r>
          </w:p>
        </w:tc>
      </w:tr>
    </w:tbl>
    <w:p>
      <w:pPr>
        <w:spacing w:after="40" w:before="40"/>
      </w:pPr>
      <w:r>
        <w:t xml:space="preserve"/>
      </w:r>
    </w:p>
    <w:p>
      <w:r>
        <w:br w:type="page"/>
      </w:r>
    </w:p>
    <w:p>
      <w:pPr>
        <w:pBdr>
          <w:bottom w:val="single" w:color="1F4E79" w:sz="8" w:space="4"/>
        </w:pBdr>
        <w:bidi/>
        <w:spacing w:after="160" w:before="480"/>
        <w:jc w:val="right"/>
      </w:pPr>
      <w:r>
        <w:rPr>
          <w:rFonts w:ascii="Arial" w:cs="Arial" w:eastAsia="Arial" w:hAnsi="Arial"/>
          <w:b/>
          <w:bCs/>
          <w:color w:val="1F4E79"/>
          <w:sz w:val="36"/>
          <w:szCs w:val="36"/>
        </w:rPr>
        <w:t xml:space="preserve">ג. יתומים משני הורים (ששני הוריהם נספו)</w:t>
      </w:r>
    </w:p>
    <w:p>
      <w:pPr>
        <w:spacing w:after="40" w:before="40"/>
      </w:pPr>
      <w:r>
        <w:t xml:space="preserve"/>
      </w:r>
    </w:p>
    <w:p>
      <w:pPr>
        <w:bidi/>
        <w:spacing w:after="60" w:before="60"/>
        <w:jc w:val="right"/>
      </w:pPr>
      <w:r>
        <w:rPr>
          <w:rFonts w:ascii="Arial" w:cs="Arial" w:eastAsia="Arial" w:hAnsi="Arial"/>
          <w:sz w:val="22"/>
          <w:szCs w:val="22"/>
        </w:rPr>
        <w:t xml:space="preserve">קטגוריה מיוחדת עם מסגרת זכויות משלה. רלוונטי כאשר שני ההורים נפטרו כתוצאה מפגיעת איבה / נפילה במערכה.</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6"/>
              <w:left w:val="single" w:color="1F4E79" w:sz="6"/>
              <w:bottom w:val="single" w:color="1F4E79" w:sz="6"/>
              <w:right w:val="single" w:color="1F4E79" w:sz="6"/>
            </w:tcBorders>
            <w:shd w:fill="DEEAF1" w:val="clear"/>
            <w:tcMar>
              <w:top w:type="dxa" w:w="120"/>
              <w:left w:type="dxa" w:w="180"/>
              <w:bottom w:type="dxa" w:w="120"/>
              <w:right w:type="dxa" w:w="180"/>
            </w:tcMar>
          </w:tcPr>
          <w:p>
            <w:pPr>
              <w:bidi/>
              <w:spacing w:after="80"/>
              <w:jc w:val="right"/>
            </w:pPr>
            <w:r>
              <w:rPr>
                <w:rFonts w:ascii="Arial" w:cs="Arial" w:eastAsia="Arial" w:hAnsi="Arial"/>
                <w:b/>
                <w:bCs/>
                <w:color w:val="1F4E79"/>
                <w:sz w:val="24"/>
                <w:szCs w:val="24"/>
              </w:rPr>
              <w:t xml:space="preserve">📌 תגמול יתום משני הורים</w:t>
            </w:r>
          </w:p>
          <w:p>
            <w:pPr>
              <w:bidi/>
              <w:spacing w:after="30" w:before="30"/>
              <w:jc w:val="right"/>
            </w:pPr>
            <w:r>
              <w:rPr>
                <w:rFonts w:ascii="Arial" w:cs="Arial" w:eastAsia="Arial" w:hAnsi="Arial"/>
                <w:sz w:val="22"/>
                <w:szCs w:val="22"/>
              </w:rPr>
              <w:t xml:space="preserve">גיל 0–18: 8,665.75 ₪ + תוספת גילום 540.64 ₪</w:t>
            </w:r>
          </w:p>
          <w:p>
            <w:pPr>
              <w:bidi/>
              <w:spacing w:after="30" w:before="30"/>
              <w:jc w:val="right"/>
            </w:pPr>
            <w:r>
              <w:rPr>
                <w:rFonts w:ascii="Arial" w:cs="Arial" w:eastAsia="Arial" w:hAnsi="Arial"/>
                <w:sz w:val="22"/>
                <w:szCs w:val="22"/>
              </w:rPr>
              <w:t xml:space="preserve">גיל 18+: 10,525.4 ₪</w:t>
            </w:r>
          </w:p>
          <w:p>
            <w:pPr>
              <w:bidi/>
              <w:spacing w:after="30" w:before="30"/>
              <w:jc w:val="right"/>
            </w:pPr>
            <w:r>
              <w:rPr>
                <w:rFonts w:ascii="Arial" w:cs="Arial" w:eastAsia="Arial" w:hAnsi="Arial"/>
                <w:sz w:val="22"/>
                <w:szCs w:val="22"/>
              </w:rPr>
              <w:t xml:space="preserve">התוכנית על שם היתום (לא על שם האפוטרופוס/אלמנה)</w:t>
            </w:r>
          </w:p>
        </w:tc>
      </w:tr>
    </w:tbl>
    <w:p>
      <w:pPr>
        <w:spacing w:after="40" w:before="40"/>
      </w:pPr>
      <w:r>
        <w:t xml:space="preserve"/>
      </w:r>
    </w:p>
    <w:p>
      <w:pPr>
        <w:bidi/>
        <w:spacing w:after="100" w:before="320"/>
        <w:jc w:val="right"/>
      </w:pPr>
      <w:r>
        <w:rPr>
          <w:rFonts w:ascii="Arial" w:cs="Arial" w:eastAsia="Arial" w:hAnsi="Arial"/>
          <w:b/>
          <w:bCs/>
          <w:color w:val="2E75B6"/>
          <w:sz w:val="28"/>
          <w:szCs w:val="28"/>
        </w:rPr>
        <w:t xml:space="preserve">1. תגמול חודשי למשפחה מלווה (גיל 18–25)</w:t>
      </w:r>
    </w:p>
    <w:p>
      <w:pPr>
        <w:bidi/>
        <w:spacing w:after="60" w:before="60"/>
        <w:jc w:val="right"/>
      </w:pPr>
      <w:r>
        <w:rPr>
          <w:rFonts w:ascii="Arial" w:cs="Arial" w:eastAsia="Arial" w:hAnsi="Arial"/>
          <w:sz w:val="22"/>
          <w:szCs w:val="22"/>
        </w:rPr>
        <w:t xml:space="preserve">ליתומים בגירים משני הורים שאין להם אפוטרופוס מגדל, יכולה משפחה מלווה לקבל תגמול:</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פרמטר</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פירוט</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סכום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2,000 ₪ לחודש למשפחה מלווה</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גיל היתום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18–25</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מקסימום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שתי משפחות מלוות לכל היותר</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מי קובע?</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היתום מצהיר מי המשפחה המלווה. רשאי לשנות פעם בשנה</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אם היתום לא הצהיר</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פקיד תביעות מחליט (לפי מקום מגורים / אפוטרופוס לשעבר)</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סמכות עקיפה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פקיד תביעות רשאי לשנות אם זה לטובת היתום (הגנה מלחץ)</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חידוש</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פעם בשנה ניתן לעבור בין משפחה מלווה לאחרת</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אינו אוטומטי</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יש לבצע פתיחת תוכנית – לא משולם באופן אוטומטי</w:t>
            </w:r>
          </w:p>
        </w:tc>
      </w:tr>
    </w:tbl>
    <w:p>
      <w:pPr>
        <w:spacing w:after="40" w:before="40"/>
      </w:pPr>
      <w:r>
        <w:t xml:space="preserve"/>
      </w:r>
    </w:p>
    <w:p>
      <w:pPr>
        <w:bidi/>
        <w:spacing w:after="80" w:before="80"/>
        <w:ind w:left="300"/>
        <w:jc w:val="right"/>
      </w:pPr>
      <w:r>
        <w:rPr>
          <w:rFonts w:ascii="Arial" w:cs="Arial" w:eastAsia="Arial" w:hAnsi="Arial"/>
          <w:i/>
          <w:iCs/>
          <w:color w:val="843C0C"/>
          <w:sz w:val="21"/>
          <w:szCs w:val="21"/>
        </w:rPr>
        <w:t xml:space="preserve">⚠️  לחץ מצד משפחות: עובד שיקום רשאי להתערב ולקבוע מי המשפחה המלווה, כהגנה על היתום.</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2. מענקים מיוחדים ליתומים משני הורים</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מענק</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פירוט</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מענק התארגנות</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100,255 ₪ – בגיל 18 (אוטומטי)</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מענק נוסף (לפני 2000)</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200,000 ₪ למי שהתייתם לפני 01.10.2000 (אוטומטי)</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הלוואה לעסק ראשון</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103,446 ₪</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הלוואה לביסוס עסק קיים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22,120 ₪</w:t>
            </w:r>
          </w:p>
        </w:tc>
      </w:tr>
    </w:tbl>
    <w:p>
      <w:pPr>
        <w:spacing w:after="40" w:before="40"/>
      </w:pPr>
      <w:r>
        <w:t xml:space="preserve"/>
      </w:r>
    </w:p>
    <w:p>
      <w:pPr>
        <w:bidi/>
        <w:spacing w:after="100" w:before="320"/>
        <w:jc w:val="right"/>
      </w:pPr>
      <w:r>
        <w:rPr>
          <w:rFonts w:ascii="Arial" w:cs="Arial" w:eastAsia="Arial" w:hAnsi="Arial"/>
          <w:b/>
          <w:bCs/>
          <w:color w:val="2E75B6"/>
          <w:sz w:val="28"/>
          <w:szCs w:val="28"/>
        </w:rPr>
        <w:t xml:space="preserve">3. תגמול ליתום שרק אחד מהוריו נספה באירוע איבה</w:t>
      </w:r>
    </w:p>
    <w:p>
      <w:pPr>
        <w:bidi/>
        <w:spacing w:after="60" w:before="60"/>
        <w:jc w:val="right"/>
      </w:pPr>
      <w:r>
        <w:rPr>
          <w:rFonts w:ascii="Arial" w:cs="Arial" w:eastAsia="Arial" w:hAnsi="Arial"/>
          <w:sz w:val="22"/>
          <w:szCs w:val="22"/>
        </w:rPr>
        <w:t xml:space="preserve">יתום שהתייתם משני הוריו, כאשר רק אחד מהם נספה באיבה:</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פרמטר</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פירוט</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סכום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8,665.75 ₪ לחודש (שיעור יתום עצמאי)</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משך</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13 שנים או עד גיל 50 – לפי המוקדם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תחילת תשלום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מגיל 21 או ממות ההורה השני – לפי המאוחר</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לאחר 13 שנים (לפני גיל 40)</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2,000 ₪ לחודש עד גיל 40</w:t>
            </w:r>
          </w:p>
        </w:tc>
      </w:tr>
    </w:tbl>
    <w:p>
      <w:pPr>
        <w:spacing w:after="40" w:before="40"/>
      </w:pPr>
      <w:r>
        <w:t xml:space="preserve"/>
      </w:r>
    </w:p>
    <w:p>
      <w:pPr>
        <w:bidi/>
        <w:spacing w:after="60" w:before="60"/>
        <w:jc w:val="right"/>
      </w:pPr>
      <w:r>
        <w:rPr>
          <w:rFonts w:ascii="Arial" w:cs="Arial" w:eastAsia="Arial" w:hAnsi="Arial"/>
          <w:sz w:val="22"/>
          <w:szCs w:val="22"/>
        </w:rPr>
        <w:t xml:space="preserve">דוגמה: יתום שהורה ראשון נפטר בגיל 18, הורה שני נהרג באיבה בגיל 22 – יקבל תגמול עד גיל 35 (22+13).</w:t>
      </w:r>
    </w:p>
    <w:p>
      <w:pPr>
        <w:spacing w:after="40" w:before="40"/>
      </w:pPr>
      <w:r>
        <w:t xml:space="preserve"/>
      </w:r>
    </w:p>
    <w:p>
      <w:r>
        <w:br w:type="page"/>
      </w:r>
    </w:p>
    <w:p>
      <w:pPr>
        <w:pBdr>
          <w:bottom w:val="single" w:color="1F4E79" w:sz="8" w:space="4"/>
        </w:pBdr>
        <w:bidi/>
        <w:spacing w:after="160" w:before="480"/>
        <w:jc w:val="right"/>
      </w:pPr>
      <w:r>
        <w:rPr>
          <w:rFonts w:ascii="Arial" w:cs="Arial" w:eastAsia="Arial" w:hAnsi="Arial"/>
          <w:b/>
          <w:bCs/>
          <w:color w:val="1F4E79"/>
          <w:sz w:val="36"/>
          <w:szCs w:val="36"/>
        </w:rPr>
        <w:t xml:space="preserve">ד. אלמנות ואלמנים</w:t>
      </w:r>
    </w:p>
    <w:p>
      <w:pPr>
        <w:bidi/>
        <w:spacing w:after="100" w:before="320"/>
        <w:jc w:val="right"/>
      </w:pPr>
      <w:r>
        <w:rPr>
          <w:rFonts w:ascii="Arial" w:cs="Arial" w:eastAsia="Arial" w:hAnsi="Arial"/>
          <w:b/>
          <w:bCs/>
          <w:color w:val="2E75B6"/>
          <w:sz w:val="28"/>
          <w:szCs w:val="28"/>
        </w:rPr>
        <w:t xml:space="preserve">1. תגמולים חודשיים – תוספת עבור ילדים קטנים</w:t>
      </w:r>
    </w:p>
    <w:p>
      <w:pPr>
        <w:bidi/>
        <w:spacing w:after="60" w:before="60"/>
        <w:jc w:val="right"/>
      </w:pPr>
      <w:r>
        <w:rPr>
          <w:rFonts w:ascii="Arial" w:cs="Arial" w:eastAsia="Arial" w:hAnsi="Arial"/>
          <w:sz w:val="22"/>
          <w:szCs w:val="22"/>
        </w:rPr>
        <w:t xml:space="preserve">תוספת לתגמול החודשי הרגיל עבור יתום עד גיל 6 (משולמת אוטומטית):</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גיל הילד</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תוספת חודשית</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לידה עד 3 חודשים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6,000 ₪</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3 חודשים עד 3 שנים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3,000 ₪</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3 שנים עד 6 שנים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1,500 ₪</w:t>
            </w:r>
          </w:p>
        </w:tc>
      </w:tr>
    </w:tbl>
    <w:p>
      <w:pPr>
        <w:spacing w:after="40" w:before="40"/>
      </w:pPr>
      <w:r>
        <w:t xml:space="preserve"/>
      </w:r>
    </w:p>
    <w:p>
      <w:pPr>
        <w:bidi/>
        <w:spacing w:after="60" w:before="60"/>
        <w:ind w:left="300"/>
        <w:jc w:val="right"/>
      </w:pPr>
      <w:r>
        <w:rPr>
          <w:rFonts w:ascii="Arial" w:cs="Arial" w:eastAsia="Arial" w:hAnsi="Arial"/>
          <w:i/>
          <w:iCs/>
          <w:color w:val="2E75B6"/>
          <w:sz w:val="20"/>
          <w:szCs w:val="20"/>
        </w:rPr>
        <w:t xml:space="preserve">ℹ️  תחולה גם על אפוטרופוסים ומאמצים ליתומים משני הורים.</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2. מענק מיוחד לשנה הראשונה להתאלמנות</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6"/>
              <w:left w:val="single" w:color="375623" w:sz="6"/>
              <w:bottom w:val="single" w:color="375623" w:sz="6"/>
              <w:right w:val="single" w:color="375623" w:sz="6"/>
            </w:tcBorders>
            <w:shd w:fill="E2EFDA" w:val="clear"/>
            <w:tcMar>
              <w:top w:type="dxa" w:w="120"/>
              <w:left w:type="dxa" w:w="180"/>
              <w:bottom w:type="dxa" w:w="120"/>
              <w:right w:type="dxa" w:w="180"/>
            </w:tcMar>
          </w:tcPr>
          <w:p>
            <w:pPr>
              <w:bidi/>
              <w:spacing w:after="80"/>
              <w:jc w:val="right"/>
            </w:pPr>
            <w:r>
              <w:rPr>
                <w:rFonts w:ascii="Arial" w:cs="Arial" w:eastAsia="Arial" w:hAnsi="Arial"/>
                <w:b/>
                <w:bCs/>
                <w:color w:val="375623"/>
                <w:sz w:val="24"/>
                <w:szCs w:val="24"/>
              </w:rPr>
              <w:t xml:space="preserve">💙 מענק שנת אבל – פרטים</w:t>
            </w:r>
          </w:p>
          <w:p>
            <w:pPr>
              <w:bidi/>
              <w:spacing w:after="30" w:before="30"/>
              <w:jc w:val="right"/>
            </w:pPr>
            <w:r>
              <w:rPr>
                <w:rFonts w:ascii="Arial" w:cs="Arial" w:eastAsia="Arial" w:hAnsi="Arial"/>
                <w:sz w:val="22"/>
                <w:szCs w:val="22"/>
              </w:rPr>
              <w:t xml:space="preserve">סכום: שכר ממוצע במשק × 12 חודשים</w:t>
            </w:r>
          </w:p>
          <w:p>
            <w:pPr>
              <w:bidi/>
              <w:spacing w:after="30" w:before="30"/>
              <w:jc w:val="right"/>
            </w:pPr>
            <w:r>
              <w:rPr>
                <w:rFonts w:ascii="Arial" w:cs="Arial" w:eastAsia="Arial" w:hAnsi="Arial"/>
                <w:sz w:val="22"/>
                <w:szCs w:val="22"/>
              </w:rPr>
              <w:t xml:space="preserve">משולם: מהחודש שלאחר חודש ההתאלמנות</w:t>
            </w:r>
          </w:p>
          <w:p>
            <w:pPr>
              <w:bidi/>
              <w:spacing w:after="30" w:before="30"/>
              <w:jc w:val="right"/>
            </w:pPr>
            <w:r>
              <w:rPr>
                <w:rFonts w:ascii="Arial" w:cs="Arial" w:eastAsia="Arial" w:hAnsi="Arial"/>
                <w:sz w:val="22"/>
                <w:szCs w:val="22"/>
              </w:rPr>
              <w:t xml:space="preserve">משך: 12 חודשים רצופים</w:t>
            </w:r>
          </w:p>
          <w:p>
            <w:pPr>
              <w:bidi/>
              <w:spacing w:after="30" w:before="30"/>
              <w:jc w:val="right"/>
            </w:pPr>
            <w:r>
              <w:rPr>
                <w:rFonts w:ascii="Arial" w:cs="Arial" w:eastAsia="Arial" w:hAnsi="Arial"/>
                <w:sz w:val="22"/>
                <w:szCs w:val="22"/>
              </w:rPr>
              <w:t xml:space="preserve">תחולה רטרואקטיבית: מ-07.10.2023 – כלל אלמנות שנפגעו מאז זכאיות</w:t>
            </w:r>
          </w:p>
        </w:tc>
      </w:tr>
    </w:tbl>
    <w:p>
      <w:pPr>
        <w:spacing w:after="40" w:before="40"/>
      </w:pPr>
      <w:r>
        <w:t xml:space="preserve"/>
      </w:r>
    </w:p>
    <w:p>
      <w:pPr>
        <w:bidi/>
        <w:spacing w:after="100" w:before="320"/>
        <w:jc w:val="right"/>
      </w:pPr>
      <w:r>
        <w:rPr>
          <w:rFonts w:ascii="Arial" w:cs="Arial" w:eastAsia="Arial" w:hAnsi="Arial"/>
          <w:b/>
          <w:bCs/>
          <w:color w:val="2E75B6"/>
          <w:sz w:val="28"/>
          <w:szCs w:val="28"/>
        </w:rPr>
        <w:t xml:space="preserve">3. תוכנית תל"א – ליווי אישי ליתומים</w:t>
      </w:r>
    </w:p>
    <w:p>
      <w:pPr>
        <w:bidi/>
        <w:spacing w:after="60" w:before="60"/>
        <w:jc w:val="right"/>
      </w:pPr>
      <w:r>
        <w:rPr>
          <w:rFonts w:ascii="Arial" w:cs="Arial" w:eastAsia="Arial" w:hAnsi="Arial"/>
          <w:sz w:val="22"/>
          <w:szCs w:val="22"/>
        </w:rPr>
        <w:t xml:space="preserve">ראה פירוט מלא בסעיף ב.6 לעיל. התוכנית מנוהלת על שם האלמנה בעד כל יתום.</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4. שיעורי עזר ליתומים</w:t>
      </w:r>
    </w:p>
    <w:p>
      <w:pPr>
        <w:bidi/>
        <w:spacing w:after="60" w:before="60"/>
        <w:jc w:val="right"/>
      </w:pPr>
      <w:r>
        <w:rPr>
          <w:rFonts w:ascii="Arial" w:cs="Arial" w:eastAsia="Arial" w:hAnsi="Arial"/>
          <w:sz w:val="22"/>
          <w:szCs w:val="22"/>
        </w:rPr>
        <w:t xml:space="preserve">2,500 ₪ לשנה לכל יתום בלימודי חובה (כיתות א'–י"ב). נדרשת המלצת גורם מקצועי.</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5. הטבות נוספות לאלמנות</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הטבה</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פירוט</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רכישת רכב משומש</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גם רכב משומש – גובה המענק כמענק החלפת רכב חדש (לאלמנה בעלת רישיון)</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טיפולי פוריות / פונדקאות</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סיוע חד-פעמי עד כ-25,000 ₪</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מעלון לדירת מגורים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51,427 ₪ – פעם בעשר שנים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התערבות לרווחה רגשית</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162 טיפולים – ראה סעיף ב.5</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ועדת למ"ד</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דיון במקרים חריגים – שיקולים סוציו-אקונומיים, הומניטריים, שיקומיים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מענקי מצוקה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ראה סעיף ח' להלן</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מענקים ומלווה לדיור</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ראה סעיף ט' להלן</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סיוע להעסקת מטפלת</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לאלמנות עם ילדים עד גיל 6 – בהתאם לגיל הילד</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סיוע בהגעה לאזכרה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הגעה בתוך ישראל לאזכרה הלאומית או הפרטית</w:t>
            </w:r>
          </w:p>
        </w:tc>
      </w:tr>
    </w:tbl>
    <w:p>
      <w:pPr>
        <w:spacing w:after="40" w:before="40"/>
      </w:pPr>
      <w:r>
        <w:t xml:space="preserve"/>
      </w:r>
    </w:p>
    <w:p>
      <w:r>
        <w:br w:type="page"/>
      </w:r>
    </w:p>
    <w:p>
      <w:pPr>
        <w:pBdr>
          <w:bottom w:val="single" w:color="1F4E79" w:sz="8" w:space="4"/>
        </w:pBdr>
        <w:bidi/>
        <w:spacing w:after="160" w:before="480"/>
        <w:jc w:val="right"/>
      </w:pPr>
      <w:r>
        <w:rPr>
          <w:rFonts w:ascii="Arial" w:cs="Arial" w:eastAsia="Arial" w:hAnsi="Arial"/>
          <w:b/>
          <w:bCs/>
          <w:color w:val="1F4E79"/>
          <w:sz w:val="36"/>
          <w:szCs w:val="36"/>
        </w:rPr>
        <w:t xml:space="preserve">ה. הורים שכולים</w:t>
      </w:r>
    </w:p>
    <w:p>
      <w:pPr>
        <w:bidi/>
        <w:spacing w:after="100" w:before="320"/>
        <w:jc w:val="right"/>
      </w:pPr>
      <w:r>
        <w:rPr>
          <w:rFonts w:ascii="Arial" w:cs="Arial" w:eastAsia="Arial" w:hAnsi="Arial"/>
          <w:b/>
          <w:bCs/>
          <w:color w:val="2E75B6"/>
          <w:sz w:val="28"/>
          <w:szCs w:val="28"/>
        </w:rPr>
        <w:t xml:space="preserve">1. תוספת תגמול עבור פעוטות</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תנאי</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פירוט</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סכום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2,500 ₪ לחודש לכל ילד עד גיל 3</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מי הילד?</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אח/אחות של הנספה</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תנאי לידה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נולד עד 5 שנים מיום פטירת הנספה</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גרושים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ההורה שמרבית שעות השהות עם הילד</w:t>
            </w:r>
          </w:p>
        </w:tc>
      </w:tr>
    </w:tbl>
    <w:p>
      <w:pPr>
        <w:spacing w:after="40" w:before="40"/>
      </w:pPr>
      <w:r>
        <w:t xml:space="preserve"/>
      </w:r>
    </w:p>
    <w:p>
      <w:pPr>
        <w:bidi/>
        <w:spacing w:after="100" w:before="320"/>
        <w:jc w:val="right"/>
      </w:pPr>
      <w:r>
        <w:rPr>
          <w:rFonts w:ascii="Arial" w:cs="Arial" w:eastAsia="Arial" w:hAnsi="Arial"/>
          <w:b/>
          <w:bCs/>
          <w:color w:val="2E75B6"/>
          <w:sz w:val="28"/>
          <w:szCs w:val="28"/>
        </w:rPr>
        <w:t xml:space="preserve">2. הטבות נוספות להורים שכולים</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הטבה</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פירוט</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לימודי העשרה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פעם אחת לכל החיים – עד גובה שכ"ל אוניברסיטאי לשנה</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מעלון לדירת מגורים</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51,427 ₪ – פעם בעשר שנים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התערבות לרווחה רגשית</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162 טיפולים – ראה פירוט בסעיף ב.5</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ועדת למ"ד</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דיון במקרים חריגים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מענקי מצוקה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ראה סעיף ח' להלן</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מענקים ומלווה לדיור</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הגדלה משמעותית – ראה סעיף ט' להלן</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סיוע בהגעה לאזכרה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הגעה בתוך ישראל לאזכרה הלאומית או הפרטית</w:t>
            </w:r>
          </w:p>
        </w:tc>
      </w:tr>
    </w:tbl>
    <w:p>
      <w:pPr>
        <w:spacing w:after="40" w:before="40"/>
      </w:pPr>
      <w:r>
        <w:t xml:space="preserve"/>
      </w:r>
    </w:p>
    <w:p>
      <w:r>
        <w:br w:type="page"/>
      </w:r>
    </w:p>
    <w:p>
      <w:pPr>
        <w:pBdr>
          <w:bottom w:val="single" w:color="1F4E79" w:sz="8" w:space="4"/>
        </w:pBdr>
        <w:bidi/>
        <w:spacing w:after="160" w:before="480"/>
        <w:jc w:val="right"/>
      </w:pPr>
      <w:r>
        <w:rPr>
          <w:rFonts w:ascii="Arial" w:cs="Arial" w:eastAsia="Arial" w:hAnsi="Arial"/>
          <w:b/>
          <w:bCs/>
          <w:color w:val="1F4E79"/>
          <w:sz w:val="36"/>
          <w:szCs w:val="36"/>
        </w:rPr>
        <w:t xml:space="preserve">ו. אחים שכולים</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הטבה</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פירוט</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התערבות לרווחה רגשית</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162 טיפולים – ראה פירוט בסעיף ב.5 (כולל אפשרות במקביל לטיפול נפשי)</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סיוע בהגעה לאזכרה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מטה אגף איבה רשאי לאשר לאחי החלל – לפי בקשה</w:t>
            </w:r>
          </w:p>
        </w:tc>
      </w:tr>
    </w:tbl>
    <w:p>
      <w:pPr>
        <w:spacing w:after="40" w:before="40"/>
      </w:pPr>
      <w:r>
        <w:t xml:space="preserve"/>
      </w:r>
    </w:p>
    <w:p>
      <w:pPr>
        <w:bidi/>
        <w:spacing w:after="60" w:before="60"/>
        <w:ind w:left="300"/>
        <w:jc w:val="right"/>
      </w:pPr>
      <w:r>
        <w:rPr>
          <w:rFonts w:ascii="Arial" w:cs="Arial" w:eastAsia="Arial" w:hAnsi="Arial"/>
          <w:i/>
          <w:iCs/>
          <w:color w:val="2E75B6"/>
          <w:sz w:val="20"/>
          <w:szCs w:val="20"/>
        </w:rPr>
        <w:t xml:space="preserve">ℹ️  לאחים שכולים אין כרגע שינויים בקצבאות הבסיסיות שלהם במסגרת תיקון 47.</w:t>
      </w:r>
    </w:p>
    <w:p>
      <w:pPr>
        <w:spacing w:after="40" w:before="40"/>
      </w:pPr>
      <w:r>
        <w:t xml:space="preserve"/>
      </w:r>
    </w:p>
    <w:p>
      <w:r>
        <w:br w:type="page"/>
      </w:r>
    </w:p>
    <w:p>
      <w:pPr>
        <w:pBdr>
          <w:bottom w:val="single" w:color="1F4E79" w:sz="8" w:space="4"/>
        </w:pBdr>
        <w:bidi/>
        <w:spacing w:after="160" w:before="480"/>
        <w:jc w:val="right"/>
      </w:pPr>
      <w:r>
        <w:rPr>
          <w:rFonts w:ascii="Arial" w:cs="Arial" w:eastAsia="Arial" w:hAnsi="Arial"/>
          <w:b/>
          <w:bCs/>
          <w:color w:val="1F4E79"/>
          <w:sz w:val="36"/>
          <w:szCs w:val="36"/>
        </w:rPr>
        <w:t xml:space="preserve">ז. ילדו של נספה ("יתום בוגר" – התייתם לאחר גיל 30)</w:t>
      </w:r>
    </w:p>
    <w:p>
      <w:pPr>
        <w:spacing w:after="40" w:before="40"/>
      </w:pPr>
      <w:r>
        <w:t xml:space="preserve"/>
      </w:r>
    </w:p>
    <w:p>
      <w:pPr>
        <w:bidi/>
        <w:spacing w:after="60" w:before="60"/>
        <w:jc w:val="right"/>
      </w:pPr>
      <w:r>
        <w:rPr>
          <w:rFonts w:ascii="Arial" w:cs="Arial" w:eastAsia="Arial" w:hAnsi="Arial"/>
          <w:sz w:val="22"/>
          <w:szCs w:val="22"/>
        </w:rPr>
        <w:t xml:space="preserve">מי שהתייתם מעל גיל 30, או מי שהתייתם מעל גיל 21 וביום 01.02.2026 הוא מעל גיל 30 – מוגדר "ילדו של נספה" ולא "יתום" לפי החוק.</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43C0C" w:sz="6"/>
              <w:left w:val="single" w:color="843C0C" w:sz="6"/>
              <w:bottom w:val="single" w:color="843C0C" w:sz="6"/>
              <w:right w:val="single" w:color="843C0C" w:sz="6"/>
            </w:tcBorders>
            <w:shd w:fill="FCE4D6" w:val="clear"/>
            <w:tcMar>
              <w:top w:type="dxa" w:w="120"/>
              <w:left w:type="dxa" w:w="180"/>
              <w:bottom w:type="dxa" w:w="120"/>
              <w:right w:type="dxa" w:w="180"/>
            </w:tcMar>
          </w:tcPr>
          <w:p>
            <w:pPr>
              <w:bidi/>
              <w:spacing w:after="80"/>
              <w:jc w:val="right"/>
            </w:pPr>
            <w:r>
              <w:rPr>
                <w:rFonts w:ascii="Arial" w:cs="Arial" w:eastAsia="Arial" w:hAnsi="Arial"/>
                <w:b/>
                <w:bCs/>
                <w:color w:val="843C0C"/>
                <w:sz w:val="24"/>
                <w:szCs w:val="24"/>
              </w:rPr>
              <w:t xml:space="preserve">⚠️ זכויות ילדו של נספה – מה כן ומה לא</w:t>
            </w:r>
          </w:p>
          <w:p>
            <w:pPr>
              <w:bidi/>
              <w:spacing w:after="30" w:before="30"/>
              <w:jc w:val="right"/>
            </w:pPr>
            <w:r>
              <w:rPr>
                <w:rFonts w:ascii="Arial" w:cs="Arial" w:eastAsia="Arial" w:hAnsi="Arial"/>
                <w:sz w:val="22"/>
                <w:szCs w:val="22"/>
              </w:rPr>
              <w:t xml:space="preserve">כן: 162 טיפולי התערבות לרווחה רגשית</w:t>
            </w:r>
          </w:p>
          <w:p>
            <w:pPr>
              <w:bidi/>
              <w:spacing w:after="30" w:before="30"/>
              <w:jc w:val="right"/>
            </w:pPr>
            <w:r>
              <w:rPr>
                <w:rFonts w:ascii="Arial" w:cs="Arial" w:eastAsia="Arial" w:hAnsi="Arial"/>
                <w:sz w:val="22"/>
                <w:szCs w:val="22"/>
              </w:rPr>
              <w:t xml:space="preserve">כן: סיוע בהגעה לאזכרה</w:t>
            </w:r>
          </w:p>
          <w:p>
            <w:pPr>
              <w:bidi/>
              <w:spacing w:after="30" w:before="30"/>
              <w:jc w:val="right"/>
            </w:pPr>
            <w:r>
              <w:rPr>
                <w:rFonts w:ascii="Arial" w:cs="Arial" w:eastAsia="Arial" w:hAnsi="Arial"/>
                <w:sz w:val="22"/>
                <w:szCs w:val="22"/>
              </w:rPr>
              <w:t xml:space="preserve">כן: ועדת למ"ד – יכולה לדון במקרים חריגים</w:t>
            </w:r>
          </w:p>
          <w:p>
            <w:pPr>
              <w:bidi/>
              <w:spacing w:after="30" w:before="30"/>
              <w:jc w:val="right"/>
            </w:pPr>
            <w:r>
              <w:rPr>
                <w:rFonts w:ascii="Arial" w:cs="Arial" w:eastAsia="Arial" w:hAnsi="Arial"/>
                <w:sz w:val="22"/>
                <w:szCs w:val="22"/>
              </w:rPr>
              <w:t xml:space="preserve">לא: תגמולים חודשיים</w:t>
            </w:r>
          </w:p>
          <w:p>
            <w:pPr>
              <w:bidi/>
              <w:spacing w:after="30" w:before="30"/>
              <w:jc w:val="right"/>
            </w:pPr>
            <w:r>
              <w:rPr>
                <w:rFonts w:ascii="Arial" w:cs="Arial" w:eastAsia="Arial" w:hAnsi="Arial"/>
                <w:sz w:val="22"/>
                <w:szCs w:val="22"/>
              </w:rPr>
              <w:t xml:space="preserve">לא: תל"א</w:t>
            </w:r>
          </w:p>
          <w:p>
            <w:pPr>
              <w:bidi/>
              <w:spacing w:after="30" w:before="30"/>
              <w:jc w:val="right"/>
            </w:pPr>
            <w:r>
              <w:rPr>
                <w:rFonts w:ascii="Arial" w:cs="Arial" w:eastAsia="Arial" w:hAnsi="Arial"/>
                <w:sz w:val="22"/>
                <w:szCs w:val="22"/>
              </w:rPr>
              <w:t xml:space="preserve">לא: מענקי נישואין/דיור</w:t>
            </w:r>
          </w:p>
          <w:p>
            <w:pPr>
              <w:bidi/>
              <w:spacing w:after="30" w:before="30"/>
              <w:jc w:val="right"/>
            </w:pPr>
            <w:r>
              <w:rPr>
                <w:rFonts w:ascii="Arial" w:cs="Arial" w:eastAsia="Arial" w:hAnsi="Arial"/>
                <w:sz w:val="22"/>
                <w:szCs w:val="22"/>
              </w:rPr>
              <w:t xml:space="preserve">לא: שיקום מקצועי ולימודים</w:t>
            </w:r>
          </w:p>
        </w:tc>
      </w:tr>
    </w:tbl>
    <w:p>
      <w:pPr>
        <w:spacing w:after="40" w:before="40"/>
      </w:pPr>
      <w:r>
        <w:t xml:space="preserve"/>
      </w:r>
    </w:p>
    <w:p>
      <w:r>
        <w:br w:type="page"/>
      </w:r>
    </w:p>
    <w:p>
      <w:pPr>
        <w:pBdr>
          <w:bottom w:val="single" w:color="1F4E79" w:sz="8" w:space="4"/>
        </w:pBdr>
        <w:bidi/>
        <w:spacing w:after="160" w:before="480"/>
        <w:jc w:val="right"/>
      </w:pPr>
      <w:r>
        <w:rPr>
          <w:rFonts w:ascii="Arial" w:cs="Arial" w:eastAsia="Arial" w:hAnsi="Arial"/>
          <w:b/>
          <w:bCs/>
          <w:color w:val="1F4E79"/>
          <w:sz w:val="36"/>
          <w:szCs w:val="36"/>
        </w:rPr>
        <w:t xml:space="preserve">ח. יתום שאינו עומד ברשות עצמו (מעל גיל 21)</w:t>
      </w:r>
    </w:p>
    <w:p>
      <w:pPr>
        <w:spacing w:after="40" w:before="40"/>
      </w:pPr>
      <w:r>
        <w:t xml:space="preserve"/>
      </w:r>
    </w:p>
    <w:p>
      <w:pPr>
        <w:bidi/>
        <w:spacing w:after="60" w:before="60"/>
        <w:jc w:val="right"/>
      </w:pPr>
      <w:r>
        <w:rPr>
          <w:rFonts w:ascii="Arial" w:cs="Arial" w:eastAsia="Arial" w:hAnsi="Arial"/>
          <w:sz w:val="22"/>
          <w:szCs w:val="22"/>
        </w:rPr>
        <w:t xml:space="preserve">מי הם? מדובר ביתומים שמקבלים קצבת נכות כללית עקב: פיגור שכלי, אוטיזם, מצב נפשי קשה שהיה קיים לפני מות ההורה, מצב פיזי קשה (כגון כיסא גלגלים). מדובר במספר עשרות מקרים בלבד בכל הארץ. עובדי השיקום הם שהמליצו ופתחו להם תיק בעבר – הם כבר מוכרים במערכת.</w:t>
      </w:r>
    </w:p>
    <w:p>
      <w:pPr>
        <w:spacing w:after="40" w:before="40"/>
      </w:pPr>
      <w:r>
        <w:t xml:space="preserve"/>
      </w:r>
    </w:p>
    <w:p>
      <w:pPr>
        <w:bidi/>
        <w:spacing w:after="60" w:before="60"/>
        <w:jc w:val="right"/>
      </w:pPr>
      <w:r>
        <w:rPr>
          <w:rFonts w:ascii="Arial" w:cs="Arial" w:eastAsia="Arial" w:hAnsi="Arial"/>
          <w:sz w:val="22"/>
          <w:szCs w:val="22"/>
        </w:rPr>
        <w:t xml:space="preserve">תנאי הכרה: יתום מעל גיל 21 שאינו יכול לכלכל עצמו עקב מום גופני/שכלי, ואין לו הכנסה כדי מחיה (הכנסה שלא תעלה על גובה תגמול נכות בשיעור 100%).</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6"/>
              <w:left w:val="single" w:color="1F4E79" w:sz="6"/>
              <w:bottom w:val="single" w:color="1F4E79" w:sz="6"/>
              <w:right w:val="single" w:color="1F4E79" w:sz="6"/>
            </w:tcBorders>
            <w:shd w:fill="DEEAF1" w:val="clear"/>
            <w:tcMar>
              <w:top w:type="dxa" w:w="120"/>
              <w:left w:type="dxa" w:w="180"/>
              <w:bottom w:type="dxa" w:w="120"/>
              <w:right w:type="dxa" w:w="180"/>
            </w:tcMar>
          </w:tcPr>
          <w:p>
            <w:pPr>
              <w:bidi/>
              <w:spacing w:after="80"/>
              <w:jc w:val="right"/>
            </w:pPr>
            <w:r>
              <w:rPr>
                <w:rFonts w:ascii="Arial" w:cs="Arial" w:eastAsia="Arial" w:hAnsi="Arial"/>
                <w:b/>
                <w:bCs/>
                <w:color w:val="1F4E79"/>
                <w:sz w:val="24"/>
                <w:szCs w:val="24"/>
              </w:rPr>
              <w:t xml:space="preserve">👤 זכויות יתום שאינו עומד ברשות עצמו</w:t>
            </w:r>
          </w:p>
          <w:p>
            <w:pPr>
              <w:bidi/>
              <w:spacing w:after="30" w:before="30"/>
              <w:jc w:val="right"/>
            </w:pPr>
            <w:r>
              <w:rPr>
                <w:rFonts w:ascii="Arial" w:cs="Arial" w:eastAsia="Arial" w:hAnsi="Arial"/>
                <w:sz w:val="22"/>
                <w:szCs w:val="22"/>
              </w:rPr>
              <w:t xml:space="preserve">תגמול חודשי: 8,665.75 ₪ – ללא הגבלת גיל (לכל החיים)</w:t>
            </w:r>
          </w:p>
          <w:p>
            <w:pPr>
              <w:bidi/>
              <w:spacing w:after="30" w:before="30"/>
              <w:jc w:val="right"/>
            </w:pPr>
            <w:r>
              <w:rPr>
                <w:rFonts w:ascii="Arial" w:cs="Arial" w:eastAsia="Arial" w:hAnsi="Arial"/>
                <w:sz w:val="22"/>
                <w:szCs w:val="22"/>
              </w:rPr>
              <w:t xml:space="preserve">תוכנית ליווי אישי: 3,000 ₪ לשנה (מתחדש, לא מצטבר)</w:t>
            </w:r>
          </w:p>
          <w:p>
            <w:pPr>
              <w:bidi/>
              <w:spacing w:after="30" w:before="30"/>
              <w:jc w:val="right"/>
            </w:pPr>
            <w:r>
              <w:rPr>
                <w:rFonts w:ascii="Arial" w:cs="Arial" w:eastAsia="Arial" w:hAnsi="Arial"/>
                <w:sz w:val="22"/>
                <w:szCs w:val="22"/>
              </w:rPr>
              <w:t xml:space="preserve">הזכאות נבחנת בגיל 21 או בגיל ההתייתמות (עד גיל 30) – לפי המאוחר</w:t>
            </w:r>
          </w:p>
          <w:p>
            <w:pPr>
              <w:bidi/>
              <w:spacing w:after="30" w:before="30"/>
              <w:jc w:val="right"/>
            </w:pPr>
            <w:r>
              <w:rPr>
                <w:rFonts w:ascii="Arial" w:cs="Arial" w:eastAsia="Arial" w:hAnsi="Arial"/>
                <w:sz w:val="22"/>
                <w:szCs w:val="22"/>
              </w:rPr>
              <w:t xml:space="preserve">יתום במוסד/הוסטל ממומן מדינה: זכאי ל-20% מהתגמול בלבד (דמי כיס)</w:t>
            </w:r>
          </w:p>
          <w:p>
            <w:pPr>
              <w:bidi/>
              <w:spacing w:after="30" w:before="30"/>
              <w:jc w:val="right"/>
            </w:pPr>
            <w:r>
              <w:rPr>
                <w:rFonts w:ascii="Arial" w:cs="Arial" w:eastAsia="Arial" w:hAnsi="Arial"/>
                <w:sz w:val="22"/>
                <w:szCs w:val="22"/>
              </w:rPr>
              <w:t xml:space="preserve">מה כולל ליווי של 3,000 ₪ לשנה: ליווי, אוריינטציה, חוגים מתאימים – כל דבר שתומך בצרכי הנכות</w:t>
            </w:r>
          </w:p>
        </w:tc>
      </w:tr>
    </w:tbl>
    <w:p>
      <w:pPr>
        <w:spacing w:after="40" w:before="40"/>
      </w:pPr>
      <w:r>
        <w:t xml:space="preserve"/>
      </w:r>
    </w:p>
    <w:p>
      <w:pPr>
        <w:bidi/>
        <w:spacing w:after="80" w:before="80"/>
        <w:ind w:left="300"/>
        <w:jc w:val="right"/>
      </w:pPr>
      <w:r>
        <w:rPr>
          <w:rFonts w:ascii="Arial" w:cs="Arial" w:eastAsia="Arial" w:hAnsi="Arial"/>
          <w:i/>
          <w:iCs/>
          <w:color w:val="843C0C"/>
          <w:sz w:val="21"/>
          <w:szCs w:val="21"/>
        </w:rPr>
        <w:t xml:space="preserve">⚠️  יתומים אלה אינם זכאים לסל שיקום תעסוקתי – יש לוודא שאינם מוגדרים בכפל.</w:t>
      </w:r>
    </w:p>
    <w:p>
      <w:pPr>
        <w:bidi/>
        <w:spacing w:after="60" w:before="60"/>
        <w:ind w:left="300"/>
        <w:jc w:val="right"/>
      </w:pPr>
      <w:r>
        <w:rPr>
          <w:rFonts w:ascii="Arial" w:cs="Arial" w:eastAsia="Arial" w:hAnsi="Arial"/>
          <w:i/>
          <w:iCs/>
          <w:color w:val="2E75B6"/>
          <w:sz w:val="20"/>
          <w:szCs w:val="20"/>
        </w:rPr>
        <w:t xml:space="preserve">ℹ️  הכרה בסטטוס זה נעשית על ידי ועדה משותפת בין אגף איבה לאגף שיקום. אין צורך לפתוח הגדרה חדשה – אלה יתומים שכבר קיימים במערכת. בתיק שלהם מופיע הסטטוס באופן בולט.</w:t>
      </w:r>
    </w:p>
    <w:p>
      <w:pPr>
        <w:spacing w:after="40" w:before="40"/>
      </w:pPr>
      <w:r>
        <w:t xml:space="preserve"/>
      </w:r>
    </w:p>
    <w:p>
      <w:r>
        <w:br w:type="page"/>
      </w:r>
    </w:p>
    <w:p>
      <w:pPr>
        <w:pBdr>
          <w:bottom w:val="single" w:color="1F4E79" w:sz="8" w:space="4"/>
        </w:pBdr>
        <w:bidi/>
        <w:spacing w:after="160" w:before="480"/>
        <w:jc w:val="right"/>
      </w:pPr>
      <w:r>
        <w:rPr>
          <w:rFonts w:ascii="Arial" w:cs="Arial" w:eastAsia="Arial" w:hAnsi="Arial"/>
          <w:b/>
          <w:bCs/>
          <w:color w:val="1F4E79"/>
          <w:sz w:val="36"/>
          <w:szCs w:val="36"/>
        </w:rPr>
        <w:t xml:space="preserve">ט. מענק מצוקה – לכל האוכלוסיות</w:t>
      </w:r>
    </w:p>
    <w:p>
      <w:pPr>
        <w:spacing w:after="40" w:before="40"/>
      </w:pPr>
      <w:r>
        <w:t xml:space="preserve"/>
      </w:r>
    </w:p>
    <w:p>
      <w:pPr>
        <w:bidi/>
        <w:spacing w:after="60" w:before="60"/>
        <w:jc w:val="right"/>
      </w:pPr>
      <w:r>
        <w:rPr>
          <w:rFonts w:ascii="Arial" w:cs="Arial" w:eastAsia="Arial" w:hAnsi="Arial"/>
          <w:sz w:val="22"/>
          <w:szCs w:val="22"/>
        </w:rPr>
        <w:t xml:space="preserve">מיועד לשכולים, אלמנות ויתומים שנקלעו לקשיים כלכליים או הוצאות חריגות עקב אירועים מיוחדים.</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gridCol w:w="2708"/>
      </w:tblGrid>
      <w:tr>
        <w:tc>
          <w:tcPr>
            <w:tcW w:type="dxa" w:w="315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רמת אישור</w:t>
            </w:r>
          </w:p>
        </w:tc>
        <w:tc>
          <w:tcPr>
            <w:tcW w:type="dxa" w:w="315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סמכות</w:t>
            </w:r>
          </w:p>
        </w:tc>
        <w:tc>
          <w:tcPr>
            <w:tcW w:type="dxa" w:w="27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סכום מרבי</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רמה 1</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מנהל תחום (עצמאי)</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5,000 ₪</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רמה 2</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רפרנט שיקום משרד ראשי</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7,000 ₪</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רמה 3</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מנהל/ת אגף</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10,000 ₪</w:t>
            </w:r>
          </w:p>
        </w:tc>
      </w:tr>
    </w:tbl>
    <w:p>
      <w:pPr>
        <w:spacing w:after="40" w:before="40"/>
      </w:pPr>
      <w:r>
        <w:t xml:space="preserve"/>
      </w:r>
    </w:p>
    <w:p>
      <w:pPr>
        <w:bidi/>
        <w:spacing w:after="60" w:before="60"/>
        <w:ind w:left="300"/>
        <w:jc w:val="right"/>
      </w:pPr>
      <w:r>
        <w:rPr>
          <w:rFonts w:ascii="Arial" w:cs="Arial" w:eastAsia="Arial" w:hAnsi="Arial"/>
          <w:i/>
          <w:iCs/>
          <w:color w:val="2E75B6"/>
          <w:sz w:val="20"/>
          <w:szCs w:val="20"/>
        </w:rPr>
        <w:t xml:space="preserve">ℹ️  מינימום: אחת לשנתיים. אינו דורש ועדת חריגים – מסלול פנימי.</w:t>
      </w:r>
    </w:p>
    <w:p>
      <w:pPr>
        <w:bidi/>
        <w:spacing w:after="80" w:before="80"/>
        <w:ind w:left="300"/>
        <w:jc w:val="right"/>
      </w:pPr>
      <w:r>
        <w:rPr>
          <w:rFonts w:ascii="Arial" w:cs="Arial" w:eastAsia="Arial" w:hAnsi="Arial"/>
          <w:i/>
          <w:iCs/>
          <w:color w:val="843C0C"/>
          <w:sz w:val="21"/>
          <w:szCs w:val="21"/>
        </w:rPr>
        <w:t xml:space="preserve">⚠️  מצוקה כלכלית אינה מהווה תנאי סף בלבד – יש לשקול גם שיקולים הומניטריים ושיקומיים.</w:t>
      </w:r>
    </w:p>
    <w:p>
      <w:pPr>
        <w:spacing w:after="40" w:before="40"/>
      </w:pPr>
      <w:r>
        <w:t xml:space="preserve"/>
      </w:r>
    </w:p>
    <w:p>
      <w:r>
        <w:br w:type="page"/>
      </w:r>
    </w:p>
    <w:p>
      <w:pPr>
        <w:pBdr>
          <w:bottom w:val="single" w:color="1F4E79" w:sz="8" w:space="4"/>
        </w:pBdr>
        <w:bidi/>
        <w:spacing w:after="160" w:before="480"/>
        <w:jc w:val="right"/>
      </w:pPr>
      <w:r>
        <w:rPr>
          <w:rFonts w:ascii="Arial" w:cs="Arial" w:eastAsia="Arial" w:hAnsi="Arial"/>
          <w:b/>
          <w:bCs/>
          <w:color w:val="1F4E79"/>
          <w:sz w:val="36"/>
          <w:szCs w:val="36"/>
        </w:rPr>
        <w:t xml:space="preserve">י. סיוע בדיור – הגדלה משמעותית</w:t>
      </w:r>
    </w:p>
    <w:p>
      <w:pPr>
        <w:spacing w:after="40" w:before="40"/>
      </w:pPr>
      <w:r>
        <w:t xml:space="preserve"/>
      </w:r>
    </w:p>
    <w:p>
      <w:pPr>
        <w:bidi/>
        <w:spacing w:after="60" w:before="60"/>
        <w:jc w:val="right"/>
      </w:pPr>
      <w:r>
        <w:rPr>
          <w:rFonts w:ascii="Arial" w:cs="Arial" w:eastAsia="Arial" w:hAnsi="Arial"/>
          <w:sz w:val="22"/>
          <w:szCs w:val="22"/>
        </w:rPr>
        <w:t xml:space="preserve">הסכומים עודכנו משמעותית בתיקון 47. להלן עיקרי השינויים:</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gridCol w:w="2708"/>
      </w:tblGrid>
      <w:tr>
        <w:tc>
          <w:tcPr>
            <w:tcW w:type="dxa" w:w="315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סוג סיוע</w:t>
            </w:r>
          </w:p>
        </w:tc>
        <w:tc>
          <w:tcPr>
            <w:tcW w:type="dxa" w:w="315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סכום חדש</w:t>
            </w:r>
          </w:p>
        </w:tc>
        <w:tc>
          <w:tcPr>
            <w:tcW w:type="dxa" w:w="27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הערה</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דירה ראשונה – אלמנה עם ילדים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514,596 ₪ + 38,858 ₪ לכל ילד</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עלייה ניכרת</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דירה ראשונה – אלמנה ללא ילדים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298,604 ₪</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החלפת דירה – אלמנה עם ילדים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80,000 ₪ מענק</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תנאי: תמורה הנמכרת עד פטור ממס רכישה</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החלפת דירה – אלמנה ללא ילדים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40,000 ₪ מענק</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שיפוצים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59,373 ₪</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שכר דירה חודשי</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3,536–4,595 ₪</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בהתאם לאזור</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צמצום משכנתה</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268,184 ₪ + 258,036 ₪</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מעלון לדירה</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51,427 ₪ – פעם ב-10 שנים</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חדש! גם לאלמנות</w:t>
            </w:r>
          </w:p>
        </w:tc>
      </w:tr>
    </w:tbl>
    <w:p>
      <w:pPr>
        <w:spacing w:after="40" w:before="40"/>
      </w:pPr>
      <w:r>
        <w:t xml:space="preserve"/>
      </w:r>
    </w:p>
    <w:p>
      <w:pPr>
        <w:bidi/>
        <w:spacing w:after="60" w:before="60"/>
        <w:ind w:left="300"/>
        <w:jc w:val="right"/>
      </w:pPr>
      <w:r>
        <w:rPr>
          <w:rFonts w:ascii="Arial" w:cs="Arial" w:eastAsia="Arial" w:hAnsi="Arial"/>
          <w:i/>
          <w:iCs/>
          <w:color w:val="2E75B6"/>
          <w:sz w:val="20"/>
          <w:szCs w:val="20"/>
        </w:rPr>
        <w:t xml:space="preserve">ℹ️  הסכומים חלים על בקשות חדשות. בקשה שהוגשה לפני 01.02.2026 – הסכומים החדשים יחולו אלא אם הדירה כבר נמסרה ותשלום הושלם.</w:t>
      </w:r>
    </w:p>
    <w:p>
      <w:pPr>
        <w:spacing w:after="40" w:before="40"/>
      </w:pPr>
      <w:r>
        <w:t xml:space="preserve"/>
      </w:r>
    </w:p>
    <w:p>
      <w:r>
        <w:br w:type="page"/>
      </w:r>
    </w:p>
    <w:p>
      <w:pPr>
        <w:pBdr>
          <w:bottom w:val="single" w:color="1F4E79" w:sz="8" w:space="4"/>
        </w:pBdr>
        <w:bidi/>
        <w:spacing w:after="160" w:before="480"/>
        <w:jc w:val="right"/>
      </w:pPr>
      <w:r>
        <w:rPr>
          <w:rFonts w:ascii="Arial" w:cs="Arial" w:eastAsia="Arial" w:hAnsi="Arial"/>
          <w:b/>
          <w:bCs/>
          <w:color w:val="1F4E79"/>
          <w:sz w:val="36"/>
          <w:szCs w:val="36"/>
        </w:rPr>
        <w:t xml:space="preserve">יא. טבלת השוואה – לפני ואחרי תיקון 47</w:t>
      </w:r>
    </w:p>
    <w:p>
      <w:pPr>
        <w:spacing w:after="40" w:before="40"/>
      </w:pPr>
      <w:r>
        <w:t xml:space="preserve"/>
      </w:r>
    </w:p>
    <w:p>
      <w:pPr>
        <w:bidi/>
        <w:spacing w:after="60" w:before="60"/>
        <w:jc w:val="right"/>
      </w:pPr>
      <w:r>
        <w:rPr>
          <w:rFonts w:ascii="Arial" w:cs="Arial" w:eastAsia="Arial" w:hAnsi="Arial"/>
          <w:sz w:val="22"/>
          <w:szCs w:val="22"/>
        </w:rPr>
        <w:t xml:space="preserve">כל השינויים בתוקף מ-01.02.2026 (אלא אם צוין אחרת):</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gridCol w:w="2708"/>
      </w:tblGrid>
      <w:tr>
        <w:tc>
          <w:tcPr>
            <w:tcW w:type="dxa" w:w="315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נושא</w:t>
            </w:r>
          </w:p>
        </w:tc>
        <w:tc>
          <w:tcPr>
            <w:tcW w:type="dxa" w:w="315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מצב קודם</w:t>
            </w:r>
          </w:p>
        </w:tc>
        <w:tc>
          <w:tcPr>
            <w:tcW w:type="dxa" w:w="27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מצב חדש</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זכאות יתום לתגמול</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גיל 21</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3,651 ₪ עד 30 | 2,000 ₪ עד 40</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מענק נישואין ליתום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174,000 ₪</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300,000 ₪ (ניתן להמרה לדיור)</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לימודים ליתום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גיל 30</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גיל 65 (בוטל: דמי מחיה)</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התערבות רווחה רגשית</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4 סוגים בלבד</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162 טיפולים, מגוון נרחב</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התערבות + טיפול נפשי</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או-או (לא ניתן לשלב)</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גם וגם – ניתן לקבל במקביל</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שיעורי עזר ליתומים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קיים / 4,500 ₪</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2,500 ₪ לשנה + תל"א</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חוגים ליתומים קטינים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קיים (הוראה 11.3)</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בוטל – מוחלף בתל"א</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תל"א</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קיים</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50,000 ₪ לכל יתום עד גיל 21</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מענק אלמנה – שנה ראשונה</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קיים</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שכר ממוצע × 12 (מ-07.10.2023)</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רכב לאלמנה</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חדש בלבד</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גם רכב משומש</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מעלון</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קיים</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אחת ל-10 שנים (גם לאלמנות)</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טיפולי פוריות</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קיים</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כ-25,000 ₪ חד-פעמי</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הורים – תוספת פעוטות</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קיים</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2,500 ₪ לחודש עד גיל 3</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אבחון תעסוקתי ליתום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גיל 30</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עד גיל 60</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לימודי העשרה להורים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קיים / 11.3 לשנתיים</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פעם בחיים – עד שכ"ל שנה אחת</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סיוע דיור</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סכומים ישנים</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הגדלה ניכרת בכל הקטגוריות</w:t>
            </w:r>
          </w:p>
        </w:tc>
      </w:tr>
    </w:tbl>
    <w:p>
      <w:pPr>
        <w:spacing w:after="40" w:before="40"/>
      </w:pPr>
      <w:r>
        <w:t xml:space="preserve"/>
      </w:r>
    </w:p>
    <w:p>
      <w:r>
        <w:br w:type="page"/>
      </w:r>
    </w:p>
    <w:p>
      <w:pPr>
        <w:pBdr>
          <w:bottom w:val="single" w:color="1F4E79" w:sz="8" w:space="4"/>
        </w:pBdr>
        <w:bidi/>
        <w:spacing w:after="160" w:before="480"/>
        <w:jc w:val="right"/>
      </w:pPr>
      <w:r>
        <w:rPr>
          <w:rFonts w:ascii="Arial" w:cs="Arial" w:eastAsia="Arial" w:hAnsi="Arial"/>
          <w:b/>
          <w:bCs/>
          <w:color w:val="1F4E79"/>
          <w:sz w:val="36"/>
          <w:szCs w:val="36"/>
        </w:rPr>
        <w:t xml:space="preserve">יא.א. שינויים בהוראה 11.3 – מה בוטל ומה נשאר</w:t>
      </w:r>
    </w:p>
    <w:p>
      <w:pPr>
        <w:spacing w:after="40" w:before="40"/>
      </w:pPr>
      <w:r>
        <w:t xml:space="preserve"/>
      </w:r>
    </w:p>
    <w:p>
      <w:pPr>
        <w:bidi/>
        <w:spacing w:after="60" w:before="60"/>
        <w:jc w:val="right"/>
      </w:pPr>
      <w:r>
        <w:rPr>
          <w:rFonts w:ascii="Arial" w:cs="Arial" w:eastAsia="Arial" w:hAnsi="Arial"/>
          <w:sz w:val="22"/>
          <w:szCs w:val="22"/>
        </w:rPr>
        <w:t xml:space="preserve">מאחר שהמחוקק קבע חקיקה נדיבה ומפורטת עבור יתומים, הוחלט להסיר מהוראה 11.3 את כל ההטבות הספציפיות ליתומים. הטבות אלה אינן קיימות גם במשרד הביטחון.</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gridCol w:w="2708"/>
      </w:tblGrid>
      <w:tr>
        <w:tc>
          <w:tcPr>
            <w:tcW w:type="dxa" w:w="315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נושא</w:t>
            </w:r>
          </w:p>
        </w:tc>
        <w:tc>
          <w:tcPr>
            <w:tcW w:type="dxa" w:w="315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מה היה</w:t>
            </w:r>
          </w:p>
        </w:tc>
        <w:tc>
          <w:tcPr>
            <w:tcW w:type="dxa" w:w="27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מה קורה עכשיו</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חוגים ליתומים קטינים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ניתן דרך הוראה 11.3</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בוטל – מוחלף בתוכנית תלא (50,000 ₪)</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שיעורי עזר ליתומים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4,500 ₪ לשנה</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2,500 ₪ לשנה + תלא</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נימודי השארה לאלמנות</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ניתן לאישור</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עבר בחקיקה – אינו קיים</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פסיכומטרי</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ניתן לאישור</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הוסר</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לימודי העשרה לשנתיים</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ניתן דרך הוראה 11.3</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מוגבל לשנה אחת בלבד</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הנצחה</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ניתן</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אין שינוי – ממשיך כרגיל</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שיעורי נהיגה</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סיוע חלקי</w:t>
            </w:r>
          </w:p>
        </w:tc>
        <w:tc>
          <w:tcPr>
            <w:tcW w:type="dxa" w:w="2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ממשיך לפי מה שנקבע בחוק – אין השלמה מתלא</w:t>
            </w:r>
          </w:p>
        </w:tc>
      </w:tr>
    </w:tbl>
    <w:p>
      <w:pPr>
        <w:spacing w:after="40" w:before="40"/>
      </w:pPr>
      <w:r>
        <w:t xml:space="preserve"/>
      </w:r>
    </w:p>
    <w:p>
      <w:pPr>
        <w:bidi/>
        <w:spacing w:after="80" w:before="80"/>
        <w:ind w:left="300"/>
        <w:jc w:val="right"/>
      </w:pPr>
      <w:r>
        <w:rPr>
          <w:rFonts w:ascii="Arial" w:cs="Arial" w:eastAsia="Arial" w:hAnsi="Arial"/>
          <w:i/>
          <w:iCs/>
          <w:color w:val="843C0C"/>
          <w:sz w:val="21"/>
          <w:szCs w:val="21"/>
        </w:rPr>
        <w:t xml:space="preserve">⚠️  מי שנמצא כבר בתוכנית על פי הוראה ישנה – ממשיך. לא פוגעים במי שהתחיל. חדשים – לפי הכללים החדשים.</w:t>
      </w:r>
    </w:p>
    <w:p>
      <w:pPr>
        <w:bidi/>
        <w:spacing w:after="80" w:before="80"/>
        <w:ind w:left="300"/>
        <w:jc w:val="right"/>
      </w:pPr>
      <w:r>
        <w:rPr>
          <w:rFonts w:ascii="Arial" w:cs="Arial" w:eastAsia="Arial" w:hAnsi="Arial"/>
          <w:i/>
          <w:iCs/>
          <w:color w:val="843C0C"/>
          <w:sz w:val="21"/>
          <w:szCs w:val="21"/>
        </w:rPr>
        <w:t xml:space="preserve">⚠️  אין לאשר שיעורי עזר מתוכנית תלא – אלה שני מסלולים נפרדים.</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שאלות שעלו מהשטח – הוראה 11.3 ושיקום מקצועי</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שאלה</w:t>
            </w:r>
          </w:p>
        </w:tc>
        <w:tc>
          <w:tcPr>
            <w:tcW w:type="dxa" w:w="54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Pr>
              <w:t xml:space="preserve">תשובה</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יתום עם תואר ראשון – יכול לקבל סיוע לתואר שני?</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לא – סל אחד בלבד. ניתן לבדוק אם עומד בזכאויות הבסיסיות לפי תדריך.</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יתום שהתחיל ללמוד תואר ראשון לפני החוק – מה קורה?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ממשיך ולא נפגע. לבדוק פרטנית מול האגף לגבי אופן התשלום.</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יתומים שקיבלו דמי נחיה + קצבה רטרואקטיבית – מה עם הכפל?</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המשרד הראשי מטפל בקיזוז. עובדי שיקום אינם צריכים להתעסק בכך.</w:t>
            </w:r>
          </w:p>
        </w:tc>
      </w:tr>
      <w:tr>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יתומים מעל גיל 30 שחוו ירידה של 1,651 ₪ בקצבה?</w:t>
            </w:r>
          </w:p>
        </w:tc>
        <w:tc>
          <w:tcPr>
            <w:tcW w:type="dxa" w:w="54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0"/>
                <w:szCs w:val="20"/>
              </w:rPr>
              <w:t xml:space="preserve">אין פתרון אוטומטי. במקרים מתאימים – ועדת חריגים.</w:t>
            </w:r>
          </w:p>
        </w:tc>
      </w:tr>
    </w:tbl>
    <w:p>
      <w:pPr>
        <w:spacing w:after="40" w:before="40"/>
      </w:pPr>
      <w:r>
        <w:t xml:space="preserve"/>
      </w:r>
    </w:p>
    <w:p>
      <w:r>
        <w:br w:type="page"/>
      </w:r>
    </w:p>
    <w:p>
      <w:pPr>
        <w:pBdr>
          <w:bottom w:val="single" w:color="1F4E79" w:sz="8" w:space="4"/>
        </w:pBdr>
        <w:bidi/>
        <w:spacing w:after="160" w:before="480"/>
        <w:jc w:val="right"/>
      </w:pPr>
      <w:r>
        <w:rPr>
          <w:rFonts w:ascii="Arial" w:cs="Arial" w:eastAsia="Arial" w:hAnsi="Arial"/>
          <w:b/>
          <w:bCs/>
          <w:color w:val="1F4E79"/>
          <w:sz w:val="36"/>
          <w:szCs w:val="36"/>
        </w:rPr>
        <w:t xml:space="preserve">יב. הנחיות מעשיות לעובד השיקום</w:t>
      </w:r>
    </w:p>
    <w:p>
      <w:pPr>
        <w:bidi/>
        <w:spacing w:after="100" w:before="320"/>
        <w:jc w:val="right"/>
      </w:pPr>
      <w:r>
        <w:rPr>
          <w:rFonts w:ascii="Arial" w:cs="Arial" w:eastAsia="Arial" w:hAnsi="Arial"/>
          <w:b/>
          <w:bCs/>
          <w:color w:val="2E75B6"/>
          <w:sz w:val="28"/>
          <w:szCs w:val="28"/>
        </w:rPr>
        <w:t xml:space="preserve">פעולות דחופות ומיידיות</w:t>
      </w:r>
    </w:p>
    <w:p>
      <w:pPr>
        <w:pStyle w:val="ListParagraph"/>
        <w:numPr>
          <w:ilvl w:val="0"/>
          <w:numId w:val="2"/>
        </w:numPr>
        <w:bidi/>
        <w:spacing w:after="40" w:before="40"/>
        <w:jc w:val="right"/>
      </w:pPr>
      <w:r>
        <w:rPr>
          <w:rFonts w:ascii="Arial" w:cs="Arial" w:eastAsia="Arial" w:hAnsi="Arial"/>
          <w:b w:val="false"/>
          <w:bCs w:val="false"/>
          <w:sz w:val="22"/>
          <w:szCs w:val="22"/>
        </w:rPr>
        <w:t xml:space="preserve">לשלוף רשימת יתומים הקרובים לגיל 21 (עוד 3 שנים) – לפנות ולפתוח תל"א</w:t>
      </w:r>
    </w:p>
    <w:p>
      <w:pPr>
        <w:pStyle w:val="ListParagraph"/>
        <w:numPr>
          <w:ilvl w:val="0"/>
          <w:numId w:val="2"/>
        </w:numPr>
        <w:bidi/>
        <w:spacing w:after="40" w:before="40"/>
        <w:jc w:val="right"/>
      </w:pPr>
      <w:r>
        <w:rPr>
          <w:rFonts w:ascii="Arial" w:cs="Arial" w:eastAsia="Arial" w:hAnsi="Arial"/>
          <w:b w:val="false"/>
          <w:bCs w:val="false"/>
          <w:sz w:val="22"/>
          <w:szCs w:val="22"/>
        </w:rPr>
        <w:t xml:space="preserve">לשלוף רשימת יתומים משני הורים בגיל 18–25 – לבדוק מי המשפחה המלווה</w:t>
      </w:r>
    </w:p>
    <w:p>
      <w:pPr>
        <w:pStyle w:val="ListParagraph"/>
        <w:numPr>
          <w:ilvl w:val="0"/>
          <w:numId w:val="2"/>
        </w:numPr>
        <w:bidi/>
        <w:spacing w:after="40" w:before="40"/>
        <w:jc w:val="right"/>
      </w:pPr>
      <w:r>
        <w:rPr>
          <w:rFonts w:ascii="Arial" w:cs="Arial" w:eastAsia="Arial" w:hAnsi="Arial"/>
          <w:b w:val="false"/>
          <w:bCs w:val="false"/>
          <w:sz w:val="22"/>
          <w:szCs w:val="22"/>
        </w:rPr>
        <w:t xml:space="preserve">לבדוק יתומים בגיל 30–60 ב-01.02.2026 – לוודא קבלת מענקים חד-פעמיים</w:t>
      </w:r>
    </w:p>
    <w:p>
      <w:pPr>
        <w:pStyle w:val="ListParagraph"/>
        <w:numPr>
          <w:ilvl w:val="0"/>
          <w:numId w:val="2"/>
        </w:numPr>
        <w:bidi/>
        <w:spacing w:after="40" w:before="40"/>
        <w:jc w:val="right"/>
      </w:pPr>
      <w:r>
        <w:rPr>
          <w:rFonts w:ascii="Arial" w:cs="Arial" w:eastAsia="Arial" w:hAnsi="Arial"/>
          <w:b w:val="false"/>
          <w:bCs w:val="false"/>
          <w:sz w:val="22"/>
          <w:szCs w:val="22"/>
        </w:rPr>
        <w:t xml:space="preserve">לבדוק אלמנות שהתאלמנו מאז 07.10.2023 – לוודא קבלת מענק שנת אבל</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כללים חשובים</w:t>
      </w:r>
    </w:p>
    <w:p>
      <w:pPr>
        <w:pStyle w:val="ListParagraph"/>
        <w:numPr>
          <w:ilvl w:val="0"/>
          <w:numId w:val="2"/>
        </w:numPr>
        <w:bidi/>
        <w:spacing w:after="40" w:before="40"/>
        <w:jc w:val="right"/>
      </w:pPr>
      <w:r>
        <w:rPr>
          <w:rFonts w:ascii="Arial" w:cs="Arial" w:eastAsia="Arial" w:hAnsi="Arial"/>
          <w:b w:val="false"/>
          <w:bCs w:val="false"/>
          <w:sz w:val="22"/>
          <w:szCs w:val="22"/>
        </w:rPr>
        <w:t xml:space="preserve">כלל הכפל: כל מקום שלא נכתב במפורש שאי-אפשר לקבל גם וגם – ניתן לקבל גם וגם</w:t>
      </w:r>
    </w:p>
    <w:p>
      <w:pPr>
        <w:pStyle w:val="ListParagraph"/>
        <w:numPr>
          <w:ilvl w:val="0"/>
          <w:numId w:val="2"/>
        </w:numPr>
        <w:bidi/>
        <w:spacing w:after="40" w:before="40"/>
        <w:jc w:val="right"/>
      </w:pPr>
      <w:r>
        <w:rPr>
          <w:rFonts w:ascii="Arial" w:cs="Arial" w:eastAsia="Arial" w:hAnsi="Arial"/>
          <w:b w:val="false"/>
          <w:bCs w:val="false"/>
          <w:sz w:val="22"/>
          <w:szCs w:val="22"/>
        </w:rPr>
        <w:t xml:space="preserve">המערכת עוצרת כפל בלתי חוקי ברמת הקבלה – אין צורך לדאוג</w:t>
      </w:r>
    </w:p>
    <w:p>
      <w:pPr>
        <w:pStyle w:val="ListParagraph"/>
        <w:numPr>
          <w:ilvl w:val="0"/>
          <w:numId w:val="2"/>
        </w:numPr>
        <w:bidi/>
        <w:spacing w:after="40" w:before="40"/>
        <w:jc w:val="right"/>
      </w:pPr>
      <w:r>
        <w:rPr>
          <w:rFonts w:ascii="Arial" w:cs="Arial" w:eastAsia="Arial" w:hAnsi="Arial"/>
          <w:b w:val="false"/>
          <w:bCs w:val="false"/>
          <w:sz w:val="22"/>
          <w:szCs w:val="22"/>
        </w:rPr>
        <w:t xml:space="preserve">מי שנמצא בתוכנית קיימת – אינו נפגע. ממשיכים; לא מפסיקים</w:t>
      </w:r>
    </w:p>
    <w:p>
      <w:pPr>
        <w:pStyle w:val="ListParagraph"/>
        <w:numPr>
          <w:ilvl w:val="0"/>
          <w:numId w:val="2"/>
        </w:numPr>
        <w:bidi/>
        <w:spacing w:after="40" w:before="40"/>
        <w:jc w:val="right"/>
      </w:pPr>
      <w:r>
        <w:rPr>
          <w:rFonts w:ascii="Arial" w:cs="Arial" w:eastAsia="Arial" w:hAnsi="Arial"/>
          <w:b w:val="false"/>
          <w:bCs w:val="false"/>
          <w:sz w:val="22"/>
          <w:szCs w:val="22"/>
        </w:rPr>
        <w:t xml:space="preserve">לא לפתוח תוכניות חדשות של התערבות רווחה רגשית עד גרסת המערכת החדשה</w:t>
      </w:r>
    </w:p>
    <w:p>
      <w:pPr>
        <w:spacing w:after="40" w:before="40"/>
      </w:pPr>
      <w:r>
        <w:t xml:space="preserve"/>
      </w:r>
    </w:p>
    <w:p>
      <w:pPr>
        <w:bidi/>
        <w:spacing w:after="100" w:before="320"/>
        <w:jc w:val="right"/>
      </w:pPr>
      <w:r>
        <w:rPr>
          <w:rFonts w:ascii="Arial" w:cs="Arial" w:eastAsia="Arial" w:hAnsi="Arial"/>
          <w:b/>
          <w:bCs/>
          <w:color w:val="2E75B6"/>
          <w:sz w:val="28"/>
          <w:szCs w:val="28"/>
        </w:rPr>
        <w:t xml:space="preserve">לאן לפנות בשאלות</w:t>
      </w:r>
    </w:p>
    <w:p>
      <w:pPr>
        <w:pStyle w:val="ListParagraph"/>
        <w:numPr>
          <w:ilvl w:val="0"/>
          <w:numId w:val="2"/>
        </w:numPr>
        <w:bidi/>
        <w:spacing w:after="40" w:before="40"/>
        <w:jc w:val="right"/>
      </w:pPr>
      <w:r>
        <w:rPr>
          <w:rFonts w:ascii="Arial" w:cs="Arial" w:eastAsia="Arial" w:hAnsi="Arial"/>
          <w:b w:val="false"/>
          <w:bCs w:val="false"/>
          <w:sz w:val="22"/>
          <w:szCs w:val="22"/>
        </w:rPr>
        <w:t xml:space="preserve">שאלות שגרתיות – לתדריך ולחוזרים הרשמיים</w:t>
      </w:r>
    </w:p>
    <w:p>
      <w:pPr>
        <w:pStyle w:val="ListParagraph"/>
        <w:numPr>
          <w:ilvl w:val="0"/>
          <w:numId w:val="2"/>
        </w:numPr>
        <w:bidi/>
        <w:spacing w:after="40" w:before="40"/>
        <w:jc w:val="right"/>
      </w:pPr>
      <w:r>
        <w:rPr>
          <w:rFonts w:ascii="Arial" w:cs="Arial" w:eastAsia="Arial" w:hAnsi="Arial"/>
          <w:b w:val="false"/>
          <w:bCs w:val="false"/>
          <w:sz w:val="22"/>
          <w:szCs w:val="22"/>
        </w:rPr>
        <w:t xml:space="preserve">שאלות מורכבות / לא ברורות – לרפרנטים של האגף</w:t>
      </w:r>
    </w:p>
    <w:p>
      <w:pPr>
        <w:pStyle w:val="ListParagraph"/>
        <w:numPr>
          <w:ilvl w:val="0"/>
          <w:numId w:val="2"/>
        </w:numPr>
        <w:bidi/>
        <w:spacing w:after="40" w:before="40"/>
        <w:jc w:val="right"/>
      </w:pPr>
      <w:r>
        <w:rPr>
          <w:rFonts w:ascii="Arial" w:cs="Arial" w:eastAsia="Arial" w:hAnsi="Arial"/>
          <w:b w:val="false"/>
          <w:bCs w:val="false"/>
          <w:sz w:val="22"/>
          <w:szCs w:val="22"/>
        </w:rPr>
        <w:t xml:space="preserve">מקרים מיוחדים בתל"א – לרפרנטים ולאפרת</w:t>
      </w:r>
    </w:p>
    <w:p>
      <w:pPr>
        <w:pStyle w:val="ListParagraph"/>
        <w:numPr>
          <w:ilvl w:val="0"/>
          <w:numId w:val="2"/>
        </w:numPr>
        <w:bidi/>
        <w:spacing w:after="40" w:before="40"/>
        <w:jc w:val="right"/>
      </w:pPr>
      <w:r>
        <w:rPr>
          <w:rFonts w:ascii="Arial" w:cs="Arial" w:eastAsia="Arial" w:hAnsi="Arial"/>
          <w:b w:val="false"/>
          <w:bCs w:val="false"/>
          <w:sz w:val="22"/>
          <w:szCs w:val="22"/>
        </w:rPr>
        <w:t xml:space="preserve">טיפולים שאינם ברשימה – לבדוק עם שיקול דעת, ולפנות לרפרנטים</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6"/>
              <w:left w:val="single" w:color="375623" w:sz="6"/>
              <w:bottom w:val="single" w:color="375623" w:sz="6"/>
              <w:right w:val="single" w:color="375623" w:sz="6"/>
            </w:tcBorders>
            <w:shd w:fill="E2EFDA" w:val="clear"/>
            <w:tcMar>
              <w:top w:type="dxa" w:w="120"/>
              <w:left w:type="dxa" w:w="180"/>
              <w:bottom w:type="dxa" w:w="120"/>
              <w:right w:type="dxa" w:w="180"/>
            </w:tcMar>
          </w:tcPr>
          <w:p>
            <w:pPr>
              <w:bidi/>
              <w:spacing w:after="80"/>
              <w:jc w:val="right"/>
            </w:pPr>
            <w:r>
              <w:rPr>
                <w:rFonts w:ascii="Arial" w:cs="Arial" w:eastAsia="Arial" w:hAnsi="Arial"/>
                <w:b/>
                <w:bCs/>
                <w:color w:val="375623"/>
                <w:sz w:val="24"/>
                <w:szCs w:val="24"/>
              </w:rPr>
              <w:t xml:space="preserve">💡 שיתוף ידע שטחי – מומלץ</w:t>
            </w:r>
          </w:p>
          <w:p>
            <w:pPr>
              <w:bidi/>
              <w:spacing w:after="30" w:before="30"/>
              <w:jc w:val="right"/>
            </w:pPr>
            <w:r>
              <w:rPr>
                <w:rFonts w:ascii="Arial" w:cs="Arial" w:eastAsia="Arial" w:hAnsi="Arial"/>
                <w:sz w:val="22"/>
                <w:szCs w:val="22"/>
              </w:rPr>
              <w:t xml:space="preserve">אחת לחודש-חודשיים: שלחו דוגמאות מהשטח – מה עלה? האם אושר? מה הוחלט?</w:t>
            </w:r>
          </w:p>
          <w:p>
            <w:pPr>
              <w:bidi/>
              <w:spacing w:after="30" w:before="30"/>
              <w:jc w:val="right"/>
            </w:pPr>
            <w:r>
              <w:rPr>
                <w:rFonts w:ascii="Arial" w:cs="Arial" w:eastAsia="Arial" w:hAnsi="Arial"/>
                <w:sz w:val="22"/>
                <w:szCs w:val="22"/>
              </w:rPr>
              <w:t xml:space="preserve">הרשימה 'נושמת' ומתעדכנת – כל שאלה היא הזדמנות לדייק את גבולות הגזרה.</w:t>
            </w:r>
          </w:p>
        </w:tc>
      </w:tr>
    </w:tbl>
    <w:p>
      <w:pPr>
        <w:spacing w:after="40" w:before="40"/>
      </w:pPr>
      <w:r>
        <w:t xml:space="preserve"/>
      </w:r>
    </w:p>
    <w:p>
      <w:pPr>
        <w:pBdr>
          <w:bottom w:val="single" w:color="CCCCCC" w:sz="2" w:space="1"/>
        </w:pBdr>
        <w:spacing w:after="120" w:before="120"/>
      </w:pPr>
    </w:p>
    <w:p>
      <w:pPr>
        <w:bidi/>
        <w:spacing w:after="200" w:before="400"/>
        <w:jc w:val="center"/>
      </w:pPr>
      <w:r>
        <w:rPr>
          <w:rFonts w:ascii="Arial" w:cs="Arial" w:eastAsia="Arial" w:hAnsi="Arial"/>
          <w:i/>
          <w:iCs/>
          <w:color w:val="888888"/>
          <w:sz w:val="20"/>
          <w:szCs w:val="20"/>
        </w:rPr>
        <w:t xml:space="preserve">– סוף המדריך –</w:t>
      </w:r>
    </w:p>
    <w:p>
      <w:pPr>
        <w:bidi/>
        <w:spacing w:after="200" w:before="0"/>
        <w:jc w:val="center"/>
      </w:pPr>
      <w:r>
        <w:rPr>
          <w:rFonts w:ascii="Arial" w:cs="Arial" w:eastAsia="Arial" w:hAnsi="Arial"/>
          <w:color w:val="888888"/>
          <w:sz w:val="18"/>
          <w:szCs w:val="18"/>
        </w:rPr>
        <w:t xml:space="preserve">תיקון 47 | בתוקף מ-01.02.2026 | גרסה: מרץ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88888"/>
        <w:sz w:val="18"/>
        <w:szCs w:val="18"/>
      </w:rPr>
      <w:t xml:space="preserve">עמוד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מתוך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4"/>
      </w:pBdr>
      <w:bidi/>
      <w:jc w:val="right"/>
    </w:pPr>
    <w:r>
      <w:rPr>
        <w:rFonts w:ascii="Arial" w:cs="Arial" w:eastAsia="Arial" w:hAnsi="Arial"/>
        <w:color w:val="888888"/>
        <w:sz w:val="18"/>
        <w:szCs w:val="18"/>
      </w:rPr>
      <w:t xml:space="preserve">מדריך זכויות – תיקון מס' 47 | חוק משפחות חיילים שנספו במערכה | עבור עובדי שיקום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60" w:before="480"/>
      <w:outlineLvl w:val="0"/>
    </w:pPr>
    <w:rPr>
      <w:rFonts w:ascii="Arial" w:cs="Arial" w:eastAsia="Arial" w:hAnsi="Arial"/>
      <w:b/>
      <w:bCs/>
      <w:color w:val="1F4E79"/>
      <w:sz w:val="36"/>
      <w:szCs w:val="36"/>
    </w:rPr>
  </w:style>
  <w:style w:type="paragraph" w:styleId="Heading2">
    <w:name w:val="Heading 2"/>
    <w:basedOn w:val="Normal"/>
    <w:next w:val="Normal"/>
    <w:qFormat/>
    <w:pPr>
      <w:bidi/>
      <w:spacing w:after="100" w:before="320"/>
      <w:outlineLvl w:val="1"/>
    </w:pPr>
    <w:rPr>
      <w:rFonts w:ascii="Arial" w:cs="Arial" w:eastAsia="Arial" w:hAnsi="Arial"/>
      <w:b/>
      <w:bCs/>
      <w:color w:val="2E75B6"/>
      <w:sz w:val="28"/>
      <w:szCs w:val="28"/>
    </w:rPr>
  </w:style>
  <w:style w:type="paragraph" w:styleId="Heading3">
    <w:name w:val="Heading 3"/>
    <w:basedOn w:val="Normal"/>
    <w:next w:val="Normal"/>
    <w:qFormat/>
    <w:pPr>
      <w:bidi/>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2026-05-31T07:01:52.636Z</dcterms:created>
  <dcterms:modified xsi:type="dcterms:W3CDTF">2026-05-31T07:01:52.651Z</dcterms:modified>
</cp:coreProperties>
</file>

<file path=docProps/custom.xml><?xml version="1.0" encoding="utf-8"?>
<Properties xmlns="http://schemas.openxmlformats.org/officeDocument/2006/custom-properties" xmlns:vt="http://schemas.openxmlformats.org/officeDocument/2006/docPropsVTypes"/>
</file>