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cs="Times New Roman"/>
          <w:b/>
          <w:i w:val="0"/>
          <w:sz w:val="24"/>
        </w:rPr>
        <w:t>TỔNG CÔNG TY KHOÁNG SẢN - TKV</w:t>
      </w:r>
    </w:p>
    <w:p>
      <w:pPr>
        <w:spacing w:after="120" w:before="0"/>
        <w:jc w:val="center"/>
      </w:pPr>
      <w:r>
        <w:rPr>
          <w:rFonts w:ascii="Times New Roman" w:hAnsi="Times New Roman" w:cs="Times New Roman"/>
          <w:b/>
          <w:i w:val="0"/>
          <w:sz w:val="24"/>
        </w:rPr>
        <w:t>LIÊN DANH GÓI THẦU SỐ 14</w:t>
      </w:r>
    </w:p>
    <w:p>
      <w:pPr>
        <w:spacing w:after="0" w:before="0"/>
        <w:jc w:val="center"/>
      </w:pPr>
      <w:r>
        <w:rPr>
          <w:rFonts w:ascii="Times New Roman" w:hAnsi="Times New Roman" w:cs="Times New Roman"/>
          <w:b/>
          <w:i w:val="0"/>
          <w:sz w:val="26"/>
        </w:rPr>
        <w:t>CỘNG HÒA XÃ HỘI CHỦ NGHĨA VIỆT NAM</w:t>
      </w:r>
    </w:p>
    <w:p>
      <w:pPr>
        <w:spacing w:after="200" w:before="0"/>
        <w:jc w:val="center"/>
      </w:pPr>
      <w:r>
        <w:rPr>
          <w:rFonts w:ascii="Times New Roman" w:hAnsi="Times New Roman" w:cs="Times New Roman"/>
          <w:b/>
          <w:i w:val="0"/>
          <w:sz w:val="26"/>
        </w:rPr>
        <w:t>Độc lập - Tự do - Hạnh phúc</w:t>
      </w:r>
    </w:p>
    <w:p>
      <w:pPr>
        <w:spacing w:after="0" w:before="0"/>
        <w:jc w:val="center"/>
      </w:pPr>
      <w:r>
        <w:rPr>
          <w:rFonts w:ascii="Times New Roman" w:hAnsi="Times New Roman" w:cs="Times New Roman"/>
          <w:b/>
          <w:i w:val="0"/>
          <w:sz w:val="28"/>
        </w:rPr>
        <w:t>PHỤ LỤC PHÂN CHIA GIÁ TRỊ CÔNG VIỆC</w:t>
      </w:r>
    </w:p>
    <w:p>
      <w:pPr>
        <w:spacing w:after="80" w:before="0"/>
        <w:jc w:val="center"/>
      </w:pPr>
      <w:r>
        <w:rPr>
          <w:rFonts w:ascii="Times New Roman" w:hAnsi="Times New Roman" w:cs="Times New Roman"/>
          <w:b/>
          <w:i w:val="0"/>
          <w:sz w:val="28"/>
        </w:rPr>
        <w:t>GIỮA CÁC THÀNH VIÊN LIÊN DANH</w:t>
      </w:r>
    </w:p>
    <w:p>
      <w:pPr>
        <w:spacing w:after="0" w:before="0"/>
        <w:jc w:val="center"/>
      </w:pPr>
      <w:r>
        <w:rPr>
          <w:rFonts w:ascii="Times New Roman" w:hAnsi="Times New Roman" w:cs="Times New Roman"/>
          <w:b w:val="0"/>
          <w:i/>
          <w:sz w:val="26"/>
        </w:rPr>
        <w:t>Gói thầu số 14 “Thi công xây dựng đập rọ đá số 1”</w:t>
      </w:r>
    </w:p>
    <w:p>
      <w:pPr>
        <w:spacing w:after="40" w:before="0"/>
        <w:jc w:val="center"/>
      </w:pPr>
      <w:r>
        <w:rPr>
          <w:rFonts w:ascii="Times New Roman" w:hAnsi="Times New Roman" w:cs="Times New Roman"/>
          <w:b w:val="0"/>
          <w:i/>
          <w:sz w:val="26"/>
        </w:rPr>
        <w:t>thuộc dự án Mở rộng nâng công suất mỏ đồng Sin Quyền</w:t>
      </w:r>
    </w:p>
    <w:p>
      <w:pPr>
        <w:spacing w:after="200" w:before="0"/>
        <w:jc w:val="center"/>
      </w:pPr>
      <w:r>
        <w:rPr>
          <w:rFonts w:ascii="Times New Roman" w:hAnsi="Times New Roman" w:cs="Times New Roman"/>
          <w:b w:val="0"/>
          <w:i/>
          <w:sz w:val="24"/>
        </w:rPr>
        <w:t>(Kèm theo Biên bản hoàn thiện hợp đồng ngày 15/7/2026)</w:t>
      </w:r>
    </w:p>
    <w:p>
      <w:pPr>
        <w:spacing w:after="160" w:before="0"/>
        <w:jc w:val="both"/>
      </w:pPr>
      <w:r>
        <w:rPr>
          <w:rFonts w:ascii="Times New Roman" w:hAnsi="Times New Roman" w:cs="Times New Roman"/>
          <w:b w:val="0"/>
          <w:i w:val="0"/>
          <w:sz w:val="26"/>
        </w:rPr>
        <w:t>Căn cứ nội dung E-HSDT và thỏa thuận phân chia công việc trong liên danh, các thành viên thống nhất phân chia giá trị công việc của gói thầu như sau:</w:t>
      </w:r>
    </w:p>
    <w:p>
      <w:pPr>
        <w:spacing w:after="80" w:before="0"/>
        <w:jc w:val="left"/>
      </w:pPr>
      <w:r>
        <w:rPr>
          <w:rFonts w:ascii="Times New Roman" w:hAnsi="Times New Roman" w:cs="Times New Roman"/>
          <w:b/>
          <w:i w:val="0"/>
          <w:sz w:val="26"/>
        </w:rPr>
        <w:t>A. Công ty cổ phần ĐTXD Thương mại Hưng Thịnh Hà Nội (thành viên đứng đầu liên danh)</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567"/>
            <w:vAlign w:val="center"/>
            <w:shd w:val="clear" w:fill="D9E1F2"/>
          </w:tcPr>
          <w:p>
            <w:pPr>
              <w:spacing w:after="20" w:before="20"/>
              <w:jc w:val="center"/>
            </w:pPr>
            <w:r>
              <w:rPr>
                <w:rFonts w:ascii="Times New Roman" w:hAnsi="Times New Roman" w:cs="Times New Roman"/>
                <w:b/>
                <w:i w:val="0"/>
                <w:sz w:val="22"/>
              </w:rPr>
              <w:t>STT</w:t>
            </w:r>
          </w:p>
        </w:tc>
        <w:tc>
          <w:tcPr>
            <w:tcW w:type="dxa" w:w="4309"/>
            <w:vAlign w:val="center"/>
            <w:shd w:val="clear" w:fill="D9E1F2"/>
          </w:tcPr>
          <w:p>
            <w:pPr>
              <w:spacing w:after="20" w:before="20"/>
              <w:jc w:val="center"/>
            </w:pPr>
            <w:r>
              <w:rPr>
                <w:rFonts w:ascii="Times New Roman" w:hAnsi="Times New Roman" w:cs="Times New Roman"/>
                <w:b/>
                <w:i w:val="0"/>
                <w:sz w:val="22"/>
              </w:rPr>
              <w:t>Nội dung công việc</w:t>
            </w:r>
          </w:p>
        </w:tc>
        <w:tc>
          <w:tcPr>
            <w:tcW w:type="dxa" w:w="964"/>
            <w:vAlign w:val="center"/>
            <w:shd w:val="clear" w:fill="D9E1F2"/>
          </w:tcPr>
          <w:p>
            <w:pPr>
              <w:spacing w:after="20" w:before="20"/>
              <w:jc w:val="center"/>
            </w:pPr>
            <w:r>
              <w:rPr>
                <w:rFonts w:ascii="Times New Roman" w:hAnsi="Times New Roman" w:cs="Times New Roman"/>
                <w:b/>
                <w:i w:val="0"/>
                <w:sz w:val="22"/>
              </w:rPr>
              <w:t>Khối lượng</w:t>
            </w:r>
          </w:p>
        </w:tc>
        <w:tc>
          <w:tcPr>
            <w:tcW w:type="dxa" w:w="907"/>
            <w:vAlign w:val="center"/>
            <w:shd w:val="clear" w:fill="D9E1F2"/>
          </w:tcPr>
          <w:p>
            <w:pPr>
              <w:spacing w:after="20" w:before="20"/>
              <w:jc w:val="center"/>
            </w:pPr>
            <w:r>
              <w:rPr>
                <w:rFonts w:ascii="Times New Roman" w:hAnsi="Times New Roman" w:cs="Times New Roman"/>
                <w:b/>
                <w:i w:val="0"/>
                <w:sz w:val="22"/>
              </w:rPr>
              <w:t>Đơn vị tính</w:t>
            </w:r>
          </w:p>
        </w:tc>
        <w:tc>
          <w:tcPr>
            <w:tcW w:type="dxa" w:w="1361"/>
            <w:vAlign w:val="center"/>
            <w:shd w:val="clear" w:fill="D9E1F2"/>
          </w:tcPr>
          <w:p>
            <w:pPr>
              <w:spacing w:after="20" w:before="20"/>
              <w:jc w:val="center"/>
            </w:pPr>
            <w:r>
              <w:rPr>
                <w:rFonts w:ascii="Times New Roman" w:hAnsi="Times New Roman" w:cs="Times New Roman"/>
                <w:b/>
                <w:i w:val="0"/>
                <w:sz w:val="22"/>
              </w:rPr>
              <w:t>Đơn giá hợp đồng</w:t>
            </w:r>
          </w:p>
        </w:tc>
        <w:tc>
          <w:tcPr>
            <w:tcW w:type="dxa" w:w="1701"/>
            <w:vAlign w:val="center"/>
            <w:shd w:val="clear" w:fill="D9E1F2"/>
          </w:tcPr>
          <w:p>
            <w:pPr>
              <w:spacing w:after="20" w:before="20"/>
              <w:jc w:val="center"/>
            </w:pPr>
            <w:r>
              <w:rPr>
                <w:rFonts w:ascii="Times New Roman" w:hAnsi="Times New Roman" w:cs="Times New Roman"/>
                <w:b/>
                <w:i w:val="0"/>
                <w:sz w:val="22"/>
              </w:rPr>
              <w:t>Thành tiền (đã gồm VAT 8%)</w:t>
            </w:r>
          </w:p>
        </w:tc>
      </w:tr>
      <w:tr>
        <w:tc>
          <w:tcPr>
            <w:tcW w:type="dxa" w:w="567"/>
            <w:vAlign w:val="center"/>
          </w:tcPr>
          <w:p>
            <w:pPr>
              <w:spacing w:after="20" w:before="20"/>
              <w:jc w:val="center"/>
            </w:pPr>
            <w:r>
              <w:rPr>
                <w:rFonts w:ascii="Times New Roman" w:hAnsi="Times New Roman" w:cs="Times New Roman"/>
                <w:b w:val="0"/>
                <w:i w:val="0"/>
                <w:sz w:val="22"/>
              </w:rPr>
              <w:t>1</w:t>
            </w:r>
          </w:p>
        </w:tc>
        <w:tc>
          <w:tcPr>
            <w:tcW w:type="dxa" w:w="4309"/>
            <w:vAlign w:val="center"/>
          </w:tcPr>
          <w:p>
            <w:pPr>
              <w:spacing w:after="20" w:before="20"/>
              <w:jc w:val="left"/>
            </w:pPr>
            <w:r>
              <w:rPr>
                <w:rFonts w:ascii="Times New Roman" w:hAnsi="Times New Roman" w:cs="Times New Roman"/>
                <w:b w:val="0"/>
                <w:i w:val="0"/>
                <w:sz w:val="22"/>
              </w:rPr>
              <w:t>Đào móng công trình, chiều rộng móng &lt;= 10m, bằng máy đào 2,3m3, đất cấp III</w:t>
            </w:r>
          </w:p>
        </w:tc>
        <w:tc>
          <w:tcPr>
            <w:tcW w:type="dxa" w:w="964"/>
            <w:vAlign w:val="center"/>
          </w:tcPr>
          <w:p>
            <w:pPr>
              <w:spacing w:after="20" w:before="20"/>
              <w:jc w:val="center"/>
            </w:pPr>
            <w:r>
              <w:rPr>
                <w:rFonts w:ascii="Times New Roman" w:hAnsi="Times New Roman" w:cs="Times New Roman"/>
                <w:b w:val="0"/>
                <w:i w:val="0"/>
                <w:sz w:val="22"/>
              </w:rPr>
              <w:t>57,98</w:t>
            </w:r>
          </w:p>
        </w:tc>
        <w:tc>
          <w:tcPr>
            <w:tcW w:type="dxa" w:w="907"/>
            <w:vAlign w:val="center"/>
          </w:tcPr>
          <w:p>
            <w:pPr>
              <w:spacing w:after="20" w:before="20"/>
              <w:jc w:val="center"/>
            </w:pPr>
            <w:r>
              <w:rPr>
                <w:rFonts w:ascii="Times New Roman" w:hAnsi="Times New Roman" w:cs="Times New Roman"/>
                <w:b w:val="0"/>
                <w:i w:val="0"/>
                <w:sz w:val="22"/>
              </w:rPr>
              <w:t>100m3</w:t>
            </w:r>
          </w:p>
        </w:tc>
        <w:tc>
          <w:tcPr>
            <w:tcW w:type="dxa" w:w="1361"/>
            <w:vAlign w:val="center"/>
          </w:tcPr>
          <w:p>
            <w:pPr>
              <w:spacing w:after="20" w:before="20"/>
              <w:jc w:val="right"/>
            </w:pPr>
            <w:r>
              <w:rPr>
                <w:rFonts w:ascii="Times New Roman" w:hAnsi="Times New Roman" w:cs="Times New Roman"/>
                <w:b w:val="0"/>
                <w:i w:val="0"/>
                <w:sz w:val="22"/>
              </w:rPr>
              <w:t>2.798.765</w:t>
            </w:r>
          </w:p>
        </w:tc>
        <w:tc>
          <w:tcPr>
            <w:tcW w:type="dxa" w:w="1701"/>
            <w:vAlign w:val="center"/>
          </w:tcPr>
          <w:p>
            <w:pPr>
              <w:spacing w:after="20" w:before="20"/>
              <w:jc w:val="right"/>
            </w:pPr>
            <w:r>
              <w:rPr>
                <w:rFonts w:ascii="Times New Roman" w:hAnsi="Times New Roman" w:cs="Times New Roman"/>
                <w:b w:val="0"/>
                <w:i w:val="0"/>
                <w:sz w:val="22"/>
              </w:rPr>
              <w:t>162.272.395</w:t>
            </w:r>
          </w:p>
        </w:tc>
      </w:tr>
      <w:tr>
        <w:tc>
          <w:tcPr>
            <w:tcW w:type="dxa" w:w="567"/>
            <w:vAlign w:val="center"/>
          </w:tcPr>
          <w:p>
            <w:pPr>
              <w:spacing w:after="20" w:before="20"/>
              <w:jc w:val="center"/>
            </w:pPr>
            <w:r>
              <w:rPr>
                <w:rFonts w:ascii="Times New Roman" w:hAnsi="Times New Roman" w:cs="Times New Roman"/>
                <w:b w:val="0"/>
                <w:i w:val="0"/>
                <w:sz w:val="22"/>
              </w:rPr>
              <w:t>2</w:t>
            </w:r>
          </w:p>
        </w:tc>
        <w:tc>
          <w:tcPr>
            <w:tcW w:type="dxa" w:w="4309"/>
            <w:vAlign w:val="center"/>
          </w:tcPr>
          <w:p>
            <w:pPr>
              <w:spacing w:after="20" w:before="20"/>
              <w:jc w:val="left"/>
            </w:pPr>
            <w:r>
              <w:rPr>
                <w:rFonts w:ascii="Times New Roman" w:hAnsi="Times New Roman" w:cs="Times New Roman"/>
                <w:b w:val="0"/>
                <w:i w:val="0"/>
                <w:sz w:val="22"/>
              </w:rPr>
              <w:t>Đắp trả móng bằng đá hộc</w:t>
            </w:r>
          </w:p>
        </w:tc>
        <w:tc>
          <w:tcPr>
            <w:tcW w:type="dxa" w:w="964"/>
            <w:vAlign w:val="center"/>
          </w:tcPr>
          <w:p>
            <w:pPr>
              <w:spacing w:after="20" w:before="20"/>
              <w:jc w:val="center"/>
            </w:pPr>
            <w:r>
              <w:rPr>
                <w:rFonts w:ascii="Times New Roman" w:hAnsi="Times New Roman" w:cs="Times New Roman"/>
                <w:b w:val="0"/>
                <w:i w:val="0"/>
                <w:sz w:val="22"/>
              </w:rPr>
              <w:t>9,94</w:t>
            </w:r>
          </w:p>
        </w:tc>
        <w:tc>
          <w:tcPr>
            <w:tcW w:type="dxa" w:w="907"/>
            <w:vAlign w:val="center"/>
          </w:tcPr>
          <w:p>
            <w:pPr>
              <w:spacing w:after="20" w:before="20"/>
              <w:jc w:val="center"/>
            </w:pPr>
            <w:r>
              <w:rPr>
                <w:rFonts w:ascii="Times New Roman" w:hAnsi="Times New Roman" w:cs="Times New Roman"/>
                <w:b w:val="0"/>
                <w:i w:val="0"/>
                <w:sz w:val="22"/>
              </w:rPr>
              <w:t>100m3</w:t>
            </w:r>
          </w:p>
        </w:tc>
        <w:tc>
          <w:tcPr>
            <w:tcW w:type="dxa" w:w="1361"/>
            <w:vAlign w:val="center"/>
          </w:tcPr>
          <w:p>
            <w:pPr>
              <w:spacing w:after="20" w:before="20"/>
              <w:jc w:val="right"/>
            </w:pPr>
            <w:r>
              <w:rPr>
                <w:rFonts w:ascii="Times New Roman" w:hAnsi="Times New Roman" w:cs="Times New Roman"/>
                <w:b w:val="0"/>
                <w:i w:val="0"/>
                <w:sz w:val="22"/>
              </w:rPr>
              <w:t>6.660.909</w:t>
            </w:r>
          </w:p>
        </w:tc>
        <w:tc>
          <w:tcPr>
            <w:tcW w:type="dxa" w:w="1701"/>
            <w:vAlign w:val="center"/>
          </w:tcPr>
          <w:p>
            <w:pPr>
              <w:spacing w:after="20" w:before="20"/>
              <w:jc w:val="right"/>
            </w:pPr>
            <w:r>
              <w:rPr>
                <w:rFonts w:ascii="Times New Roman" w:hAnsi="Times New Roman" w:cs="Times New Roman"/>
                <w:b w:val="0"/>
                <w:i w:val="0"/>
                <w:sz w:val="22"/>
              </w:rPr>
              <w:t>66.209.435</w:t>
            </w:r>
          </w:p>
        </w:tc>
      </w:tr>
      <w:tr>
        <w:tc>
          <w:tcPr>
            <w:tcW w:type="dxa" w:w="567"/>
            <w:vAlign w:val="center"/>
          </w:tcPr>
          <w:p>
            <w:pPr>
              <w:spacing w:after="20" w:before="20"/>
              <w:jc w:val="center"/>
            </w:pPr>
            <w:r>
              <w:rPr>
                <w:rFonts w:ascii="Times New Roman" w:hAnsi="Times New Roman" w:cs="Times New Roman"/>
                <w:b w:val="0"/>
                <w:i w:val="0"/>
                <w:sz w:val="22"/>
              </w:rPr>
              <w:t>3</w:t>
            </w:r>
          </w:p>
        </w:tc>
        <w:tc>
          <w:tcPr>
            <w:tcW w:type="dxa" w:w="4309"/>
            <w:vAlign w:val="center"/>
          </w:tcPr>
          <w:p>
            <w:pPr>
              <w:spacing w:after="20" w:before="20"/>
              <w:jc w:val="left"/>
            </w:pPr>
            <w:r>
              <w:rPr>
                <w:rFonts w:ascii="Times New Roman" w:hAnsi="Times New Roman" w:cs="Times New Roman"/>
                <w:b w:val="0"/>
                <w:i w:val="0"/>
                <w:sz w:val="22"/>
              </w:rPr>
              <w:t>Thi công lớp đá đệm móng, loại đá hộc</w:t>
            </w:r>
          </w:p>
        </w:tc>
        <w:tc>
          <w:tcPr>
            <w:tcW w:type="dxa" w:w="964"/>
            <w:vAlign w:val="center"/>
          </w:tcPr>
          <w:p>
            <w:pPr>
              <w:spacing w:after="20" w:before="20"/>
              <w:jc w:val="center"/>
            </w:pPr>
            <w:r>
              <w:rPr>
                <w:rFonts w:ascii="Times New Roman" w:hAnsi="Times New Roman" w:cs="Times New Roman"/>
                <w:b w:val="0"/>
                <w:i w:val="0"/>
                <w:sz w:val="22"/>
              </w:rPr>
              <w:t>1.044</w:t>
            </w:r>
          </w:p>
        </w:tc>
        <w:tc>
          <w:tcPr>
            <w:tcW w:type="dxa" w:w="907"/>
            <w:vAlign w:val="center"/>
          </w:tcPr>
          <w:p>
            <w:pPr>
              <w:spacing w:after="20" w:before="20"/>
              <w:jc w:val="center"/>
            </w:pPr>
            <w:r>
              <w:rPr>
                <w:rFonts w:ascii="Times New Roman" w:hAnsi="Times New Roman" w:cs="Times New Roman"/>
                <w:b w:val="0"/>
                <w:i w:val="0"/>
                <w:sz w:val="22"/>
              </w:rPr>
              <w:t>m3</w:t>
            </w:r>
          </w:p>
        </w:tc>
        <w:tc>
          <w:tcPr>
            <w:tcW w:type="dxa" w:w="1361"/>
            <w:vAlign w:val="center"/>
          </w:tcPr>
          <w:p>
            <w:pPr>
              <w:spacing w:after="20" w:before="20"/>
              <w:jc w:val="right"/>
            </w:pPr>
            <w:r>
              <w:rPr>
                <w:rFonts w:ascii="Times New Roman" w:hAnsi="Times New Roman" w:cs="Times New Roman"/>
                <w:b w:val="0"/>
                <w:i w:val="0"/>
                <w:sz w:val="22"/>
              </w:rPr>
              <w:t>601.878</w:t>
            </w:r>
          </w:p>
        </w:tc>
        <w:tc>
          <w:tcPr>
            <w:tcW w:type="dxa" w:w="1701"/>
            <w:vAlign w:val="center"/>
          </w:tcPr>
          <w:p>
            <w:pPr>
              <w:spacing w:after="20" w:before="20"/>
              <w:jc w:val="right"/>
            </w:pPr>
            <w:r>
              <w:rPr>
                <w:rFonts w:ascii="Times New Roman" w:hAnsi="Times New Roman" w:cs="Times New Roman"/>
                <w:b w:val="0"/>
                <w:i w:val="0"/>
                <w:sz w:val="22"/>
              </w:rPr>
              <w:t>628.360.632</w:t>
            </w:r>
          </w:p>
        </w:tc>
      </w:tr>
      <w:tr>
        <w:tc>
          <w:tcPr>
            <w:tcW w:type="dxa" w:w="567"/>
            <w:vAlign w:val="center"/>
          </w:tcPr>
          <w:p>
            <w:pPr>
              <w:spacing w:after="20" w:before="20"/>
              <w:jc w:val="center"/>
            </w:pPr>
            <w:r>
              <w:rPr>
                <w:rFonts w:ascii="Times New Roman" w:hAnsi="Times New Roman" w:cs="Times New Roman"/>
                <w:b w:val="0"/>
                <w:i w:val="0"/>
                <w:sz w:val="22"/>
              </w:rPr>
              <w:t>4</w:t>
            </w:r>
          </w:p>
        </w:tc>
        <w:tc>
          <w:tcPr>
            <w:tcW w:type="dxa" w:w="4309"/>
            <w:vAlign w:val="center"/>
          </w:tcPr>
          <w:p>
            <w:pPr>
              <w:spacing w:after="20" w:before="20"/>
              <w:jc w:val="left"/>
            </w:pPr>
            <w:r>
              <w:rPr>
                <w:rFonts w:ascii="Times New Roman" w:hAnsi="Times New Roman" w:cs="Times New Roman"/>
                <w:b w:val="0"/>
                <w:i w:val="0"/>
                <w:sz w:val="22"/>
              </w:rPr>
              <w:t>Vận chuyển đất bằng ôtô tự đổ 12 tấn trong phạm vi &lt;= 500m, đất cấp III</w:t>
            </w:r>
          </w:p>
        </w:tc>
        <w:tc>
          <w:tcPr>
            <w:tcW w:type="dxa" w:w="964"/>
            <w:vAlign w:val="center"/>
          </w:tcPr>
          <w:p>
            <w:pPr>
              <w:spacing w:after="20" w:before="20"/>
              <w:jc w:val="center"/>
            </w:pPr>
            <w:r>
              <w:rPr>
                <w:rFonts w:ascii="Times New Roman" w:hAnsi="Times New Roman" w:cs="Times New Roman"/>
                <w:b w:val="0"/>
                <w:i w:val="0"/>
                <w:sz w:val="22"/>
              </w:rPr>
              <w:t>57,98</w:t>
            </w:r>
          </w:p>
        </w:tc>
        <w:tc>
          <w:tcPr>
            <w:tcW w:type="dxa" w:w="907"/>
            <w:vAlign w:val="center"/>
          </w:tcPr>
          <w:p>
            <w:pPr>
              <w:spacing w:after="20" w:before="20"/>
              <w:jc w:val="center"/>
            </w:pPr>
            <w:r>
              <w:rPr>
                <w:rFonts w:ascii="Times New Roman" w:hAnsi="Times New Roman" w:cs="Times New Roman"/>
                <w:b w:val="0"/>
                <w:i w:val="0"/>
                <w:sz w:val="22"/>
              </w:rPr>
              <w:t>100m3</w:t>
            </w:r>
          </w:p>
        </w:tc>
        <w:tc>
          <w:tcPr>
            <w:tcW w:type="dxa" w:w="1361"/>
            <w:vAlign w:val="center"/>
          </w:tcPr>
          <w:p>
            <w:pPr>
              <w:spacing w:after="20" w:before="20"/>
              <w:jc w:val="right"/>
            </w:pPr>
            <w:r>
              <w:rPr>
                <w:rFonts w:ascii="Times New Roman" w:hAnsi="Times New Roman" w:cs="Times New Roman"/>
                <w:b w:val="0"/>
                <w:i w:val="0"/>
                <w:sz w:val="22"/>
              </w:rPr>
              <w:t>2.364.868</w:t>
            </w:r>
          </w:p>
        </w:tc>
        <w:tc>
          <w:tcPr>
            <w:tcW w:type="dxa" w:w="1701"/>
            <w:vAlign w:val="center"/>
          </w:tcPr>
          <w:p>
            <w:pPr>
              <w:spacing w:after="20" w:before="20"/>
              <w:jc w:val="right"/>
            </w:pPr>
            <w:r>
              <w:rPr>
                <w:rFonts w:ascii="Times New Roman" w:hAnsi="Times New Roman" w:cs="Times New Roman"/>
                <w:b w:val="0"/>
                <w:i w:val="0"/>
                <w:sz w:val="22"/>
              </w:rPr>
              <w:t>137.115.047</w:t>
            </w:r>
          </w:p>
        </w:tc>
      </w:tr>
      <w:tr>
        <w:tc>
          <w:tcPr>
            <w:tcW w:type="dxa" w:w="567"/>
            <w:vAlign w:val="center"/>
          </w:tcPr>
          <w:p>
            <w:pPr>
              <w:spacing w:after="20" w:before="20"/>
              <w:jc w:val="center"/>
            </w:pPr>
            <w:r>
              <w:rPr>
                <w:rFonts w:ascii="Times New Roman" w:hAnsi="Times New Roman" w:cs="Times New Roman"/>
                <w:b w:val="0"/>
                <w:i w:val="0"/>
                <w:sz w:val="22"/>
              </w:rPr>
              <w:t>5</w:t>
            </w:r>
          </w:p>
        </w:tc>
        <w:tc>
          <w:tcPr>
            <w:tcW w:type="dxa" w:w="4309"/>
            <w:vAlign w:val="center"/>
          </w:tcPr>
          <w:p>
            <w:pPr>
              <w:spacing w:after="20" w:before="20"/>
              <w:jc w:val="left"/>
            </w:pPr>
            <w:r>
              <w:rPr>
                <w:rFonts w:ascii="Times New Roman" w:hAnsi="Times New Roman" w:cs="Times New Roman"/>
                <w:b w:val="0"/>
                <w:i w:val="0"/>
                <w:sz w:val="22"/>
              </w:rPr>
              <w:t>Chọn đá hộc tại bãi thải bằng máy đào 0,8m3 (vận dụng)</w:t>
            </w:r>
          </w:p>
        </w:tc>
        <w:tc>
          <w:tcPr>
            <w:tcW w:type="dxa" w:w="964"/>
            <w:vAlign w:val="center"/>
          </w:tcPr>
          <w:p>
            <w:pPr>
              <w:spacing w:after="20" w:before="20"/>
              <w:jc w:val="center"/>
            </w:pPr>
            <w:r>
              <w:rPr>
                <w:rFonts w:ascii="Times New Roman" w:hAnsi="Times New Roman" w:cs="Times New Roman"/>
                <w:b w:val="0"/>
                <w:i w:val="0"/>
                <w:sz w:val="22"/>
              </w:rPr>
              <w:t>156,5</w:t>
            </w:r>
          </w:p>
        </w:tc>
        <w:tc>
          <w:tcPr>
            <w:tcW w:type="dxa" w:w="907"/>
            <w:vAlign w:val="center"/>
          </w:tcPr>
          <w:p>
            <w:pPr>
              <w:spacing w:after="20" w:before="20"/>
              <w:jc w:val="center"/>
            </w:pPr>
            <w:r>
              <w:rPr>
                <w:rFonts w:ascii="Times New Roman" w:hAnsi="Times New Roman" w:cs="Times New Roman"/>
                <w:b w:val="0"/>
                <w:i w:val="0"/>
                <w:sz w:val="22"/>
              </w:rPr>
              <w:t>100m3</w:t>
            </w:r>
          </w:p>
        </w:tc>
        <w:tc>
          <w:tcPr>
            <w:tcW w:type="dxa" w:w="1361"/>
            <w:vAlign w:val="center"/>
          </w:tcPr>
          <w:p>
            <w:pPr>
              <w:spacing w:after="20" w:before="20"/>
              <w:jc w:val="right"/>
            </w:pPr>
            <w:r>
              <w:rPr>
                <w:rFonts w:ascii="Times New Roman" w:hAnsi="Times New Roman" w:cs="Times New Roman"/>
                <w:b w:val="0"/>
                <w:i w:val="0"/>
                <w:sz w:val="22"/>
              </w:rPr>
              <w:t>2.665.083</w:t>
            </w:r>
          </w:p>
        </w:tc>
        <w:tc>
          <w:tcPr>
            <w:tcW w:type="dxa" w:w="1701"/>
            <w:vAlign w:val="center"/>
          </w:tcPr>
          <w:p>
            <w:pPr>
              <w:spacing w:after="20" w:before="20"/>
              <w:jc w:val="right"/>
            </w:pPr>
            <w:r>
              <w:rPr>
                <w:rFonts w:ascii="Times New Roman" w:hAnsi="Times New Roman" w:cs="Times New Roman"/>
                <w:b w:val="0"/>
                <w:i w:val="0"/>
                <w:sz w:val="22"/>
              </w:rPr>
              <w:t>417.085.490</w:t>
            </w:r>
          </w:p>
        </w:tc>
      </w:tr>
      <w:tr>
        <w:tc>
          <w:tcPr>
            <w:tcW w:type="dxa" w:w="567"/>
            <w:vAlign w:val="center"/>
          </w:tcPr>
          <w:p>
            <w:pPr>
              <w:spacing w:after="20" w:before="20"/>
              <w:jc w:val="center"/>
            </w:pPr>
            <w:r>
              <w:rPr>
                <w:rFonts w:ascii="Times New Roman" w:hAnsi="Times New Roman" w:cs="Times New Roman"/>
                <w:b w:val="0"/>
                <w:i w:val="0"/>
                <w:sz w:val="22"/>
              </w:rPr>
              <w:t>6</w:t>
            </w:r>
          </w:p>
        </w:tc>
        <w:tc>
          <w:tcPr>
            <w:tcW w:type="dxa" w:w="4309"/>
            <w:vAlign w:val="center"/>
          </w:tcPr>
          <w:p>
            <w:pPr>
              <w:spacing w:after="20" w:before="20"/>
              <w:jc w:val="left"/>
            </w:pPr>
            <w:r>
              <w:rPr>
                <w:rFonts w:ascii="Times New Roman" w:hAnsi="Times New Roman" w:cs="Times New Roman"/>
                <w:b w:val="0"/>
                <w:i w:val="0"/>
                <w:sz w:val="22"/>
              </w:rPr>
              <w:t>Xúc đá hộc tại bãi thải lên phương tiện vận chuyển, bằng máy đào 0,8m3</w:t>
            </w:r>
          </w:p>
        </w:tc>
        <w:tc>
          <w:tcPr>
            <w:tcW w:type="dxa" w:w="964"/>
            <w:vAlign w:val="center"/>
          </w:tcPr>
          <w:p>
            <w:pPr>
              <w:spacing w:after="20" w:before="20"/>
              <w:jc w:val="center"/>
            </w:pPr>
            <w:r>
              <w:rPr>
                <w:rFonts w:ascii="Times New Roman" w:hAnsi="Times New Roman" w:cs="Times New Roman"/>
                <w:b w:val="0"/>
                <w:i w:val="0"/>
                <w:sz w:val="22"/>
              </w:rPr>
              <w:t>156,5</w:t>
            </w:r>
          </w:p>
        </w:tc>
        <w:tc>
          <w:tcPr>
            <w:tcW w:type="dxa" w:w="907"/>
            <w:vAlign w:val="center"/>
          </w:tcPr>
          <w:p>
            <w:pPr>
              <w:spacing w:after="20" w:before="20"/>
              <w:jc w:val="center"/>
            </w:pPr>
            <w:r>
              <w:rPr>
                <w:rFonts w:ascii="Times New Roman" w:hAnsi="Times New Roman" w:cs="Times New Roman"/>
                <w:b w:val="0"/>
                <w:i w:val="0"/>
                <w:sz w:val="22"/>
              </w:rPr>
              <w:t>100m3</w:t>
            </w:r>
          </w:p>
        </w:tc>
        <w:tc>
          <w:tcPr>
            <w:tcW w:type="dxa" w:w="1361"/>
            <w:vAlign w:val="center"/>
          </w:tcPr>
          <w:p>
            <w:pPr>
              <w:spacing w:after="20" w:before="20"/>
              <w:jc w:val="right"/>
            </w:pPr>
            <w:r>
              <w:rPr>
                <w:rFonts w:ascii="Times New Roman" w:hAnsi="Times New Roman" w:cs="Times New Roman"/>
                <w:b w:val="0"/>
                <w:i w:val="0"/>
                <w:sz w:val="22"/>
              </w:rPr>
              <w:t>2.665.083</w:t>
            </w:r>
          </w:p>
        </w:tc>
        <w:tc>
          <w:tcPr>
            <w:tcW w:type="dxa" w:w="1701"/>
            <w:vAlign w:val="center"/>
          </w:tcPr>
          <w:p>
            <w:pPr>
              <w:spacing w:after="20" w:before="20"/>
              <w:jc w:val="right"/>
            </w:pPr>
            <w:r>
              <w:rPr>
                <w:rFonts w:ascii="Times New Roman" w:hAnsi="Times New Roman" w:cs="Times New Roman"/>
                <w:b w:val="0"/>
                <w:i w:val="0"/>
                <w:sz w:val="22"/>
              </w:rPr>
              <w:t>417.085.490</w:t>
            </w:r>
          </w:p>
        </w:tc>
      </w:tr>
      <w:tr>
        <w:tc>
          <w:tcPr>
            <w:tcW w:type="dxa" w:w="567"/>
            <w:vAlign w:val="center"/>
          </w:tcPr>
          <w:p>
            <w:pPr>
              <w:spacing w:after="20" w:before="20"/>
              <w:jc w:val="center"/>
            </w:pPr>
            <w:r>
              <w:rPr>
                <w:rFonts w:ascii="Times New Roman" w:hAnsi="Times New Roman" w:cs="Times New Roman"/>
                <w:b w:val="0"/>
                <w:i w:val="0"/>
                <w:sz w:val="22"/>
              </w:rPr>
              <w:t>7</w:t>
            </w:r>
          </w:p>
        </w:tc>
        <w:tc>
          <w:tcPr>
            <w:tcW w:type="dxa" w:w="4309"/>
            <w:vAlign w:val="center"/>
          </w:tcPr>
          <w:p>
            <w:pPr>
              <w:spacing w:after="20" w:before="20"/>
              <w:jc w:val="left"/>
            </w:pPr>
            <w:r>
              <w:rPr>
                <w:rFonts w:ascii="Times New Roman" w:hAnsi="Times New Roman" w:cs="Times New Roman"/>
                <w:b w:val="0"/>
                <w:i w:val="0"/>
                <w:sz w:val="22"/>
              </w:rPr>
              <w:t>Vận chuyển đá hộc bằng ôtô tự đổ 12 tấn trong phạm vi &lt;= 1000m</w:t>
            </w:r>
          </w:p>
        </w:tc>
        <w:tc>
          <w:tcPr>
            <w:tcW w:type="dxa" w:w="964"/>
            <w:vAlign w:val="center"/>
          </w:tcPr>
          <w:p>
            <w:pPr>
              <w:spacing w:after="20" w:before="20"/>
              <w:jc w:val="center"/>
            </w:pPr>
            <w:r>
              <w:rPr>
                <w:rFonts w:ascii="Times New Roman" w:hAnsi="Times New Roman" w:cs="Times New Roman"/>
                <w:b w:val="0"/>
                <w:i w:val="0"/>
                <w:sz w:val="22"/>
              </w:rPr>
              <w:t>156,5</w:t>
            </w:r>
          </w:p>
        </w:tc>
        <w:tc>
          <w:tcPr>
            <w:tcW w:type="dxa" w:w="907"/>
            <w:vAlign w:val="center"/>
          </w:tcPr>
          <w:p>
            <w:pPr>
              <w:spacing w:after="20" w:before="20"/>
              <w:jc w:val="center"/>
            </w:pPr>
            <w:r>
              <w:rPr>
                <w:rFonts w:ascii="Times New Roman" w:hAnsi="Times New Roman" w:cs="Times New Roman"/>
                <w:b w:val="0"/>
                <w:i w:val="0"/>
                <w:sz w:val="22"/>
              </w:rPr>
              <w:t>100m3</w:t>
            </w:r>
          </w:p>
        </w:tc>
        <w:tc>
          <w:tcPr>
            <w:tcW w:type="dxa" w:w="1361"/>
            <w:vAlign w:val="center"/>
          </w:tcPr>
          <w:p>
            <w:pPr>
              <w:spacing w:after="20" w:before="20"/>
              <w:jc w:val="right"/>
            </w:pPr>
            <w:r>
              <w:rPr>
                <w:rFonts w:ascii="Times New Roman" w:hAnsi="Times New Roman" w:cs="Times New Roman"/>
                <w:b w:val="0"/>
                <w:i w:val="0"/>
                <w:sz w:val="22"/>
              </w:rPr>
              <w:t>4.870.636</w:t>
            </w:r>
          </w:p>
        </w:tc>
        <w:tc>
          <w:tcPr>
            <w:tcW w:type="dxa" w:w="1701"/>
            <w:vAlign w:val="center"/>
          </w:tcPr>
          <w:p>
            <w:pPr>
              <w:spacing w:after="20" w:before="20"/>
              <w:jc w:val="right"/>
            </w:pPr>
            <w:r>
              <w:rPr>
                <w:rFonts w:ascii="Times New Roman" w:hAnsi="Times New Roman" w:cs="Times New Roman"/>
                <w:b w:val="0"/>
                <w:i w:val="0"/>
                <w:sz w:val="22"/>
              </w:rPr>
              <w:t>762.254.534</w:t>
            </w:r>
          </w:p>
        </w:tc>
      </w:tr>
      <w:tr>
        <w:tc>
          <w:tcPr>
            <w:tcW w:type="dxa" w:w="567"/>
            <w:vAlign w:val="center"/>
          </w:tcPr>
          <w:p>
            <w:pPr>
              <w:spacing w:after="20" w:before="20"/>
              <w:jc w:val="center"/>
            </w:pPr>
            <w:r>
              <w:rPr>
                <w:rFonts w:ascii="Times New Roman" w:hAnsi="Times New Roman" w:cs="Times New Roman"/>
                <w:b w:val="0"/>
                <w:i w:val="0"/>
                <w:sz w:val="22"/>
              </w:rPr>
              <w:t>8</w:t>
            </w:r>
          </w:p>
        </w:tc>
        <w:tc>
          <w:tcPr>
            <w:tcW w:type="dxa" w:w="4309"/>
            <w:vAlign w:val="center"/>
          </w:tcPr>
          <w:p>
            <w:pPr>
              <w:spacing w:after="20" w:before="20"/>
              <w:jc w:val="left"/>
            </w:pPr>
            <w:r>
              <w:rPr>
                <w:rFonts w:ascii="Times New Roman" w:hAnsi="Times New Roman" w:cs="Times New Roman"/>
                <w:b w:val="0"/>
                <w:i w:val="0"/>
                <w:sz w:val="22"/>
              </w:rPr>
              <w:t>Làm và thả rọ đá, loại rọ 2x1x1 m trên cạn (phần 1.433 rọ)</w:t>
            </w:r>
          </w:p>
        </w:tc>
        <w:tc>
          <w:tcPr>
            <w:tcW w:type="dxa" w:w="964"/>
            <w:vAlign w:val="center"/>
          </w:tcPr>
          <w:p>
            <w:pPr>
              <w:spacing w:after="20" w:before="20"/>
              <w:jc w:val="center"/>
            </w:pPr>
            <w:r>
              <w:rPr>
                <w:rFonts w:ascii="Times New Roman" w:hAnsi="Times New Roman" w:cs="Times New Roman"/>
                <w:b w:val="0"/>
                <w:i w:val="0"/>
                <w:sz w:val="22"/>
              </w:rPr>
              <w:t>1.433</w:t>
            </w:r>
          </w:p>
        </w:tc>
        <w:tc>
          <w:tcPr>
            <w:tcW w:type="dxa" w:w="907"/>
            <w:vAlign w:val="center"/>
          </w:tcPr>
          <w:p>
            <w:pPr>
              <w:spacing w:after="20" w:before="20"/>
              <w:jc w:val="center"/>
            </w:pPr>
            <w:r>
              <w:rPr>
                <w:rFonts w:ascii="Times New Roman" w:hAnsi="Times New Roman" w:cs="Times New Roman"/>
                <w:b w:val="0"/>
                <w:i w:val="0"/>
                <w:sz w:val="22"/>
              </w:rPr>
              <w:t>rọ</w:t>
            </w:r>
          </w:p>
        </w:tc>
        <w:tc>
          <w:tcPr>
            <w:tcW w:type="dxa" w:w="1361"/>
            <w:vAlign w:val="center"/>
          </w:tcPr>
          <w:p>
            <w:pPr>
              <w:spacing w:after="20" w:before="20"/>
              <w:jc w:val="right"/>
            </w:pPr>
            <w:r>
              <w:rPr>
                <w:rFonts w:ascii="Times New Roman" w:hAnsi="Times New Roman" w:cs="Times New Roman"/>
                <w:b w:val="0"/>
                <w:i w:val="0"/>
                <w:sz w:val="22"/>
              </w:rPr>
              <w:t>1.254.055</w:t>
            </w:r>
          </w:p>
        </w:tc>
        <w:tc>
          <w:tcPr>
            <w:tcW w:type="dxa" w:w="1701"/>
            <w:vAlign w:val="center"/>
          </w:tcPr>
          <w:p>
            <w:pPr>
              <w:spacing w:after="20" w:before="20"/>
              <w:jc w:val="right"/>
            </w:pPr>
            <w:r>
              <w:rPr>
                <w:rFonts w:ascii="Times New Roman" w:hAnsi="Times New Roman" w:cs="Times New Roman"/>
                <w:b w:val="0"/>
                <w:i w:val="0"/>
                <w:sz w:val="22"/>
              </w:rPr>
              <w:t>1.797.060.815</w:t>
            </w:r>
          </w:p>
        </w:tc>
      </w:tr>
      <w:tr>
        <w:tc>
          <w:tcPr>
            <w:tcW w:type="dxa" w:w="567"/>
            <w:vAlign w:val="center"/>
          </w:tcPr>
          <w:p>
            <w:pPr>
              <w:spacing w:after="20" w:before="20"/>
              <w:jc w:val="center"/>
            </w:pPr>
            <w:r>
              <w:rPr>
                <w:rFonts w:ascii="Times New Roman" w:hAnsi="Times New Roman" w:cs="Times New Roman"/>
                <w:b w:val="0"/>
                <w:i w:val="0"/>
                <w:sz w:val="22"/>
              </w:rPr>
              <w:t>9</w:t>
            </w:r>
          </w:p>
        </w:tc>
        <w:tc>
          <w:tcPr>
            <w:tcW w:type="dxa" w:w="4309"/>
            <w:vAlign w:val="center"/>
          </w:tcPr>
          <w:p>
            <w:pPr>
              <w:spacing w:after="20" w:before="20"/>
              <w:jc w:val="left"/>
            </w:pPr>
            <w:r>
              <w:rPr>
                <w:rFonts w:ascii="Times New Roman" w:hAnsi="Times New Roman" w:cs="Times New Roman"/>
                <w:b w:val="0"/>
                <w:i w:val="0"/>
                <w:sz w:val="22"/>
              </w:rPr>
              <w:t>Đổ bê tông thủ công bằng máy trộn, bê tông sân gia cố, đá 1x2, mác 200</w:t>
            </w:r>
          </w:p>
        </w:tc>
        <w:tc>
          <w:tcPr>
            <w:tcW w:type="dxa" w:w="964"/>
            <w:vAlign w:val="center"/>
          </w:tcPr>
          <w:p>
            <w:pPr>
              <w:spacing w:after="20" w:before="20"/>
              <w:jc w:val="center"/>
            </w:pPr>
            <w:r>
              <w:rPr>
                <w:rFonts w:ascii="Times New Roman" w:hAnsi="Times New Roman" w:cs="Times New Roman"/>
                <w:b w:val="0"/>
                <w:i w:val="0"/>
                <w:sz w:val="22"/>
              </w:rPr>
              <w:t>25,2</w:t>
            </w:r>
          </w:p>
        </w:tc>
        <w:tc>
          <w:tcPr>
            <w:tcW w:type="dxa" w:w="907"/>
            <w:vAlign w:val="center"/>
          </w:tcPr>
          <w:p>
            <w:pPr>
              <w:spacing w:after="20" w:before="20"/>
              <w:jc w:val="center"/>
            </w:pPr>
            <w:r>
              <w:rPr>
                <w:rFonts w:ascii="Times New Roman" w:hAnsi="Times New Roman" w:cs="Times New Roman"/>
                <w:b w:val="0"/>
                <w:i w:val="0"/>
                <w:sz w:val="22"/>
              </w:rPr>
              <w:t>m3</w:t>
            </w:r>
          </w:p>
        </w:tc>
        <w:tc>
          <w:tcPr>
            <w:tcW w:type="dxa" w:w="1361"/>
            <w:vAlign w:val="center"/>
          </w:tcPr>
          <w:p>
            <w:pPr>
              <w:spacing w:after="20" w:before="20"/>
              <w:jc w:val="right"/>
            </w:pPr>
            <w:r>
              <w:rPr>
                <w:rFonts w:ascii="Times New Roman" w:hAnsi="Times New Roman" w:cs="Times New Roman"/>
                <w:b w:val="0"/>
                <w:i w:val="0"/>
                <w:sz w:val="22"/>
              </w:rPr>
              <w:t>1.955.834</w:t>
            </w:r>
          </w:p>
        </w:tc>
        <w:tc>
          <w:tcPr>
            <w:tcW w:type="dxa" w:w="1701"/>
            <w:vAlign w:val="center"/>
          </w:tcPr>
          <w:p>
            <w:pPr>
              <w:spacing w:after="20" w:before="20"/>
              <w:jc w:val="right"/>
            </w:pPr>
            <w:r>
              <w:rPr>
                <w:rFonts w:ascii="Times New Roman" w:hAnsi="Times New Roman" w:cs="Times New Roman"/>
                <w:b w:val="0"/>
                <w:i w:val="0"/>
                <w:sz w:val="22"/>
              </w:rPr>
              <w:t>49.287.017</w:t>
            </w:r>
          </w:p>
        </w:tc>
      </w:tr>
      <w:tr>
        <w:tc>
          <w:tcPr>
            <w:tcW w:type="dxa" w:w="567"/>
            <w:vAlign w:val="center"/>
          </w:tcPr>
          <w:p>
            <w:pPr>
              <w:spacing w:after="20" w:before="20"/>
              <w:jc w:val="center"/>
            </w:pPr>
            <w:r>
              <w:rPr>
                <w:rFonts w:ascii="Times New Roman" w:hAnsi="Times New Roman" w:cs="Times New Roman"/>
                <w:b w:val="0"/>
                <w:i w:val="0"/>
                <w:sz w:val="22"/>
              </w:rPr>
              <w:t>10</w:t>
            </w:r>
          </w:p>
        </w:tc>
        <w:tc>
          <w:tcPr>
            <w:tcW w:type="dxa" w:w="4309"/>
            <w:vAlign w:val="center"/>
          </w:tcPr>
          <w:p>
            <w:pPr>
              <w:spacing w:after="20" w:before="20"/>
              <w:jc w:val="left"/>
            </w:pPr>
            <w:r>
              <w:rPr>
                <w:rFonts w:ascii="Times New Roman" w:hAnsi="Times New Roman" w:cs="Times New Roman"/>
                <w:b w:val="0"/>
                <w:i w:val="0"/>
                <w:sz w:val="22"/>
              </w:rPr>
              <w:t>Đá hộc lát khan sân giảm áp</w:t>
            </w:r>
          </w:p>
        </w:tc>
        <w:tc>
          <w:tcPr>
            <w:tcW w:type="dxa" w:w="964"/>
            <w:vAlign w:val="center"/>
          </w:tcPr>
          <w:p>
            <w:pPr>
              <w:spacing w:after="20" w:before="20"/>
              <w:jc w:val="center"/>
            </w:pPr>
            <w:r>
              <w:rPr>
                <w:rFonts w:ascii="Times New Roman" w:hAnsi="Times New Roman" w:cs="Times New Roman"/>
                <w:b w:val="0"/>
                <w:i w:val="0"/>
                <w:sz w:val="22"/>
              </w:rPr>
              <w:t>30</w:t>
            </w:r>
          </w:p>
        </w:tc>
        <w:tc>
          <w:tcPr>
            <w:tcW w:type="dxa" w:w="907"/>
            <w:vAlign w:val="center"/>
          </w:tcPr>
          <w:p>
            <w:pPr>
              <w:spacing w:after="20" w:before="20"/>
              <w:jc w:val="center"/>
            </w:pPr>
            <w:r>
              <w:rPr>
                <w:rFonts w:ascii="Times New Roman" w:hAnsi="Times New Roman" w:cs="Times New Roman"/>
                <w:b w:val="0"/>
                <w:i w:val="0"/>
                <w:sz w:val="22"/>
              </w:rPr>
              <w:t>m3</w:t>
            </w:r>
          </w:p>
        </w:tc>
        <w:tc>
          <w:tcPr>
            <w:tcW w:type="dxa" w:w="1361"/>
            <w:vAlign w:val="center"/>
          </w:tcPr>
          <w:p>
            <w:pPr>
              <w:spacing w:after="20" w:before="20"/>
              <w:jc w:val="right"/>
            </w:pPr>
            <w:r>
              <w:rPr>
                <w:rFonts w:ascii="Times New Roman" w:hAnsi="Times New Roman" w:cs="Times New Roman"/>
                <w:b w:val="0"/>
                <w:i w:val="0"/>
                <w:sz w:val="22"/>
              </w:rPr>
              <w:t>1.115.846</w:t>
            </w:r>
          </w:p>
        </w:tc>
        <w:tc>
          <w:tcPr>
            <w:tcW w:type="dxa" w:w="1701"/>
            <w:vAlign w:val="center"/>
          </w:tcPr>
          <w:p>
            <w:pPr>
              <w:spacing w:after="20" w:before="20"/>
              <w:jc w:val="right"/>
            </w:pPr>
            <w:r>
              <w:rPr>
                <w:rFonts w:ascii="Times New Roman" w:hAnsi="Times New Roman" w:cs="Times New Roman"/>
                <w:b w:val="0"/>
                <w:i w:val="0"/>
                <w:sz w:val="22"/>
              </w:rPr>
              <w:t>33.475.380</w:t>
            </w:r>
          </w:p>
        </w:tc>
      </w:tr>
      <w:tr>
        <w:tc>
          <w:tcPr>
            <w:tcW w:type="dxa" w:w="1361"/>
            <w:gridSpan w:val="5"/>
            <w:vAlign w:val="center"/>
            <w:shd w:val="clear" w:fill="F2F2F2"/>
          </w:tcPr>
          <w:p>
            <w:pPr>
              <w:spacing w:after="20" w:before="20"/>
              <w:jc w:val="left"/>
            </w:pPr>
            <w:r>
              <w:rPr>
                <w:rFonts w:ascii="Times New Roman" w:hAnsi="Times New Roman" w:cs="Times New Roman"/>
                <w:b/>
                <w:i w:val="0"/>
                <w:sz w:val="22"/>
              </w:rPr>
              <w:t>Cộng giá trị đảm nhận về chi phí xây dựng (Gxd) - Thành viên đứng đầu</w:t>
            </w:r>
          </w:p>
        </w:tc>
        <w:tc>
          <w:tcPr>
            <w:tcW w:type="dxa" w:w="1701"/>
            <w:vAlign w:val="center"/>
            <w:shd w:val="clear" w:fill="F2F2F2"/>
          </w:tcPr>
          <w:p>
            <w:pPr>
              <w:spacing w:after="20" w:before="20"/>
              <w:jc w:val="right"/>
            </w:pPr>
            <w:r>
              <w:rPr>
                <w:rFonts w:ascii="Times New Roman" w:hAnsi="Times New Roman" w:cs="Times New Roman"/>
                <w:b/>
                <w:i w:val="0"/>
                <w:sz w:val="22"/>
              </w:rPr>
              <w:t>4.470.206.235</w:t>
            </w:r>
          </w:p>
        </w:tc>
      </w:tr>
    </w:tbl>
    <w:p>
      <w:pPr>
        <w:spacing w:after="40" w:before="0"/>
        <w:jc w:val="left"/>
      </w:pPr>
    </w:p>
    <w:p>
      <w:pPr>
        <w:spacing w:after="80" w:before="0"/>
        <w:jc w:val="left"/>
      </w:pPr>
      <w:r>
        <w:rPr>
          <w:rFonts w:ascii="Times New Roman" w:hAnsi="Times New Roman" w:cs="Times New Roman"/>
          <w:b/>
          <w:i w:val="0"/>
          <w:sz w:val="26"/>
        </w:rPr>
        <w:t>B. Công ty cổ phần đầu tư xây dựng Đại Dương (thành viên thứ hai)</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567"/>
            <w:vAlign w:val="center"/>
            <w:shd w:val="clear" w:fill="D9E1F2"/>
          </w:tcPr>
          <w:p>
            <w:pPr>
              <w:spacing w:after="20" w:before="20"/>
              <w:jc w:val="center"/>
            </w:pPr>
            <w:r>
              <w:rPr>
                <w:rFonts w:ascii="Times New Roman" w:hAnsi="Times New Roman" w:cs="Times New Roman"/>
                <w:b/>
                <w:i w:val="0"/>
                <w:sz w:val="22"/>
              </w:rPr>
              <w:t>STT</w:t>
            </w:r>
          </w:p>
        </w:tc>
        <w:tc>
          <w:tcPr>
            <w:tcW w:type="dxa" w:w="4309"/>
            <w:vAlign w:val="center"/>
            <w:shd w:val="clear" w:fill="D9E1F2"/>
          </w:tcPr>
          <w:p>
            <w:pPr>
              <w:spacing w:after="20" w:before="20"/>
              <w:jc w:val="center"/>
            </w:pPr>
            <w:r>
              <w:rPr>
                <w:rFonts w:ascii="Times New Roman" w:hAnsi="Times New Roman" w:cs="Times New Roman"/>
                <w:b/>
                <w:i w:val="0"/>
                <w:sz w:val="22"/>
              </w:rPr>
              <w:t>Nội dung công việc</w:t>
            </w:r>
          </w:p>
        </w:tc>
        <w:tc>
          <w:tcPr>
            <w:tcW w:type="dxa" w:w="964"/>
            <w:vAlign w:val="center"/>
            <w:shd w:val="clear" w:fill="D9E1F2"/>
          </w:tcPr>
          <w:p>
            <w:pPr>
              <w:spacing w:after="20" w:before="20"/>
              <w:jc w:val="center"/>
            </w:pPr>
            <w:r>
              <w:rPr>
                <w:rFonts w:ascii="Times New Roman" w:hAnsi="Times New Roman" w:cs="Times New Roman"/>
                <w:b/>
                <w:i w:val="0"/>
                <w:sz w:val="22"/>
              </w:rPr>
              <w:t>Khối lượng</w:t>
            </w:r>
          </w:p>
        </w:tc>
        <w:tc>
          <w:tcPr>
            <w:tcW w:type="dxa" w:w="907"/>
            <w:vAlign w:val="center"/>
            <w:shd w:val="clear" w:fill="D9E1F2"/>
          </w:tcPr>
          <w:p>
            <w:pPr>
              <w:spacing w:after="20" w:before="20"/>
              <w:jc w:val="center"/>
            </w:pPr>
            <w:r>
              <w:rPr>
                <w:rFonts w:ascii="Times New Roman" w:hAnsi="Times New Roman" w:cs="Times New Roman"/>
                <w:b/>
                <w:i w:val="0"/>
                <w:sz w:val="22"/>
              </w:rPr>
              <w:t>Đơn vị tính</w:t>
            </w:r>
          </w:p>
        </w:tc>
        <w:tc>
          <w:tcPr>
            <w:tcW w:type="dxa" w:w="1361"/>
            <w:vAlign w:val="center"/>
            <w:shd w:val="clear" w:fill="D9E1F2"/>
          </w:tcPr>
          <w:p>
            <w:pPr>
              <w:spacing w:after="20" w:before="20"/>
              <w:jc w:val="center"/>
            </w:pPr>
            <w:r>
              <w:rPr>
                <w:rFonts w:ascii="Times New Roman" w:hAnsi="Times New Roman" w:cs="Times New Roman"/>
                <w:b/>
                <w:i w:val="0"/>
                <w:sz w:val="22"/>
              </w:rPr>
              <w:t>Đơn giá hợp đồng</w:t>
            </w:r>
          </w:p>
        </w:tc>
        <w:tc>
          <w:tcPr>
            <w:tcW w:type="dxa" w:w="1701"/>
            <w:vAlign w:val="center"/>
            <w:shd w:val="clear" w:fill="D9E1F2"/>
          </w:tcPr>
          <w:p>
            <w:pPr>
              <w:spacing w:after="20" w:before="20"/>
              <w:jc w:val="center"/>
            </w:pPr>
            <w:r>
              <w:rPr>
                <w:rFonts w:ascii="Times New Roman" w:hAnsi="Times New Roman" w:cs="Times New Roman"/>
                <w:b/>
                <w:i w:val="0"/>
                <w:sz w:val="22"/>
              </w:rPr>
              <w:t>Thành tiền (đã gồm VAT 8%)</w:t>
            </w:r>
          </w:p>
        </w:tc>
      </w:tr>
      <w:tr>
        <w:tc>
          <w:tcPr>
            <w:tcW w:type="dxa" w:w="567"/>
            <w:vAlign w:val="center"/>
          </w:tcPr>
          <w:p>
            <w:pPr>
              <w:spacing w:after="20" w:before="20"/>
              <w:jc w:val="center"/>
            </w:pPr>
            <w:r>
              <w:rPr>
                <w:rFonts w:ascii="Times New Roman" w:hAnsi="Times New Roman" w:cs="Times New Roman"/>
                <w:b w:val="0"/>
                <w:i w:val="0"/>
                <w:sz w:val="22"/>
              </w:rPr>
              <w:t>8</w:t>
            </w:r>
          </w:p>
        </w:tc>
        <w:tc>
          <w:tcPr>
            <w:tcW w:type="dxa" w:w="4309"/>
            <w:vAlign w:val="center"/>
          </w:tcPr>
          <w:p>
            <w:pPr>
              <w:spacing w:after="20" w:before="20"/>
              <w:jc w:val="left"/>
            </w:pPr>
            <w:r>
              <w:rPr>
                <w:rFonts w:ascii="Times New Roman" w:hAnsi="Times New Roman" w:cs="Times New Roman"/>
                <w:b w:val="0"/>
                <w:i w:val="0"/>
                <w:sz w:val="22"/>
              </w:rPr>
              <w:t>Làm và thả rọ đá, loại rọ 2x1x1 m trên cạn (phần 5.358 rọ)</w:t>
            </w:r>
          </w:p>
        </w:tc>
        <w:tc>
          <w:tcPr>
            <w:tcW w:type="dxa" w:w="964"/>
            <w:vAlign w:val="center"/>
          </w:tcPr>
          <w:p>
            <w:pPr>
              <w:spacing w:after="20" w:before="20"/>
              <w:jc w:val="center"/>
            </w:pPr>
            <w:r>
              <w:rPr>
                <w:rFonts w:ascii="Times New Roman" w:hAnsi="Times New Roman" w:cs="Times New Roman"/>
                <w:b w:val="0"/>
                <w:i w:val="0"/>
                <w:sz w:val="22"/>
              </w:rPr>
              <w:t>5.358</w:t>
            </w:r>
          </w:p>
        </w:tc>
        <w:tc>
          <w:tcPr>
            <w:tcW w:type="dxa" w:w="907"/>
            <w:vAlign w:val="center"/>
          </w:tcPr>
          <w:p>
            <w:pPr>
              <w:spacing w:after="20" w:before="20"/>
              <w:jc w:val="center"/>
            </w:pPr>
            <w:r>
              <w:rPr>
                <w:rFonts w:ascii="Times New Roman" w:hAnsi="Times New Roman" w:cs="Times New Roman"/>
                <w:b w:val="0"/>
                <w:i w:val="0"/>
                <w:sz w:val="22"/>
              </w:rPr>
              <w:t>rọ</w:t>
            </w:r>
          </w:p>
        </w:tc>
        <w:tc>
          <w:tcPr>
            <w:tcW w:type="dxa" w:w="1361"/>
            <w:vAlign w:val="center"/>
          </w:tcPr>
          <w:p>
            <w:pPr>
              <w:spacing w:after="20" w:before="20"/>
              <w:jc w:val="right"/>
            </w:pPr>
            <w:r>
              <w:rPr>
                <w:rFonts w:ascii="Times New Roman" w:hAnsi="Times New Roman" w:cs="Times New Roman"/>
                <w:b w:val="0"/>
                <w:i w:val="0"/>
                <w:sz w:val="22"/>
              </w:rPr>
              <w:t>1.254.055</w:t>
            </w:r>
          </w:p>
        </w:tc>
        <w:tc>
          <w:tcPr>
            <w:tcW w:type="dxa" w:w="1701"/>
            <w:vAlign w:val="center"/>
          </w:tcPr>
          <w:p>
            <w:pPr>
              <w:spacing w:after="20" w:before="20"/>
              <w:jc w:val="right"/>
            </w:pPr>
            <w:r>
              <w:rPr>
                <w:rFonts w:ascii="Times New Roman" w:hAnsi="Times New Roman" w:cs="Times New Roman"/>
                <w:b w:val="0"/>
                <w:i w:val="0"/>
                <w:sz w:val="22"/>
              </w:rPr>
              <w:t>6.719.226.690</w:t>
            </w:r>
          </w:p>
        </w:tc>
      </w:tr>
      <w:tr>
        <w:tc>
          <w:tcPr>
            <w:tcW w:type="dxa" w:w="1361"/>
            <w:gridSpan w:val="5"/>
            <w:vAlign w:val="center"/>
            <w:shd w:val="clear" w:fill="F2F2F2"/>
          </w:tcPr>
          <w:p>
            <w:pPr>
              <w:spacing w:after="20" w:before="20"/>
              <w:jc w:val="left"/>
            </w:pPr>
            <w:r>
              <w:rPr>
                <w:rFonts w:ascii="Times New Roman" w:hAnsi="Times New Roman" w:cs="Times New Roman"/>
                <w:b/>
                <w:i w:val="0"/>
                <w:sz w:val="22"/>
              </w:rPr>
              <w:t>Cộng giá trị đảm nhận về chi phí xây dựng (Gxd) - Thành viên thứ hai</w:t>
            </w:r>
          </w:p>
        </w:tc>
        <w:tc>
          <w:tcPr>
            <w:tcW w:type="dxa" w:w="1701"/>
            <w:vAlign w:val="center"/>
            <w:shd w:val="clear" w:fill="F2F2F2"/>
          </w:tcPr>
          <w:p>
            <w:pPr>
              <w:spacing w:after="20" w:before="20"/>
              <w:jc w:val="right"/>
            </w:pPr>
            <w:r>
              <w:rPr>
                <w:rFonts w:ascii="Times New Roman" w:hAnsi="Times New Roman" w:cs="Times New Roman"/>
                <w:b/>
                <w:i w:val="0"/>
                <w:sz w:val="22"/>
              </w:rPr>
              <w:t>6.719.226.690</w:t>
            </w:r>
          </w:p>
        </w:tc>
      </w:tr>
    </w:tbl>
    <w:p>
      <w:pPr>
        <w:spacing w:after="40" w:before="0"/>
        <w:jc w:val="left"/>
      </w:pPr>
    </w:p>
    <w:p>
      <w:pPr>
        <w:spacing w:after="80" w:before="0"/>
        <w:jc w:val="left"/>
      </w:pPr>
      <w:r>
        <w:rPr>
          <w:rFonts w:ascii="Times New Roman" w:hAnsi="Times New Roman" w:cs="Times New Roman"/>
          <w:b/>
          <w:i w:val="0"/>
          <w:sz w:val="26"/>
        </w:rPr>
        <w:t>C. Tổng hợp giá trị đảm nhận của các thành viên</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510"/>
            <w:vAlign w:val="center"/>
            <w:shd w:val="clear" w:fill="D9E1F2"/>
          </w:tcPr>
          <w:p>
            <w:pPr>
              <w:spacing w:after="20" w:before="20"/>
              <w:jc w:val="center"/>
            </w:pPr>
            <w:r>
              <w:rPr>
                <w:rFonts w:ascii="Times New Roman" w:hAnsi="Times New Roman" w:cs="Times New Roman"/>
                <w:b/>
                <w:i w:val="0"/>
                <w:sz w:val="22"/>
              </w:rPr>
              <w:t>STT</w:t>
            </w:r>
          </w:p>
        </w:tc>
        <w:tc>
          <w:tcPr>
            <w:tcW w:type="dxa" w:w="3345"/>
            <w:vAlign w:val="center"/>
            <w:shd w:val="clear" w:fill="D9E1F2"/>
          </w:tcPr>
          <w:p>
            <w:pPr>
              <w:spacing w:after="20" w:before="20"/>
              <w:jc w:val="center"/>
            </w:pPr>
            <w:r>
              <w:rPr>
                <w:rFonts w:ascii="Times New Roman" w:hAnsi="Times New Roman" w:cs="Times New Roman"/>
                <w:b/>
                <w:i w:val="0"/>
                <w:sz w:val="22"/>
              </w:rPr>
              <w:t>Thành viên liên danh</w:t>
            </w:r>
          </w:p>
        </w:tc>
        <w:tc>
          <w:tcPr>
            <w:tcW w:type="dxa" w:w="1531"/>
            <w:vAlign w:val="center"/>
            <w:shd w:val="clear" w:fill="D9E1F2"/>
          </w:tcPr>
          <w:p>
            <w:pPr>
              <w:spacing w:after="20" w:before="20"/>
              <w:jc w:val="center"/>
            </w:pPr>
            <w:r>
              <w:rPr>
                <w:rFonts w:ascii="Times New Roman" w:hAnsi="Times New Roman" w:cs="Times New Roman"/>
                <w:b/>
                <w:i w:val="0"/>
                <w:sz w:val="22"/>
              </w:rPr>
              <w:t>Chi phí xây dựng (Gxd)</w:t>
            </w:r>
          </w:p>
        </w:tc>
        <w:tc>
          <w:tcPr>
            <w:tcW w:type="dxa" w:w="1361"/>
            <w:vAlign w:val="center"/>
            <w:shd w:val="clear" w:fill="D9E1F2"/>
          </w:tcPr>
          <w:p>
            <w:pPr>
              <w:spacing w:after="20" w:before="20"/>
              <w:jc w:val="center"/>
            </w:pPr>
            <w:r>
              <w:rPr>
                <w:rFonts w:ascii="Times New Roman" w:hAnsi="Times New Roman" w:cs="Times New Roman"/>
                <w:b/>
                <w:i w:val="0"/>
                <w:sz w:val="22"/>
              </w:rPr>
              <w:t>Dự phòng phân bổ</w:t>
            </w:r>
          </w:p>
        </w:tc>
        <w:tc>
          <w:tcPr>
            <w:tcW w:type="dxa" w:w="1531"/>
            <w:vAlign w:val="center"/>
            <w:shd w:val="clear" w:fill="D9E1F2"/>
          </w:tcPr>
          <w:p>
            <w:pPr>
              <w:spacing w:after="20" w:before="20"/>
              <w:jc w:val="center"/>
            </w:pPr>
            <w:r>
              <w:rPr>
                <w:rFonts w:ascii="Times New Roman" w:hAnsi="Times New Roman" w:cs="Times New Roman"/>
                <w:b/>
                <w:i w:val="0"/>
                <w:sz w:val="22"/>
              </w:rPr>
              <w:t>Giá trị đảm nhận</w:t>
            </w:r>
          </w:p>
        </w:tc>
        <w:tc>
          <w:tcPr>
            <w:tcW w:type="dxa" w:w="794"/>
            <w:vAlign w:val="center"/>
            <w:shd w:val="clear" w:fill="D9E1F2"/>
          </w:tcPr>
          <w:p>
            <w:pPr>
              <w:spacing w:after="20" w:before="20"/>
              <w:jc w:val="center"/>
            </w:pPr>
            <w:r>
              <w:rPr>
                <w:rFonts w:ascii="Times New Roman" w:hAnsi="Times New Roman" w:cs="Times New Roman"/>
                <w:b/>
                <w:i w:val="0"/>
                <w:sz w:val="22"/>
              </w:rPr>
              <w:t>Tỷ lệ</w:t>
            </w:r>
          </w:p>
        </w:tc>
      </w:tr>
      <w:tr>
        <w:tc>
          <w:tcPr>
            <w:tcW w:type="dxa" w:w="510"/>
            <w:vAlign w:val="center"/>
          </w:tcPr>
          <w:p>
            <w:pPr>
              <w:spacing w:after="20" w:before="20"/>
              <w:jc w:val="center"/>
            </w:pPr>
            <w:r>
              <w:rPr>
                <w:rFonts w:ascii="Times New Roman" w:hAnsi="Times New Roman" w:cs="Times New Roman"/>
                <w:b w:val="0"/>
                <w:i w:val="0"/>
                <w:sz w:val="22"/>
              </w:rPr>
              <w:t>1</w:t>
            </w:r>
          </w:p>
        </w:tc>
        <w:tc>
          <w:tcPr>
            <w:tcW w:type="dxa" w:w="3345"/>
            <w:vAlign w:val="center"/>
          </w:tcPr>
          <w:p>
            <w:pPr>
              <w:spacing w:after="20" w:before="20"/>
              <w:jc w:val="left"/>
            </w:pPr>
            <w:r>
              <w:rPr>
                <w:rFonts w:ascii="Times New Roman" w:hAnsi="Times New Roman" w:cs="Times New Roman"/>
                <w:b w:val="0"/>
                <w:i w:val="0"/>
                <w:sz w:val="22"/>
              </w:rPr>
              <w:t>Công ty CP ĐTXD Thương mại Hưng Thịnh Hà Nội (đứng đầu)</w:t>
            </w:r>
          </w:p>
        </w:tc>
        <w:tc>
          <w:tcPr>
            <w:tcW w:type="dxa" w:w="1531"/>
            <w:vAlign w:val="center"/>
          </w:tcPr>
          <w:p>
            <w:pPr>
              <w:spacing w:after="20" w:before="20"/>
              <w:jc w:val="right"/>
            </w:pPr>
            <w:r>
              <w:rPr>
                <w:rFonts w:ascii="Times New Roman" w:hAnsi="Times New Roman" w:cs="Times New Roman"/>
                <w:b w:val="0"/>
                <w:i w:val="0"/>
                <w:sz w:val="22"/>
              </w:rPr>
              <w:t>4.470.206.235</w:t>
            </w:r>
          </w:p>
        </w:tc>
        <w:tc>
          <w:tcPr>
            <w:tcW w:type="dxa" w:w="1361"/>
            <w:vAlign w:val="center"/>
          </w:tcPr>
          <w:p>
            <w:pPr>
              <w:spacing w:after="20" w:before="20"/>
              <w:jc w:val="right"/>
            </w:pPr>
            <w:r>
              <w:rPr>
                <w:rFonts w:ascii="Times New Roman" w:hAnsi="Times New Roman" w:cs="Times New Roman"/>
                <w:b w:val="0"/>
                <w:i w:val="0"/>
                <w:sz w:val="22"/>
              </w:rPr>
              <w:t>439.839.293</w:t>
            </w:r>
          </w:p>
        </w:tc>
        <w:tc>
          <w:tcPr>
            <w:tcW w:type="dxa" w:w="1531"/>
            <w:vAlign w:val="center"/>
          </w:tcPr>
          <w:p>
            <w:pPr>
              <w:spacing w:after="20" w:before="20"/>
              <w:jc w:val="right"/>
            </w:pPr>
            <w:r>
              <w:rPr>
                <w:rFonts w:ascii="Times New Roman" w:hAnsi="Times New Roman" w:cs="Times New Roman"/>
                <w:b w:val="0"/>
                <w:i w:val="0"/>
                <w:sz w:val="22"/>
              </w:rPr>
              <w:t>4.910.045.528</w:t>
            </w:r>
          </w:p>
        </w:tc>
        <w:tc>
          <w:tcPr>
            <w:tcW w:type="dxa" w:w="794"/>
            <w:vAlign w:val="center"/>
          </w:tcPr>
          <w:p>
            <w:pPr>
              <w:spacing w:after="20" w:before="20"/>
              <w:jc w:val="center"/>
            </w:pPr>
            <w:r>
              <w:rPr>
                <w:rFonts w:ascii="Times New Roman" w:hAnsi="Times New Roman" w:cs="Times New Roman"/>
                <w:b w:val="0"/>
                <w:i w:val="0"/>
                <w:sz w:val="22"/>
              </w:rPr>
              <w:t>39,95%</w:t>
            </w:r>
          </w:p>
        </w:tc>
      </w:tr>
      <w:tr>
        <w:tc>
          <w:tcPr>
            <w:tcW w:type="dxa" w:w="510"/>
            <w:vAlign w:val="center"/>
          </w:tcPr>
          <w:p>
            <w:pPr>
              <w:spacing w:after="20" w:before="20"/>
              <w:jc w:val="center"/>
            </w:pPr>
            <w:r>
              <w:rPr>
                <w:rFonts w:ascii="Times New Roman" w:hAnsi="Times New Roman" w:cs="Times New Roman"/>
                <w:b w:val="0"/>
                <w:i w:val="0"/>
                <w:sz w:val="22"/>
              </w:rPr>
              <w:t>2</w:t>
            </w:r>
          </w:p>
        </w:tc>
        <w:tc>
          <w:tcPr>
            <w:tcW w:type="dxa" w:w="3345"/>
            <w:vAlign w:val="center"/>
          </w:tcPr>
          <w:p>
            <w:pPr>
              <w:spacing w:after="20" w:before="20"/>
              <w:jc w:val="left"/>
            </w:pPr>
            <w:r>
              <w:rPr>
                <w:rFonts w:ascii="Times New Roman" w:hAnsi="Times New Roman" w:cs="Times New Roman"/>
                <w:b w:val="0"/>
                <w:i w:val="0"/>
                <w:sz w:val="22"/>
              </w:rPr>
              <w:t>Công ty CP đầu tư xây dựng Đại Dương</w:t>
            </w:r>
          </w:p>
        </w:tc>
        <w:tc>
          <w:tcPr>
            <w:tcW w:type="dxa" w:w="1531"/>
            <w:vAlign w:val="center"/>
          </w:tcPr>
          <w:p>
            <w:pPr>
              <w:spacing w:after="20" w:before="20"/>
              <w:jc w:val="right"/>
            </w:pPr>
            <w:r>
              <w:rPr>
                <w:rFonts w:ascii="Times New Roman" w:hAnsi="Times New Roman" w:cs="Times New Roman"/>
                <w:b w:val="0"/>
                <w:i w:val="0"/>
                <w:sz w:val="22"/>
              </w:rPr>
              <w:t>6.719.226.690</w:t>
            </w:r>
          </w:p>
        </w:tc>
        <w:tc>
          <w:tcPr>
            <w:tcW w:type="dxa" w:w="1361"/>
            <w:vAlign w:val="center"/>
          </w:tcPr>
          <w:p>
            <w:pPr>
              <w:spacing w:after="20" w:before="20"/>
              <w:jc w:val="right"/>
            </w:pPr>
            <w:r>
              <w:rPr>
                <w:rFonts w:ascii="Times New Roman" w:hAnsi="Times New Roman" w:cs="Times New Roman"/>
                <w:b w:val="0"/>
                <w:i w:val="0"/>
                <w:sz w:val="22"/>
              </w:rPr>
              <w:t>661.204.699</w:t>
            </w:r>
          </w:p>
        </w:tc>
        <w:tc>
          <w:tcPr>
            <w:tcW w:type="dxa" w:w="1531"/>
            <w:vAlign w:val="center"/>
          </w:tcPr>
          <w:p>
            <w:pPr>
              <w:spacing w:after="20" w:before="20"/>
              <w:jc w:val="right"/>
            </w:pPr>
            <w:r>
              <w:rPr>
                <w:rFonts w:ascii="Times New Roman" w:hAnsi="Times New Roman" w:cs="Times New Roman"/>
                <w:b w:val="0"/>
                <w:i w:val="0"/>
                <w:sz w:val="22"/>
              </w:rPr>
              <w:t>7.380.431.389</w:t>
            </w:r>
          </w:p>
        </w:tc>
        <w:tc>
          <w:tcPr>
            <w:tcW w:type="dxa" w:w="794"/>
            <w:vAlign w:val="center"/>
          </w:tcPr>
          <w:p>
            <w:pPr>
              <w:spacing w:after="20" w:before="20"/>
              <w:jc w:val="center"/>
            </w:pPr>
            <w:r>
              <w:rPr>
                <w:rFonts w:ascii="Times New Roman" w:hAnsi="Times New Roman" w:cs="Times New Roman"/>
                <w:b w:val="0"/>
                <w:i w:val="0"/>
                <w:sz w:val="22"/>
              </w:rPr>
              <w:t>60,05%</w:t>
            </w:r>
          </w:p>
        </w:tc>
      </w:tr>
      <w:tr>
        <w:tc>
          <w:tcPr>
            <w:tcW w:type="dxa" w:w="510"/>
            <w:vAlign w:val="center"/>
            <w:shd w:val="clear" w:fill="F2F2F2"/>
          </w:tcPr>
          <w:p>
            <w:pPr>
              <w:spacing w:after="20" w:before="20"/>
              <w:jc w:val="center"/>
            </w:pPr>
            <w:r>
              <w:rPr>
                <w:rFonts w:ascii="Times New Roman" w:hAnsi="Times New Roman" w:cs="Times New Roman"/>
                <w:b w:val="0"/>
                <w:i w:val="0"/>
                <w:sz w:val="22"/>
              </w:rPr>
            </w:r>
          </w:p>
        </w:tc>
        <w:tc>
          <w:tcPr>
            <w:tcW w:type="dxa" w:w="3345"/>
            <w:vAlign w:val="center"/>
            <w:shd w:val="clear" w:fill="F2F2F2"/>
          </w:tcPr>
          <w:p>
            <w:pPr>
              <w:spacing w:after="20" w:before="20"/>
              <w:jc w:val="left"/>
            </w:pPr>
            <w:r>
              <w:rPr>
                <w:rFonts w:ascii="Times New Roman" w:hAnsi="Times New Roman" w:cs="Times New Roman"/>
                <w:b/>
                <w:i w:val="0"/>
                <w:sz w:val="22"/>
              </w:rPr>
              <w:t>Tổng cộng</w:t>
            </w:r>
          </w:p>
        </w:tc>
        <w:tc>
          <w:tcPr>
            <w:tcW w:type="dxa" w:w="1531"/>
            <w:vAlign w:val="center"/>
            <w:shd w:val="clear" w:fill="F2F2F2"/>
          </w:tcPr>
          <w:p>
            <w:pPr>
              <w:spacing w:after="20" w:before="20"/>
              <w:jc w:val="right"/>
            </w:pPr>
            <w:r>
              <w:rPr>
                <w:rFonts w:ascii="Times New Roman" w:hAnsi="Times New Roman" w:cs="Times New Roman"/>
                <w:b/>
                <w:i w:val="0"/>
                <w:sz w:val="22"/>
              </w:rPr>
              <w:t>11.189.432.925</w:t>
            </w:r>
          </w:p>
        </w:tc>
        <w:tc>
          <w:tcPr>
            <w:tcW w:type="dxa" w:w="1361"/>
            <w:vAlign w:val="center"/>
            <w:shd w:val="clear" w:fill="F2F2F2"/>
          </w:tcPr>
          <w:p>
            <w:pPr>
              <w:spacing w:after="20" w:before="20"/>
              <w:jc w:val="right"/>
            </w:pPr>
            <w:r>
              <w:rPr>
                <w:rFonts w:ascii="Times New Roman" w:hAnsi="Times New Roman" w:cs="Times New Roman"/>
                <w:b/>
                <w:i w:val="0"/>
                <w:sz w:val="22"/>
              </w:rPr>
              <w:t>1.101.043.992</w:t>
            </w:r>
          </w:p>
        </w:tc>
        <w:tc>
          <w:tcPr>
            <w:tcW w:type="dxa" w:w="1531"/>
            <w:vAlign w:val="center"/>
            <w:shd w:val="clear" w:fill="F2F2F2"/>
          </w:tcPr>
          <w:p>
            <w:pPr>
              <w:spacing w:after="20" w:before="20"/>
              <w:jc w:val="right"/>
            </w:pPr>
            <w:r>
              <w:rPr>
                <w:rFonts w:ascii="Times New Roman" w:hAnsi="Times New Roman" w:cs="Times New Roman"/>
                <w:b/>
                <w:i w:val="0"/>
                <w:sz w:val="22"/>
              </w:rPr>
              <w:t>12.290.476.917</w:t>
            </w:r>
          </w:p>
        </w:tc>
        <w:tc>
          <w:tcPr>
            <w:tcW w:type="dxa" w:w="794"/>
            <w:vAlign w:val="center"/>
            <w:shd w:val="clear" w:fill="F2F2F2"/>
          </w:tcPr>
          <w:p>
            <w:pPr>
              <w:spacing w:after="20" w:before="20"/>
              <w:jc w:val="center"/>
            </w:pPr>
            <w:r>
              <w:rPr>
                <w:rFonts w:ascii="Times New Roman" w:hAnsi="Times New Roman" w:cs="Times New Roman"/>
                <w:b/>
                <w:i w:val="0"/>
                <w:sz w:val="22"/>
              </w:rPr>
              <w:t>100%</w:t>
            </w:r>
          </w:p>
        </w:tc>
      </w:tr>
    </w:tbl>
    <w:p>
      <w:pPr>
        <w:spacing w:after="40" w:before="0"/>
        <w:jc w:val="left"/>
      </w:pPr>
    </w:p>
    <w:p>
      <w:pPr>
        <w:spacing w:after="280" w:before="0"/>
        <w:jc w:val="both"/>
      </w:pPr>
      <w:r>
        <w:rPr>
          <w:rFonts w:ascii="Times New Roman" w:hAnsi="Times New Roman" w:cs="Times New Roman"/>
          <w:b w:val="0"/>
          <w:i/>
          <w:sz w:val="22"/>
        </w:rPr>
        <w:t>Ghi chú: Chi phí dự phòng (Gdp) do Chủ đầu tư quản lý, dùng để thanh toán khối lượng phát sinh (nếu có); được phân bổ theo tỷ lệ đảm nhận của từng thành viên. Giá trị đảm nhận của mỗi thành viên tương ứng tỷ lệ trên tổng giá hợp đồng 12.290.476.917 đồng.</w:t>
      </w:r>
    </w:p>
    <w:tbl>
      <w:tblPr>
        <w:tblW w:type="auto" w:w="0"/>
        <w:jc w:val="center"/>
        <w:tblLook w:firstColumn="1" w:firstRow="1" w:lastColumn="0" w:lastRow="0" w:noHBand="0" w:noVBand="1" w:val="04A0"/>
      </w:tblPr>
      <w:tblGrid>
        <w:gridCol w:w="4702"/>
        <w:gridCol w:w="4702"/>
      </w:tblGrid>
      <w:tr>
        <w:tc>
          <w:tcPr>
            <w:tcW w:type="dxa" w:w="4702"/>
            <w:vAlign w:val="top"/>
            <w:tcBorders>
              <w:top w:val="nil"/>
              <w:left w:val="nil"/>
              <w:bottom w:val="nil"/>
              <w:right w:val="nil"/>
            </w:tcBorders>
          </w:tcPr>
          <w:p>
            <w:pPr>
              <w:spacing w:after="40"/>
              <w:jc w:val="center"/>
            </w:pPr>
            <w:r>
              <w:rPr>
                <w:rFonts w:ascii="Times New Roman" w:hAnsi="Times New Roman" w:cs="Times New Roman"/>
                <w:b/>
                <w:i w:val="0"/>
                <w:sz w:val="24"/>
              </w:rPr>
              <w:t>THÀNH VIÊN ĐỨNG ĐẦU LIÊN DANH</w:t>
            </w:r>
          </w:p>
          <w:p>
            <w:pPr>
              <w:spacing w:after="40"/>
              <w:jc w:val="center"/>
            </w:pPr>
            <w:r>
              <w:rPr>
                <w:rFonts w:ascii="Times New Roman" w:hAnsi="Times New Roman" w:cs="Times New Roman"/>
                <w:b/>
                <w:i w:val="0"/>
                <w:sz w:val="24"/>
              </w:rPr>
              <w:t>CÔNG TY CP ĐTXD TM HƯNG THỊNH HÀ NỘI</w:t>
            </w:r>
          </w:p>
          <w:p>
            <w:pPr>
              <w:spacing w:after="40"/>
              <w:jc w:val="center"/>
            </w:pPr>
            <w:r>
              <w:rPr>
                <w:rFonts w:ascii="Times New Roman" w:hAnsi="Times New Roman" w:cs="Times New Roman"/>
                <w:b/>
                <w:i w:val="0"/>
                <w:sz w:val="24"/>
              </w:rPr>
              <w:t>GIÁM ĐỐC</w:t>
            </w:r>
          </w:p>
          <w:p>
            <w:pPr>
              <w:spacing w:after="40"/>
              <w:jc w:val="center"/>
            </w:pPr>
            <w:r>
              <w:rPr>
                <w:rFonts w:ascii="Times New Roman" w:hAnsi="Times New Roman" w:cs="Times New Roman"/>
                <w:b w:val="0"/>
                <w:i w:val="0"/>
                <w:sz w:val="24"/>
              </w:rPr>
            </w:r>
          </w:p>
          <w:p>
            <w:pPr>
              <w:spacing w:after="40"/>
              <w:jc w:val="center"/>
            </w:pPr>
            <w:r>
              <w:rPr>
                <w:rFonts w:ascii="Times New Roman" w:hAnsi="Times New Roman" w:cs="Times New Roman"/>
                <w:b w:val="0"/>
                <w:i w:val="0"/>
                <w:sz w:val="24"/>
              </w:rPr>
            </w:r>
          </w:p>
          <w:p>
            <w:pPr>
              <w:spacing w:after="40"/>
              <w:jc w:val="center"/>
            </w:pPr>
            <w:r>
              <w:rPr>
                <w:rFonts w:ascii="Times New Roman" w:hAnsi="Times New Roman" w:cs="Times New Roman"/>
                <w:b w:val="0"/>
                <w:i w:val="0"/>
                <w:sz w:val="24"/>
              </w:rPr>
            </w:r>
          </w:p>
          <w:p>
            <w:pPr>
              <w:spacing w:after="40"/>
              <w:jc w:val="center"/>
            </w:pPr>
            <w:r>
              <w:rPr>
                <w:rFonts w:ascii="Times New Roman" w:hAnsi="Times New Roman" w:cs="Times New Roman"/>
                <w:b/>
                <w:i w:val="0"/>
                <w:sz w:val="24"/>
              </w:rPr>
              <w:t>Tưởng Duy Huyền</w:t>
            </w:r>
          </w:p>
        </w:tc>
        <w:tc>
          <w:tcPr>
            <w:tcW w:type="dxa" w:w="4702"/>
            <w:vAlign w:val="top"/>
            <w:tcBorders>
              <w:top w:val="nil"/>
              <w:left w:val="nil"/>
              <w:bottom w:val="nil"/>
              <w:right w:val="nil"/>
            </w:tcBorders>
          </w:tcPr>
          <w:p>
            <w:pPr>
              <w:spacing w:after="40"/>
              <w:jc w:val="center"/>
            </w:pPr>
            <w:r>
              <w:rPr>
                <w:rFonts w:ascii="Times New Roman" w:hAnsi="Times New Roman" w:cs="Times New Roman"/>
                <w:b/>
                <w:i w:val="0"/>
                <w:sz w:val="24"/>
              </w:rPr>
              <w:t>THÀNH VIÊN THỨ HAI</w:t>
            </w:r>
          </w:p>
          <w:p>
            <w:pPr>
              <w:spacing w:after="40"/>
              <w:jc w:val="center"/>
            </w:pPr>
            <w:r>
              <w:rPr>
                <w:rFonts w:ascii="Times New Roman" w:hAnsi="Times New Roman" w:cs="Times New Roman"/>
                <w:b/>
                <w:i w:val="0"/>
                <w:sz w:val="24"/>
              </w:rPr>
              <w:t>CÔNG TY CP ĐTXD ĐẠI DƯƠNG</w:t>
            </w:r>
          </w:p>
          <w:p>
            <w:pPr>
              <w:spacing w:after="40"/>
              <w:jc w:val="center"/>
            </w:pPr>
            <w:r>
              <w:rPr>
                <w:rFonts w:ascii="Times New Roman" w:hAnsi="Times New Roman" w:cs="Times New Roman"/>
                <w:b/>
                <w:i w:val="0"/>
                <w:sz w:val="24"/>
              </w:rPr>
              <w:t>GIÁM ĐỐC</w:t>
            </w:r>
          </w:p>
          <w:p>
            <w:pPr>
              <w:spacing w:after="40"/>
              <w:jc w:val="center"/>
            </w:pPr>
            <w:r>
              <w:rPr>
                <w:rFonts w:ascii="Times New Roman" w:hAnsi="Times New Roman" w:cs="Times New Roman"/>
                <w:b w:val="0"/>
                <w:i w:val="0"/>
                <w:sz w:val="24"/>
              </w:rPr>
            </w:r>
          </w:p>
          <w:p>
            <w:pPr>
              <w:spacing w:after="40"/>
              <w:jc w:val="center"/>
            </w:pPr>
            <w:r>
              <w:rPr>
                <w:rFonts w:ascii="Times New Roman" w:hAnsi="Times New Roman" w:cs="Times New Roman"/>
                <w:b w:val="0"/>
                <w:i w:val="0"/>
                <w:sz w:val="24"/>
              </w:rPr>
            </w:r>
          </w:p>
          <w:p>
            <w:pPr>
              <w:spacing w:after="40"/>
              <w:jc w:val="center"/>
            </w:pPr>
            <w:r>
              <w:rPr>
                <w:rFonts w:ascii="Times New Roman" w:hAnsi="Times New Roman" w:cs="Times New Roman"/>
                <w:b w:val="0"/>
                <w:i w:val="0"/>
                <w:sz w:val="24"/>
              </w:rPr>
            </w:r>
          </w:p>
          <w:p>
            <w:pPr>
              <w:spacing w:after="40"/>
              <w:jc w:val="center"/>
            </w:pPr>
            <w:r>
              <w:rPr>
                <w:rFonts w:ascii="Times New Roman" w:hAnsi="Times New Roman" w:cs="Times New Roman"/>
                <w:b/>
                <w:i w:val="0"/>
                <w:sz w:val="24"/>
              </w:rPr>
              <w:t>Nguyễn Đình Thường</w:t>
            </w:r>
          </w:p>
        </w:tc>
      </w:tr>
    </w:tbl>
    <w:sectPr w:rsidR="00FC693F" w:rsidRPr="0006063C" w:rsidSect="00034616">
      <w:pgSz w:w="12240" w:h="15840"/>
      <w:pgMar w:top="850" w:right="1134" w:bottom="85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