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AEF112" w14:textId="77777777" w:rsidR="004C2F10" w:rsidRDefault="00D414A0">
      <w:pPr>
        <w:jc w:val="center"/>
      </w:pPr>
      <w:r>
        <w:rPr>
          <w:b/>
          <w:sz w:val="52"/>
        </w:rPr>
        <w:t>Technical Design Document (TDD)</w:t>
      </w:r>
    </w:p>
    <w:p w14:paraId="3B633002" w14:textId="77777777" w:rsidR="004C2F10" w:rsidRDefault="00D414A0">
      <w:pPr>
        <w:jc w:val="center"/>
      </w:pPr>
      <w:r>
        <w:rPr>
          <w:b/>
          <w:sz w:val="36"/>
        </w:rPr>
        <w:t>Vertex IP Correspondence Automation Agent</w:t>
      </w:r>
    </w:p>
    <w:p w14:paraId="673588ED" w14:textId="77777777" w:rsidR="004C2F10" w:rsidRDefault="004C2F10"/>
    <w:tbl>
      <w:tblPr>
        <w:tblStyle w:val="LightGrid-Accent1"/>
        <w:tblW w:w="0" w:type="auto"/>
        <w:tblLook w:val="04A0" w:firstRow="1" w:lastRow="0" w:firstColumn="1" w:lastColumn="0" w:noHBand="0" w:noVBand="1"/>
      </w:tblPr>
      <w:tblGrid>
        <w:gridCol w:w="4320"/>
        <w:gridCol w:w="4320"/>
      </w:tblGrid>
      <w:tr w:rsidR="004C2F10" w14:paraId="451C6F87" w14:textId="77777777" w:rsidTr="004C2F1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BD2E1E3" w14:textId="77777777" w:rsidR="004C2F10" w:rsidRDefault="00D414A0">
            <w:r>
              <w:t>Client</w:t>
            </w:r>
          </w:p>
        </w:tc>
        <w:tc>
          <w:tcPr>
            <w:tcW w:w="4320" w:type="dxa"/>
          </w:tcPr>
          <w:p w14:paraId="3430899F" w14:textId="77777777" w:rsidR="004C2F10" w:rsidRDefault="00D414A0">
            <w:pPr>
              <w:cnfStyle w:val="100000000000" w:firstRow="1" w:lastRow="0" w:firstColumn="0" w:lastColumn="0" w:oddVBand="0" w:evenVBand="0" w:oddHBand="0" w:evenHBand="0" w:firstRowFirstColumn="0" w:firstRowLastColumn="0" w:lastRowFirstColumn="0" w:lastRowLastColumn="0"/>
            </w:pPr>
            <w:r>
              <w:t>Vertex Pharmaceuticals</w:t>
            </w:r>
          </w:p>
        </w:tc>
      </w:tr>
      <w:tr w:rsidR="004C2F10" w14:paraId="0EF8F04C" w14:textId="77777777" w:rsidTr="004C2F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EEF74EB" w14:textId="77777777" w:rsidR="004C2F10" w:rsidRDefault="00D414A0">
            <w:r>
              <w:t>Project</w:t>
            </w:r>
          </w:p>
        </w:tc>
        <w:tc>
          <w:tcPr>
            <w:tcW w:w="4320" w:type="dxa"/>
          </w:tcPr>
          <w:p w14:paraId="73654445" w14:textId="77777777" w:rsidR="004C2F10" w:rsidRDefault="00D414A0">
            <w:pPr>
              <w:cnfStyle w:val="000000100000" w:firstRow="0" w:lastRow="0" w:firstColumn="0" w:lastColumn="0" w:oddVBand="0" w:evenVBand="0" w:oddHBand="1" w:evenHBand="0" w:firstRowFirstColumn="0" w:firstRowLastColumn="0" w:lastRowFirstColumn="0" w:lastRowLastColumn="0"/>
            </w:pPr>
            <w:r>
              <w:t>IP Correspondence Automation</w:t>
            </w:r>
          </w:p>
        </w:tc>
      </w:tr>
      <w:tr w:rsidR="004C2F10" w14:paraId="02ACFCFF" w14:textId="77777777" w:rsidTr="004C2F1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F27565E" w14:textId="77777777" w:rsidR="004C2F10" w:rsidRDefault="00D414A0">
            <w:r>
              <w:t>Solution Platform</w:t>
            </w:r>
          </w:p>
        </w:tc>
        <w:tc>
          <w:tcPr>
            <w:tcW w:w="4320" w:type="dxa"/>
          </w:tcPr>
          <w:p w14:paraId="23294E49" w14:textId="77777777" w:rsidR="004C2F10" w:rsidRDefault="00D414A0">
            <w:pPr>
              <w:cnfStyle w:val="000000010000" w:firstRow="0" w:lastRow="0" w:firstColumn="0" w:lastColumn="0" w:oddVBand="0" w:evenVBand="0" w:oddHBand="0" w:evenHBand="1" w:firstRowFirstColumn="0" w:firstRowLastColumn="0" w:lastRowFirstColumn="0" w:lastRowLastColumn="0"/>
            </w:pPr>
            <w:r>
              <w:t>Microsoft Power Platform (Power Automate, Outlook, Dataverse) + Azure AI Foundry (Azure OpenAI)</w:t>
            </w:r>
          </w:p>
        </w:tc>
      </w:tr>
      <w:tr w:rsidR="004C2F10" w14:paraId="0BF6F4B3" w14:textId="77777777" w:rsidTr="004C2F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1727823" w14:textId="77777777" w:rsidR="004C2F10" w:rsidRDefault="00D414A0">
            <w:r>
              <w:t>Document Type</w:t>
            </w:r>
          </w:p>
        </w:tc>
        <w:tc>
          <w:tcPr>
            <w:tcW w:w="4320" w:type="dxa"/>
          </w:tcPr>
          <w:p w14:paraId="5F77A4B7" w14:textId="77777777" w:rsidR="004C2F10" w:rsidRDefault="00D414A0">
            <w:pPr>
              <w:cnfStyle w:val="000000100000" w:firstRow="0" w:lastRow="0" w:firstColumn="0" w:lastColumn="0" w:oddVBand="0" w:evenVBand="0" w:oddHBand="1" w:evenHBand="0" w:firstRowFirstColumn="0" w:firstRowLastColumn="0" w:lastRowFirstColumn="0" w:lastRowLastColumn="0"/>
            </w:pPr>
            <w:r>
              <w:t>Technical Design Document (TDD)</w:t>
            </w:r>
          </w:p>
        </w:tc>
      </w:tr>
      <w:tr w:rsidR="004C2F10" w14:paraId="3F13D693" w14:textId="77777777" w:rsidTr="004C2F1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C161FF1" w14:textId="77777777" w:rsidR="004C2F10" w:rsidRDefault="00D414A0">
            <w:r>
              <w:t>Companion Document</w:t>
            </w:r>
          </w:p>
        </w:tc>
        <w:tc>
          <w:tcPr>
            <w:tcW w:w="4320" w:type="dxa"/>
          </w:tcPr>
          <w:p w14:paraId="17D41AC6" w14:textId="77777777" w:rsidR="004C2F10" w:rsidRDefault="00D414A0">
            <w:pPr>
              <w:cnfStyle w:val="000000010000" w:firstRow="0" w:lastRow="0" w:firstColumn="0" w:lastColumn="0" w:oddVBand="0" w:evenVBand="0" w:oddHBand="0" w:evenHBand="1" w:firstRowFirstColumn="0" w:firstRowLastColumn="0" w:lastRowFirstColumn="0" w:lastRowLastColumn="0"/>
            </w:pPr>
            <w:r>
              <w:t>Vertex IP FDD (Functional Design Document) — functional requirements, business rules, exception handling</w:t>
            </w:r>
          </w:p>
        </w:tc>
      </w:tr>
      <w:tr w:rsidR="004C2F10" w14:paraId="697330C5" w14:textId="77777777" w:rsidTr="004C2F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71BAB87" w14:textId="77777777" w:rsidR="004C2F10" w:rsidRDefault="00D414A0">
            <w:r>
              <w:t>Version</w:t>
            </w:r>
          </w:p>
        </w:tc>
        <w:tc>
          <w:tcPr>
            <w:tcW w:w="4320" w:type="dxa"/>
          </w:tcPr>
          <w:p w14:paraId="7B9049FC" w14:textId="77777777" w:rsidR="004C2F10" w:rsidRDefault="00D414A0">
            <w:pPr>
              <w:cnfStyle w:val="000000100000" w:firstRow="0" w:lastRow="0" w:firstColumn="0" w:lastColumn="0" w:oddVBand="0" w:evenVBand="0" w:oddHBand="1" w:evenHBand="0" w:firstRowFirstColumn="0" w:firstRowLastColumn="0" w:lastRowFirstColumn="0" w:lastRowLastColumn="0"/>
            </w:pPr>
            <w:r>
              <w:t>1.0 Draft</w:t>
            </w:r>
          </w:p>
        </w:tc>
      </w:tr>
      <w:tr w:rsidR="004C2F10" w14:paraId="3B65D05C" w14:textId="77777777" w:rsidTr="004C2F1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322E8E3" w14:textId="77777777" w:rsidR="004C2F10" w:rsidRDefault="00D414A0">
            <w:r>
              <w:t>Prepared By</w:t>
            </w:r>
          </w:p>
        </w:tc>
        <w:tc>
          <w:tcPr>
            <w:tcW w:w="4320" w:type="dxa"/>
          </w:tcPr>
          <w:p w14:paraId="6D4CEE7B" w14:textId="77777777" w:rsidR="004C2F10" w:rsidRDefault="00D414A0">
            <w:pPr>
              <w:cnfStyle w:val="000000010000" w:firstRow="0" w:lastRow="0" w:firstColumn="0" w:lastColumn="0" w:oddVBand="0" w:evenVBand="0" w:oddHBand="0" w:evenHBand="1" w:firstRowFirstColumn="0" w:firstRowLastColumn="0" w:lastRowFirstColumn="0" w:lastRowLastColumn="0"/>
            </w:pPr>
            <w:r>
              <w:t>Hai Nguyen</w:t>
            </w:r>
          </w:p>
        </w:tc>
      </w:tr>
      <w:tr w:rsidR="004C2F10" w14:paraId="1BD830E9" w14:textId="77777777" w:rsidTr="004C2F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BF72493" w14:textId="77777777" w:rsidR="004C2F10" w:rsidRDefault="00D414A0">
            <w:r>
              <w:t>Date</w:t>
            </w:r>
          </w:p>
        </w:tc>
        <w:tc>
          <w:tcPr>
            <w:tcW w:w="4320" w:type="dxa"/>
          </w:tcPr>
          <w:p w14:paraId="6342FC5C" w14:textId="77777777" w:rsidR="004C2F10" w:rsidRDefault="00D414A0">
            <w:pPr>
              <w:cnfStyle w:val="000000100000" w:firstRow="0" w:lastRow="0" w:firstColumn="0" w:lastColumn="0" w:oddVBand="0" w:evenVBand="0" w:oddHBand="1" w:evenHBand="0" w:firstRowFirstColumn="0" w:firstRowLastColumn="0" w:lastRowFirstColumn="0" w:lastRowLastColumn="0"/>
            </w:pPr>
            <w:r>
              <w:t>October 2026</w:t>
            </w:r>
          </w:p>
        </w:tc>
      </w:tr>
    </w:tbl>
    <w:p w14:paraId="4FD92C2A" w14:textId="77777777" w:rsidR="004C2F10" w:rsidRDefault="00D414A0">
      <w:r>
        <w:br w:type="page"/>
      </w:r>
    </w:p>
    <w:p w14:paraId="59803913" w14:textId="77777777" w:rsidR="004C2F10" w:rsidRDefault="00D414A0">
      <w:pPr>
        <w:pStyle w:val="Heading1"/>
      </w:pPr>
      <w:bookmarkStart w:id="0" w:name="_Toc242350892"/>
      <w:r>
        <w:lastRenderedPageBreak/>
        <w:t>Table of Contents</w:t>
      </w:r>
      <w:bookmarkEnd w:id="0"/>
    </w:p>
    <w:p w14:paraId="4880468D" w14:textId="66B1F3C8" w:rsidR="0062535E" w:rsidRDefault="00D414A0">
      <w:pPr>
        <w:pStyle w:val="TOC1"/>
        <w:tabs>
          <w:tab w:val="right" w:leader="dot" w:pos="8630"/>
        </w:tabs>
        <w:rPr>
          <w:noProof/>
        </w:rPr>
      </w:pPr>
      <w:r>
        <w:fldChar w:fldCharType="begin"/>
      </w:r>
      <w:r>
        <w:instrText>TOC \o "1-3" \h \z \u</w:instrText>
      </w:r>
      <w:r>
        <w:fldChar w:fldCharType="separate"/>
      </w:r>
      <w:hyperlink w:anchor="_Toc242350892" w:history="1">
        <w:r w:rsidR="0062535E" w:rsidRPr="00194ABD">
          <w:rPr>
            <w:rStyle w:val="Hyperlink"/>
            <w:noProof/>
          </w:rPr>
          <w:t>Table of Contents</w:t>
        </w:r>
        <w:r w:rsidR="0062535E">
          <w:rPr>
            <w:noProof/>
            <w:webHidden/>
          </w:rPr>
          <w:tab/>
        </w:r>
        <w:r w:rsidR="0062535E">
          <w:rPr>
            <w:noProof/>
            <w:webHidden/>
          </w:rPr>
          <w:fldChar w:fldCharType="begin"/>
        </w:r>
        <w:r w:rsidR="0062535E">
          <w:rPr>
            <w:noProof/>
            <w:webHidden/>
          </w:rPr>
          <w:instrText xml:space="preserve"> PAGEREF _Toc242350892 \h </w:instrText>
        </w:r>
        <w:r w:rsidR="0062535E">
          <w:rPr>
            <w:noProof/>
            <w:webHidden/>
          </w:rPr>
        </w:r>
        <w:r w:rsidR="0062535E">
          <w:rPr>
            <w:noProof/>
            <w:webHidden/>
          </w:rPr>
          <w:fldChar w:fldCharType="separate"/>
        </w:r>
        <w:r w:rsidR="0062535E">
          <w:rPr>
            <w:noProof/>
            <w:webHidden/>
          </w:rPr>
          <w:t>2</w:t>
        </w:r>
        <w:r w:rsidR="0062535E">
          <w:rPr>
            <w:noProof/>
            <w:webHidden/>
          </w:rPr>
          <w:fldChar w:fldCharType="end"/>
        </w:r>
      </w:hyperlink>
    </w:p>
    <w:p w14:paraId="7C1F6456" w14:textId="2762C77F" w:rsidR="0062535E" w:rsidRDefault="0062535E">
      <w:pPr>
        <w:pStyle w:val="TOC1"/>
        <w:tabs>
          <w:tab w:val="right" w:leader="dot" w:pos="8630"/>
        </w:tabs>
        <w:rPr>
          <w:noProof/>
        </w:rPr>
      </w:pPr>
      <w:hyperlink w:anchor="_Toc242350893" w:history="1">
        <w:r w:rsidRPr="00194ABD">
          <w:rPr>
            <w:rStyle w:val="Hyperlink"/>
            <w:noProof/>
          </w:rPr>
          <w:t>1. Document Purpose</w:t>
        </w:r>
        <w:r>
          <w:rPr>
            <w:noProof/>
            <w:webHidden/>
          </w:rPr>
          <w:tab/>
        </w:r>
        <w:r>
          <w:rPr>
            <w:noProof/>
            <w:webHidden/>
          </w:rPr>
          <w:fldChar w:fldCharType="begin"/>
        </w:r>
        <w:r>
          <w:rPr>
            <w:noProof/>
            <w:webHidden/>
          </w:rPr>
          <w:instrText xml:space="preserve"> PAGEREF _Toc242350893 \h </w:instrText>
        </w:r>
        <w:r>
          <w:rPr>
            <w:noProof/>
            <w:webHidden/>
          </w:rPr>
        </w:r>
        <w:r>
          <w:rPr>
            <w:noProof/>
            <w:webHidden/>
          </w:rPr>
          <w:fldChar w:fldCharType="separate"/>
        </w:r>
        <w:r>
          <w:rPr>
            <w:noProof/>
            <w:webHidden/>
          </w:rPr>
          <w:t>3</w:t>
        </w:r>
        <w:r>
          <w:rPr>
            <w:noProof/>
            <w:webHidden/>
          </w:rPr>
          <w:fldChar w:fldCharType="end"/>
        </w:r>
      </w:hyperlink>
    </w:p>
    <w:p w14:paraId="5B5944A1" w14:textId="7FCF30B8" w:rsidR="0062535E" w:rsidRDefault="0062535E">
      <w:pPr>
        <w:pStyle w:val="TOC1"/>
        <w:tabs>
          <w:tab w:val="right" w:leader="dot" w:pos="8630"/>
        </w:tabs>
        <w:rPr>
          <w:noProof/>
        </w:rPr>
      </w:pPr>
      <w:hyperlink w:anchor="_Toc242350894" w:history="1">
        <w:r w:rsidRPr="00194ABD">
          <w:rPr>
            <w:rStyle w:val="Hyperlink"/>
            <w:noProof/>
          </w:rPr>
          <w:t>2. Solution Architecture</w:t>
        </w:r>
        <w:r>
          <w:rPr>
            <w:noProof/>
            <w:webHidden/>
          </w:rPr>
          <w:tab/>
        </w:r>
        <w:r>
          <w:rPr>
            <w:noProof/>
            <w:webHidden/>
          </w:rPr>
          <w:fldChar w:fldCharType="begin"/>
        </w:r>
        <w:r>
          <w:rPr>
            <w:noProof/>
            <w:webHidden/>
          </w:rPr>
          <w:instrText xml:space="preserve"> PAGEREF _Toc242350894 \h </w:instrText>
        </w:r>
        <w:r>
          <w:rPr>
            <w:noProof/>
            <w:webHidden/>
          </w:rPr>
        </w:r>
        <w:r>
          <w:rPr>
            <w:noProof/>
            <w:webHidden/>
          </w:rPr>
          <w:fldChar w:fldCharType="separate"/>
        </w:r>
        <w:r>
          <w:rPr>
            <w:noProof/>
            <w:webHidden/>
          </w:rPr>
          <w:t>3</w:t>
        </w:r>
        <w:r>
          <w:rPr>
            <w:noProof/>
            <w:webHidden/>
          </w:rPr>
          <w:fldChar w:fldCharType="end"/>
        </w:r>
      </w:hyperlink>
    </w:p>
    <w:p w14:paraId="0AAACB67" w14:textId="1D284737" w:rsidR="0062535E" w:rsidRDefault="0062535E">
      <w:pPr>
        <w:pStyle w:val="TOC1"/>
        <w:tabs>
          <w:tab w:val="right" w:leader="dot" w:pos="8630"/>
        </w:tabs>
        <w:rPr>
          <w:noProof/>
        </w:rPr>
      </w:pPr>
      <w:hyperlink w:anchor="_Toc242350895" w:history="1">
        <w:r w:rsidRPr="00194ABD">
          <w:rPr>
            <w:rStyle w:val="Hyperlink"/>
            <w:noProof/>
          </w:rPr>
          <w:t>3. Agent Design — Azure OpenAI (via Azure AI Foundry)</w:t>
        </w:r>
        <w:r>
          <w:rPr>
            <w:noProof/>
            <w:webHidden/>
          </w:rPr>
          <w:tab/>
        </w:r>
        <w:r>
          <w:rPr>
            <w:noProof/>
            <w:webHidden/>
          </w:rPr>
          <w:fldChar w:fldCharType="begin"/>
        </w:r>
        <w:r>
          <w:rPr>
            <w:noProof/>
            <w:webHidden/>
          </w:rPr>
          <w:instrText xml:space="preserve"> PAGEREF _Toc242350895 \h </w:instrText>
        </w:r>
        <w:r>
          <w:rPr>
            <w:noProof/>
            <w:webHidden/>
          </w:rPr>
        </w:r>
        <w:r>
          <w:rPr>
            <w:noProof/>
            <w:webHidden/>
          </w:rPr>
          <w:fldChar w:fldCharType="separate"/>
        </w:r>
        <w:r>
          <w:rPr>
            <w:noProof/>
            <w:webHidden/>
          </w:rPr>
          <w:t>4</w:t>
        </w:r>
        <w:r>
          <w:rPr>
            <w:noProof/>
            <w:webHidden/>
          </w:rPr>
          <w:fldChar w:fldCharType="end"/>
        </w:r>
      </w:hyperlink>
    </w:p>
    <w:p w14:paraId="5549EC02" w14:textId="28BE3857" w:rsidR="0062535E" w:rsidRDefault="0062535E">
      <w:pPr>
        <w:pStyle w:val="TOC1"/>
        <w:tabs>
          <w:tab w:val="right" w:leader="dot" w:pos="8630"/>
        </w:tabs>
        <w:rPr>
          <w:noProof/>
        </w:rPr>
      </w:pPr>
      <w:hyperlink w:anchor="_Toc242350896" w:history="1">
        <w:r w:rsidRPr="00194ABD">
          <w:rPr>
            <w:rStyle w:val="Hyperlink"/>
            <w:noProof/>
          </w:rPr>
          <w:t>4. Folder Rule Validator (Power Automate)</w:t>
        </w:r>
        <w:r>
          <w:rPr>
            <w:noProof/>
            <w:webHidden/>
          </w:rPr>
          <w:tab/>
        </w:r>
        <w:r>
          <w:rPr>
            <w:noProof/>
            <w:webHidden/>
          </w:rPr>
          <w:fldChar w:fldCharType="begin"/>
        </w:r>
        <w:r>
          <w:rPr>
            <w:noProof/>
            <w:webHidden/>
          </w:rPr>
          <w:instrText xml:space="preserve"> PAGEREF _Toc242350896 \h </w:instrText>
        </w:r>
        <w:r>
          <w:rPr>
            <w:noProof/>
            <w:webHidden/>
          </w:rPr>
        </w:r>
        <w:r>
          <w:rPr>
            <w:noProof/>
            <w:webHidden/>
          </w:rPr>
          <w:fldChar w:fldCharType="separate"/>
        </w:r>
        <w:r>
          <w:rPr>
            <w:noProof/>
            <w:webHidden/>
          </w:rPr>
          <w:t>4</w:t>
        </w:r>
        <w:r>
          <w:rPr>
            <w:noProof/>
            <w:webHidden/>
          </w:rPr>
          <w:fldChar w:fldCharType="end"/>
        </w:r>
      </w:hyperlink>
    </w:p>
    <w:p w14:paraId="0FEFEE68" w14:textId="7D00D794" w:rsidR="0062535E" w:rsidRDefault="0062535E">
      <w:pPr>
        <w:pStyle w:val="TOC1"/>
        <w:tabs>
          <w:tab w:val="right" w:leader="dot" w:pos="8630"/>
        </w:tabs>
        <w:rPr>
          <w:noProof/>
        </w:rPr>
      </w:pPr>
      <w:hyperlink w:anchor="_Toc242350897" w:history="1">
        <w:r w:rsidRPr="00194ABD">
          <w:rPr>
            <w:rStyle w:val="Hyperlink"/>
            <w:noProof/>
          </w:rPr>
          <w:t>5. Dataverse Schema</w:t>
        </w:r>
        <w:r>
          <w:rPr>
            <w:noProof/>
            <w:webHidden/>
          </w:rPr>
          <w:tab/>
        </w:r>
        <w:r>
          <w:rPr>
            <w:noProof/>
            <w:webHidden/>
          </w:rPr>
          <w:fldChar w:fldCharType="begin"/>
        </w:r>
        <w:r>
          <w:rPr>
            <w:noProof/>
            <w:webHidden/>
          </w:rPr>
          <w:instrText xml:space="preserve"> PAGEREF _Toc242350897 \h </w:instrText>
        </w:r>
        <w:r>
          <w:rPr>
            <w:noProof/>
            <w:webHidden/>
          </w:rPr>
        </w:r>
        <w:r>
          <w:rPr>
            <w:noProof/>
            <w:webHidden/>
          </w:rPr>
          <w:fldChar w:fldCharType="separate"/>
        </w:r>
        <w:r>
          <w:rPr>
            <w:noProof/>
            <w:webHidden/>
          </w:rPr>
          <w:t>5</w:t>
        </w:r>
        <w:r>
          <w:rPr>
            <w:noProof/>
            <w:webHidden/>
          </w:rPr>
          <w:fldChar w:fldCharType="end"/>
        </w:r>
      </w:hyperlink>
    </w:p>
    <w:p w14:paraId="0299D1EB" w14:textId="5BF45075" w:rsidR="0062535E" w:rsidRDefault="0062535E">
      <w:pPr>
        <w:pStyle w:val="TOC1"/>
        <w:tabs>
          <w:tab w:val="right" w:leader="dot" w:pos="8630"/>
        </w:tabs>
        <w:rPr>
          <w:noProof/>
        </w:rPr>
      </w:pPr>
      <w:hyperlink w:anchor="_Toc242350898" w:history="1">
        <w:r w:rsidRPr="00194ABD">
          <w:rPr>
            <w:rStyle w:val="Hyperlink"/>
            <w:noProof/>
          </w:rPr>
          <w:t>6. Implementation Recommendations</w:t>
        </w:r>
        <w:r>
          <w:rPr>
            <w:noProof/>
            <w:webHidden/>
          </w:rPr>
          <w:tab/>
        </w:r>
        <w:r>
          <w:rPr>
            <w:noProof/>
            <w:webHidden/>
          </w:rPr>
          <w:fldChar w:fldCharType="begin"/>
        </w:r>
        <w:r>
          <w:rPr>
            <w:noProof/>
            <w:webHidden/>
          </w:rPr>
          <w:instrText xml:space="preserve"> PAGEREF _Toc242350898 \h </w:instrText>
        </w:r>
        <w:r>
          <w:rPr>
            <w:noProof/>
            <w:webHidden/>
          </w:rPr>
        </w:r>
        <w:r>
          <w:rPr>
            <w:noProof/>
            <w:webHidden/>
          </w:rPr>
          <w:fldChar w:fldCharType="separate"/>
        </w:r>
        <w:r>
          <w:rPr>
            <w:noProof/>
            <w:webHidden/>
          </w:rPr>
          <w:t>5</w:t>
        </w:r>
        <w:r>
          <w:rPr>
            <w:noProof/>
            <w:webHidden/>
          </w:rPr>
          <w:fldChar w:fldCharType="end"/>
        </w:r>
      </w:hyperlink>
    </w:p>
    <w:p w14:paraId="6216D872" w14:textId="3E01D88F" w:rsidR="0062535E" w:rsidRDefault="0062535E">
      <w:pPr>
        <w:pStyle w:val="TOC1"/>
        <w:tabs>
          <w:tab w:val="right" w:leader="dot" w:pos="8630"/>
        </w:tabs>
        <w:rPr>
          <w:noProof/>
        </w:rPr>
      </w:pPr>
      <w:hyperlink w:anchor="_Toc242350899" w:history="1">
        <w:r w:rsidRPr="00194ABD">
          <w:rPr>
            <w:rStyle w:val="Hyperlink"/>
            <w:noProof/>
          </w:rPr>
          <w:t>7. Non-Functional Considerations</w:t>
        </w:r>
        <w:r>
          <w:rPr>
            <w:noProof/>
            <w:webHidden/>
          </w:rPr>
          <w:tab/>
        </w:r>
        <w:r>
          <w:rPr>
            <w:noProof/>
            <w:webHidden/>
          </w:rPr>
          <w:fldChar w:fldCharType="begin"/>
        </w:r>
        <w:r>
          <w:rPr>
            <w:noProof/>
            <w:webHidden/>
          </w:rPr>
          <w:instrText xml:space="preserve"> PAGEREF _Toc242350899 \h </w:instrText>
        </w:r>
        <w:r>
          <w:rPr>
            <w:noProof/>
            <w:webHidden/>
          </w:rPr>
        </w:r>
        <w:r>
          <w:rPr>
            <w:noProof/>
            <w:webHidden/>
          </w:rPr>
          <w:fldChar w:fldCharType="separate"/>
        </w:r>
        <w:r>
          <w:rPr>
            <w:noProof/>
            <w:webHidden/>
          </w:rPr>
          <w:t>5</w:t>
        </w:r>
        <w:r>
          <w:rPr>
            <w:noProof/>
            <w:webHidden/>
          </w:rPr>
          <w:fldChar w:fldCharType="end"/>
        </w:r>
      </w:hyperlink>
    </w:p>
    <w:p w14:paraId="271A645F" w14:textId="217A7079" w:rsidR="004C2F10" w:rsidRDefault="00D414A0">
      <w:r>
        <w:fldChar w:fldCharType="end"/>
      </w:r>
    </w:p>
    <w:p w14:paraId="3A895B84" w14:textId="77777777" w:rsidR="004C2F10" w:rsidRDefault="00D414A0">
      <w:r>
        <w:br w:type="page"/>
      </w:r>
    </w:p>
    <w:p w14:paraId="4288A9F9" w14:textId="77777777" w:rsidR="004C2F10" w:rsidRDefault="00D414A0">
      <w:pPr>
        <w:pStyle w:val="Heading1"/>
      </w:pPr>
      <w:bookmarkStart w:id="1" w:name="_Toc242350893"/>
      <w:r>
        <w:lastRenderedPageBreak/>
        <w:t>1. Document Purpose</w:t>
      </w:r>
      <w:bookmarkEnd w:id="1"/>
    </w:p>
    <w:p w14:paraId="0FED9931" w14:textId="77777777" w:rsidR="004C2F10" w:rsidRDefault="00D414A0">
      <w:r>
        <w:t>This Technical Design Document (TDD) defines how the functional requirements in the Vertex IP FDD are implemented technically, using Outlook, Power Automate, Azure OpenAI (via Azure AI Foundry), and Dataverse. It is the technical companion to the FDD and is intended for the build/delivery team and technical reviewers.</w:t>
      </w:r>
    </w:p>
    <w:p w14:paraId="291A9736" w14:textId="77777777" w:rsidR="004C2F10" w:rsidRDefault="00D414A0">
      <w:pPr>
        <w:pStyle w:val="Heading1"/>
      </w:pPr>
      <w:bookmarkStart w:id="2" w:name="_Toc242350894"/>
      <w:r>
        <w:t>2. Solution Architecture</w:t>
      </w:r>
      <w:bookmarkEnd w:id="2"/>
    </w:p>
    <w:p w14:paraId="7C27C51C" w14:textId="77777777" w:rsidR="004C2F10" w:rsidRDefault="00D414A0">
      <w:r>
        <w:t>Phase 1 is implemented using four coordinated components, shown below:</w:t>
      </w:r>
    </w:p>
    <w:p w14:paraId="1CC1C2DA" w14:textId="77777777" w:rsidR="004C2F10" w:rsidRDefault="00D414A0">
      <w:r>
        <w:rPr>
          <w:noProof/>
        </w:rPr>
        <w:drawing>
          <wp:inline distT="0" distB="0" distL="0" distR="0" wp14:anchorId="71B97535" wp14:editId="72D26BEF">
            <wp:extent cx="5760720" cy="325311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chnical-implementation-workflow.png"/>
                    <pic:cNvPicPr/>
                  </pic:nvPicPr>
                  <pic:blipFill>
                    <a:blip r:embed="rId6"/>
                    <a:stretch>
                      <a:fillRect/>
                    </a:stretch>
                  </pic:blipFill>
                  <pic:spPr>
                    <a:xfrm>
                      <a:off x="0" y="0"/>
                      <a:ext cx="5760720" cy="3253112"/>
                    </a:xfrm>
                    <a:prstGeom prst="rect">
                      <a:avLst/>
                    </a:prstGeom>
                  </pic:spPr>
                </pic:pic>
              </a:graphicData>
            </a:graphic>
          </wp:inline>
        </w:drawing>
      </w:r>
    </w:p>
    <w:p w14:paraId="505CEC74" w14:textId="77777777" w:rsidR="004C2F10" w:rsidRDefault="00D414A0">
      <w:r>
        <w:rPr>
          <w:i/>
          <w:sz w:val="18"/>
        </w:rPr>
        <w:t>Diagram source: .archify\workflow-vertex-technical-implementation-20261008-092901\vertex-technical-implementation.html (interactive version).</w:t>
      </w:r>
    </w:p>
    <w:p w14:paraId="17E7EE04" w14:textId="77777777" w:rsidR="004C2F10" w:rsidRDefault="00D414A0">
      <w:pPr>
        <w:pStyle w:val="ListNumber"/>
      </w:pPr>
      <w:r>
        <w:rPr>
          <w:b/>
        </w:rPr>
        <w:t xml:space="preserve">Outlook + Power Automate (email flow) — </w:t>
      </w:r>
      <w:r>
        <w:t>A "When a new email arrives (V3)" trigger scoped to the shared mailbox retrieves the email and thread (subject, body, quoted history).</w:t>
      </w:r>
    </w:p>
    <w:p w14:paraId="37A2DB0E" w14:textId="77777777" w:rsidR="004C2F10" w:rsidRDefault="00D414A0">
      <w:pPr>
        <w:pStyle w:val="ListNumber"/>
      </w:pPr>
      <w:r>
        <w:rPr>
          <w:b/>
        </w:rPr>
        <w:t xml:space="preserve">Azure OpenAI (via Azure AI Foundry) — </w:t>
      </w:r>
      <w:r>
        <w:t>Power Automate calls the model with an Instructions + Skill configuration (see Section 3). The call always returns structured JSON only — the model performs no agent-side decisioning.</w:t>
      </w:r>
    </w:p>
    <w:p w14:paraId="7DBA8C7D" w14:textId="77777777" w:rsidR="004C2F10" w:rsidRDefault="00D414A0">
      <w:pPr>
        <w:pStyle w:val="ListNumber"/>
      </w:pPr>
      <w:r>
        <w:rPr>
          <w:b/>
        </w:rPr>
        <w:t xml:space="preserve">Folder Rule Validator (deterministic, in Power Automate) — </w:t>
      </w:r>
      <w:r>
        <w:t>Power Automate parses the JSON (Parse JSON action) and evaluates the Folder Rule as a Condition/Switch action, not a model call (see Section 4). Valid references are routed to folder filing; invalid or missing references are routed to the exception path.</w:t>
      </w:r>
    </w:p>
    <w:p w14:paraId="78AC8088" w14:textId="77777777" w:rsidR="004C2F10" w:rsidRDefault="00D414A0">
      <w:pPr>
        <w:pStyle w:val="ListNumber"/>
      </w:pPr>
      <w:r>
        <w:rPr>
          <w:b/>
        </w:rPr>
        <w:t xml:space="preserve">Dataverse (activity + exception log) — </w:t>
      </w:r>
      <w:r>
        <w:t>Every filing and exception event is written to a single Dataverse table (see Section 5), which a second, independent Power Automate flow queries on a daily recurrence to compose and send the daily report to business owners.</w:t>
      </w:r>
    </w:p>
    <w:p w14:paraId="0CCBDB9E" w14:textId="77777777" w:rsidR="004C2F10" w:rsidRDefault="00D414A0">
      <w:r>
        <w:lastRenderedPageBreak/>
        <w:t>Keeping the real-time filing flow and the daily report flow independent means real-time filing is never blocked waiting on the daily report.</w:t>
      </w:r>
    </w:p>
    <w:p w14:paraId="03B4F9C5" w14:textId="77777777" w:rsidR="004C2F10" w:rsidRDefault="00D414A0">
      <w:pPr>
        <w:pStyle w:val="Heading1"/>
      </w:pPr>
      <w:bookmarkStart w:id="3" w:name="_Toc242350895"/>
      <w:r>
        <w:t>3. Agent Design — Azure OpenAI (via Azure AI Foundry)</w:t>
      </w:r>
      <w:bookmarkEnd w:id="3"/>
    </w:p>
    <w:p w14:paraId="50DEA4FA" w14:textId="77777777" w:rsidR="004C2F10" w:rsidRDefault="00D414A0">
      <w:r>
        <w:t>The agent is configured as a prompt agent with two distinct components plus a fixed output contract:</w:t>
      </w:r>
    </w:p>
    <w:p w14:paraId="086BDD52" w14:textId="77777777" w:rsidR="004C2F10" w:rsidRDefault="00D414A0">
      <w:pPr>
        <w:pStyle w:val="ListBullet"/>
      </w:pPr>
      <w:r>
        <w:rPr>
          <w:b/>
        </w:rPr>
        <w:t xml:space="preserve">Instructions — </w:t>
      </w:r>
      <w:r>
        <w:t>the system prompt encodes Ref # lead-in phrases ("Client Reference:", "Your Ref", "Your Reference:", "Your Ref No", etc.) and the known matter prefixes (VPI, ALP, EXO, MOD, SEM, VIA, VMN).</w:t>
      </w:r>
    </w:p>
    <w:p w14:paraId="2D1645BE" w14:textId="77777777" w:rsidR="004C2F10" w:rsidRDefault="00D414A0">
      <w:pPr>
        <w:pStyle w:val="ListBullet"/>
      </w:pPr>
      <w:r>
        <w:rPr>
          <w:b/>
        </w:rPr>
        <w:t xml:space="preserve">Skill — </w:t>
      </w:r>
      <w:r>
        <w:t>a trainable, extensible component that identifies the Ref # in the title/body and maps known prefixes/aliases to the right matter. As the business supplies new mapping rules, the skill can be retrained/extended without rewriting the core instructions. This is the mechanism for keeping pace with new matter prefixes over time.</w:t>
      </w:r>
    </w:p>
    <w:p w14:paraId="4A7E5148" w14:textId="77777777" w:rsidR="004C2F10" w:rsidRDefault="00D414A0">
      <w:pPr>
        <w:pStyle w:val="ListBullet"/>
      </w:pPr>
      <w:r>
        <w:rPr>
          <w:b/>
        </w:rPr>
        <w:t xml:space="preserve">Output (structured JSON only) — </w:t>
      </w:r>
      <w:r>
        <w:t>the call always returns a fixed JSON contract and performs no agent-side decisioning.</w:t>
      </w:r>
    </w:p>
    <w:p w14:paraId="6B010707" w14:textId="77777777" w:rsidR="004C2F10" w:rsidRDefault="00D414A0">
      <w:r>
        <w:rPr>
          <w:rFonts w:ascii="Courier New" w:hAnsi="Courier New"/>
          <w:sz w:val="20"/>
        </w:rPr>
        <w:t>{</w:t>
      </w:r>
      <w:r>
        <w:rPr>
          <w:rFonts w:ascii="Courier New" w:hAnsi="Courier New"/>
          <w:sz w:val="20"/>
        </w:rPr>
        <w:br/>
        <w:t xml:space="preserve">  "reference": "SEM-26-788",</w:t>
      </w:r>
      <w:r>
        <w:rPr>
          <w:rFonts w:ascii="Courier New" w:hAnsi="Courier New"/>
          <w:sz w:val="20"/>
        </w:rPr>
        <w:br/>
        <w:t xml:space="preserve">  "is_vertex": false,</w:t>
      </w:r>
      <w:r>
        <w:rPr>
          <w:rFonts w:ascii="Courier New" w:hAnsi="Courier New"/>
          <w:sz w:val="20"/>
        </w:rPr>
        <w:br/>
      </w:r>
      <w:r>
        <w:rPr>
          <w:rFonts w:ascii="Courier New" w:hAnsi="Courier New"/>
          <w:sz w:val="20"/>
        </w:rPr>
        <w:t xml:space="preserve">  "segments": 3,</w:t>
      </w:r>
      <w:r>
        <w:rPr>
          <w:rFonts w:ascii="Courier New" w:hAnsi="Courier New"/>
          <w:sz w:val="20"/>
        </w:rPr>
        <w:br/>
        <w:t xml:space="preserve">  "normalized_value": "SEM-26-788",</w:t>
      </w:r>
      <w:r>
        <w:rPr>
          <w:rFonts w:ascii="Courier New" w:hAnsi="Courier New"/>
          <w:sz w:val="20"/>
        </w:rPr>
        <w:br/>
        <w:t xml:space="preserve">  "confidence": 0.97</w:t>
      </w:r>
      <w:r>
        <w:rPr>
          <w:rFonts w:ascii="Courier New" w:hAnsi="Courier New"/>
          <w:sz w:val="20"/>
        </w:rPr>
        <w:br/>
        <w:t>}</w:t>
      </w:r>
    </w:p>
    <w:p w14:paraId="21778983" w14:textId="77777777" w:rsidR="004C2F10" w:rsidRDefault="00D414A0">
      <w:r>
        <w:t>Power Automate parses this JSON (Parse JSON action) and branches on reference / is_vertex:</w:t>
      </w:r>
    </w:p>
    <w:p w14:paraId="01E324B6" w14:textId="77777777" w:rsidR="004C2F10" w:rsidRDefault="00D414A0">
      <w:pPr>
        <w:pStyle w:val="ListBullet"/>
      </w:pPr>
      <w:r>
        <w:rPr>
          <w:b/>
        </w:rPr>
        <w:t xml:space="preserve">JSON: ref # found → </w:t>
      </w:r>
      <w:r>
        <w:t>proceed to Folder Rule Validator (Section 4)</w:t>
      </w:r>
    </w:p>
    <w:p w14:paraId="0203FD7D" w14:textId="77777777" w:rsidR="004C2F10" w:rsidRDefault="00D414A0">
      <w:pPr>
        <w:pStyle w:val="ListBullet"/>
      </w:pPr>
      <w:r>
        <w:rPr>
          <w:b/>
        </w:rPr>
        <w:t xml:space="preserve">JSON: no ref # found → </w:t>
      </w:r>
      <w:r>
        <w:t>log exception (no reference found — see FDD Section 10, Exception 1)</w:t>
      </w:r>
    </w:p>
    <w:p w14:paraId="6E204DB2" w14:textId="77777777" w:rsidR="004C2F10" w:rsidRDefault="00D414A0">
      <w:pPr>
        <w:pStyle w:val="Heading1"/>
      </w:pPr>
      <w:bookmarkStart w:id="4" w:name="_Toc242350896"/>
      <w:r>
        <w:t>4. Folder Rule Validator (Power Automate)</w:t>
      </w:r>
      <w:bookmarkEnd w:id="4"/>
    </w:p>
    <w:p w14:paraId="685199B9" w14:textId="77777777" w:rsidR="004C2F10" w:rsidRDefault="00D414A0">
      <w:r>
        <w:t>Implemented as a Condition/Switch action in the flow — a deterministic rule, not a model call:</w:t>
      </w:r>
    </w:p>
    <w:tbl>
      <w:tblPr>
        <w:tblStyle w:val="LightGrid-Accent1"/>
        <w:tblW w:w="0" w:type="auto"/>
        <w:tblLook w:val="04A0" w:firstRow="1" w:lastRow="0" w:firstColumn="1" w:lastColumn="0" w:noHBand="0" w:noVBand="1"/>
      </w:tblPr>
      <w:tblGrid>
        <w:gridCol w:w="2880"/>
        <w:gridCol w:w="2880"/>
        <w:gridCol w:w="2880"/>
      </w:tblGrid>
      <w:tr w:rsidR="004C2F10" w14:paraId="07F4B4DF" w14:textId="77777777" w:rsidTr="004C2F1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D832E58" w14:textId="77777777" w:rsidR="004C2F10" w:rsidRDefault="00D414A0">
            <w:r>
              <w:t>Reference type</w:t>
            </w:r>
          </w:p>
        </w:tc>
        <w:tc>
          <w:tcPr>
            <w:tcW w:w="2880" w:type="dxa"/>
          </w:tcPr>
          <w:p w14:paraId="4C959B2B" w14:textId="77777777" w:rsidR="004C2F10" w:rsidRDefault="00D414A0">
            <w:pPr>
              <w:cnfStyle w:val="100000000000" w:firstRow="1" w:lastRow="0" w:firstColumn="0" w:lastColumn="0" w:oddVBand="0" w:evenVBand="0" w:oddHBand="0" w:evenHBand="0" w:firstRowFirstColumn="0" w:firstRowLastColumn="0" w:lastRowFirstColumn="0" w:lastRowLastColumn="0"/>
            </w:pPr>
            <w:r>
              <w:t>Rule</w:t>
            </w:r>
          </w:p>
        </w:tc>
        <w:tc>
          <w:tcPr>
            <w:tcW w:w="2880" w:type="dxa"/>
          </w:tcPr>
          <w:p w14:paraId="226E991D" w14:textId="77777777" w:rsidR="004C2F10" w:rsidRDefault="00D414A0">
            <w:pPr>
              <w:cnfStyle w:val="100000000000" w:firstRow="1" w:lastRow="0" w:firstColumn="0" w:lastColumn="0" w:oddVBand="0" w:evenVBand="0" w:oddHBand="0" w:evenHBand="0" w:firstRowFirstColumn="0" w:firstRowLastColumn="0" w:lastRowFirstColumn="0" w:lastRowLastColumn="0"/>
            </w:pPr>
            <w:r>
              <w:t>Example</w:t>
            </w:r>
          </w:p>
        </w:tc>
      </w:tr>
      <w:tr w:rsidR="004C2F10" w14:paraId="5232E7EE" w14:textId="77777777" w:rsidTr="004C2F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1CB7F7D" w14:textId="77777777" w:rsidR="004C2F10" w:rsidRDefault="00D414A0">
            <w:r>
              <w:t>Vertex reference</w:t>
            </w:r>
          </w:p>
        </w:tc>
        <w:tc>
          <w:tcPr>
            <w:tcW w:w="2880" w:type="dxa"/>
          </w:tcPr>
          <w:p w14:paraId="06E6CC42" w14:textId="77777777" w:rsidR="004C2F10" w:rsidRDefault="00D414A0">
            <w:pPr>
              <w:cnfStyle w:val="000000100000" w:firstRow="0" w:lastRow="0" w:firstColumn="0" w:lastColumn="0" w:oddVBand="0" w:evenVBand="0" w:oddHBand="1" w:evenHBand="0" w:firstRowFirstColumn="0" w:firstRowLastColumn="0" w:lastRowFirstColumn="0" w:lastRowLastColumn="0"/>
            </w:pPr>
            <w:r>
              <w:t>Exactly 2 segments</w:t>
            </w:r>
          </w:p>
        </w:tc>
        <w:tc>
          <w:tcPr>
            <w:tcW w:w="2880" w:type="dxa"/>
          </w:tcPr>
          <w:p w14:paraId="5F36BE64" w14:textId="77777777" w:rsidR="004C2F10" w:rsidRDefault="00D414A0">
            <w:pPr>
              <w:cnfStyle w:val="000000100000" w:firstRow="0" w:lastRow="0" w:firstColumn="0" w:lastColumn="0" w:oddVBand="0" w:evenVBand="0" w:oddHBand="1" w:evenHBand="0" w:firstRowFirstColumn="0" w:firstRowLastColumn="0" w:lastRowFirstColumn="0" w:lastRowLastColumn="0"/>
            </w:pPr>
            <w:r>
              <w:t>00-113, 00-128</w:t>
            </w:r>
          </w:p>
        </w:tc>
      </w:tr>
      <w:tr w:rsidR="004C2F10" w14:paraId="65F36FBC" w14:textId="77777777" w:rsidTr="004C2F1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5F87AFE" w14:textId="77777777" w:rsidR="004C2F10" w:rsidRDefault="00D414A0">
            <w:r>
              <w:t>Non-Vertex reference</w:t>
            </w:r>
          </w:p>
        </w:tc>
        <w:tc>
          <w:tcPr>
            <w:tcW w:w="2880" w:type="dxa"/>
          </w:tcPr>
          <w:p w14:paraId="28931A79" w14:textId="77777777" w:rsidR="004C2F10" w:rsidRDefault="00D414A0">
            <w:pPr>
              <w:cnfStyle w:val="000000010000" w:firstRow="0" w:lastRow="0" w:firstColumn="0" w:lastColumn="0" w:oddVBand="0" w:evenVBand="0" w:oddHBand="0" w:evenHBand="1" w:firstRowFirstColumn="0" w:firstRowLastColumn="0" w:lastRowFirstColumn="0" w:lastRowLastColumn="0"/>
            </w:pPr>
            <w:r>
              <w:t>Prefix + 2 segments</w:t>
            </w:r>
          </w:p>
        </w:tc>
        <w:tc>
          <w:tcPr>
            <w:tcW w:w="2880" w:type="dxa"/>
          </w:tcPr>
          <w:p w14:paraId="2E6B5047" w14:textId="77777777" w:rsidR="004C2F10" w:rsidRDefault="00D414A0">
            <w:pPr>
              <w:cnfStyle w:val="000000010000" w:firstRow="0" w:lastRow="0" w:firstColumn="0" w:lastColumn="0" w:oddVBand="0" w:evenVBand="0" w:oddHBand="0" w:evenHBand="1" w:firstRowFirstColumn="0" w:firstRowLastColumn="0" w:lastRowFirstColumn="0" w:lastRowLastColumn="0"/>
            </w:pPr>
            <w:r>
              <w:t>SEM-24-783, SEM-25-786</w:t>
            </w:r>
          </w:p>
        </w:tc>
      </w:tr>
    </w:tbl>
    <w:p w14:paraId="47126520" w14:textId="77777777" w:rsidR="004C2F10" w:rsidRDefault="004C2F10"/>
    <w:p w14:paraId="27BE50B2" w14:textId="77777777" w:rsidR="004C2F10" w:rsidRDefault="00D414A0">
      <w:r>
        <w:t>Country-code suffixes are stripped before validation (e.g., VPI-18-114 US PRV1 → VPI-18-114).</w:t>
      </w:r>
    </w:p>
    <w:p w14:paraId="4B2A8EDC" w14:textId="77777777" w:rsidR="004C2F10" w:rsidRDefault="00D414A0">
      <w:pPr>
        <w:pStyle w:val="ListBullet"/>
      </w:pPr>
      <w:r>
        <w:rPr>
          <w:b/>
        </w:rPr>
        <w:t xml:space="preserve">format valid → </w:t>
      </w:r>
      <w:r>
        <w:t>Find/Create Folder + Move Email (Outlook connector actions) → log entry in Dataverse.</w:t>
      </w:r>
    </w:p>
    <w:p w14:paraId="3AB771BA" w14:textId="77777777" w:rsidR="004C2F10" w:rsidRDefault="00D414A0">
      <w:pPr>
        <w:pStyle w:val="ListBullet"/>
      </w:pPr>
      <w:r>
        <w:rPr>
          <w:b/>
        </w:rPr>
        <w:lastRenderedPageBreak/>
        <w:t xml:space="preserve">format invalid → </w:t>
      </w:r>
      <w:r>
        <w:t>Log Exception (Exception Type: Invalid Format) in Dataverse; email is left untouched in the Inbox (see FDD Section 10, Exception 5).</w:t>
      </w:r>
    </w:p>
    <w:p w14:paraId="2A92C450" w14:textId="77777777" w:rsidR="004C2F10" w:rsidRDefault="00D414A0">
      <w:pPr>
        <w:pStyle w:val="Heading1"/>
      </w:pPr>
      <w:bookmarkStart w:id="5" w:name="_Toc242350897"/>
      <w:r>
        <w:t>5. Dataverse Schema</w:t>
      </w:r>
      <w:bookmarkEnd w:id="5"/>
    </w:p>
    <w:p w14:paraId="5B81FF70" w14:textId="77777777" w:rsidR="004C2F10" w:rsidRDefault="00D414A0">
      <w:r>
        <w:t>One table — Activity &amp; Exception Log:</w:t>
      </w:r>
    </w:p>
    <w:tbl>
      <w:tblPr>
        <w:tblStyle w:val="LightGrid-Accent1"/>
        <w:tblW w:w="0" w:type="auto"/>
        <w:tblLook w:val="04A0" w:firstRow="1" w:lastRow="0" w:firstColumn="1" w:lastColumn="0" w:noHBand="0" w:noVBand="1"/>
      </w:tblPr>
      <w:tblGrid>
        <w:gridCol w:w="4320"/>
        <w:gridCol w:w="4320"/>
      </w:tblGrid>
      <w:tr w:rsidR="004C2F10" w14:paraId="1004FB18" w14:textId="77777777" w:rsidTr="004C2F1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5314561" w14:textId="77777777" w:rsidR="004C2F10" w:rsidRDefault="00D414A0">
            <w:r>
              <w:t>Field</w:t>
            </w:r>
          </w:p>
        </w:tc>
        <w:tc>
          <w:tcPr>
            <w:tcW w:w="4320" w:type="dxa"/>
          </w:tcPr>
          <w:p w14:paraId="6E3F5DF9" w14:textId="77777777" w:rsidR="004C2F10" w:rsidRDefault="00D414A0">
            <w:pPr>
              <w:cnfStyle w:val="100000000000" w:firstRow="1" w:lastRow="0" w:firstColumn="0" w:lastColumn="0" w:oddVBand="0" w:evenVBand="0" w:oddHBand="0" w:evenHBand="0" w:firstRowFirstColumn="0" w:firstRowLastColumn="0" w:lastRowFirstColumn="0" w:lastRowLastColumn="0"/>
            </w:pPr>
            <w:r>
              <w:t>Description</w:t>
            </w:r>
          </w:p>
        </w:tc>
      </w:tr>
      <w:tr w:rsidR="004C2F10" w14:paraId="61445B10" w14:textId="77777777" w:rsidTr="004C2F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A216EE8" w14:textId="77777777" w:rsidR="004C2F10" w:rsidRDefault="00D414A0">
            <w:r>
              <w:t>Message ID</w:t>
            </w:r>
          </w:p>
        </w:tc>
        <w:tc>
          <w:tcPr>
            <w:tcW w:w="4320" w:type="dxa"/>
          </w:tcPr>
          <w:p w14:paraId="5FA8940B" w14:textId="77777777" w:rsidR="004C2F10" w:rsidRDefault="00D414A0">
            <w:pPr>
              <w:cnfStyle w:val="000000100000" w:firstRow="0" w:lastRow="0" w:firstColumn="0" w:lastColumn="0" w:oddVBand="0" w:evenVBand="0" w:oddHBand="1" w:evenHBand="0" w:firstRowFirstColumn="0" w:firstRowLastColumn="0" w:lastRowFirstColumn="0" w:lastRowLastColumn="0"/>
            </w:pPr>
            <w:r>
              <w:t>Unique identifier of the source email, assigned by the mail system</w:t>
            </w:r>
          </w:p>
        </w:tc>
      </w:tr>
      <w:tr w:rsidR="004C2F10" w14:paraId="014CDDA4" w14:textId="77777777" w:rsidTr="004C2F1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6665253" w14:textId="77777777" w:rsidR="004C2F10" w:rsidRDefault="00D414A0">
            <w:r>
              <w:t>Sender</w:t>
            </w:r>
          </w:p>
        </w:tc>
        <w:tc>
          <w:tcPr>
            <w:tcW w:w="4320" w:type="dxa"/>
          </w:tcPr>
          <w:p w14:paraId="6E710800" w14:textId="77777777" w:rsidR="004C2F10" w:rsidRDefault="00D414A0">
            <w:pPr>
              <w:cnfStyle w:val="000000010000" w:firstRow="0" w:lastRow="0" w:firstColumn="0" w:lastColumn="0" w:oddVBand="0" w:evenVBand="0" w:oddHBand="0" w:evenHBand="1" w:firstRowFirstColumn="0" w:firstRowLastColumn="0" w:lastRowFirstColumn="0" w:lastRowLastColumn="0"/>
            </w:pPr>
            <w:r>
              <w:t>Email address of the message sender</w:t>
            </w:r>
          </w:p>
        </w:tc>
      </w:tr>
      <w:tr w:rsidR="004C2F10" w14:paraId="50771758" w14:textId="77777777" w:rsidTr="004C2F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CDF96F2" w14:textId="77777777" w:rsidR="004C2F10" w:rsidRDefault="00D414A0">
            <w:r>
              <w:t>Subject</w:t>
            </w:r>
          </w:p>
        </w:tc>
        <w:tc>
          <w:tcPr>
            <w:tcW w:w="4320" w:type="dxa"/>
          </w:tcPr>
          <w:p w14:paraId="28AEAEDD" w14:textId="77777777" w:rsidR="004C2F10" w:rsidRDefault="00D414A0">
            <w:pPr>
              <w:cnfStyle w:val="000000100000" w:firstRow="0" w:lastRow="0" w:firstColumn="0" w:lastColumn="0" w:oddVBand="0" w:evenVBand="0" w:oddHBand="1" w:evenHBand="0" w:firstRowFirstColumn="0" w:firstRowLastColumn="0" w:lastRowFirstColumn="0" w:lastRowLastColumn="0"/>
            </w:pPr>
            <w:r>
              <w:t>Original email subject line, unmodified</w:t>
            </w:r>
          </w:p>
        </w:tc>
      </w:tr>
      <w:tr w:rsidR="004C2F10" w14:paraId="1E4AE496" w14:textId="77777777" w:rsidTr="004C2F1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3C77A9E" w14:textId="77777777" w:rsidR="004C2F10" w:rsidRDefault="00D414A0">
            <w:r>
              <w:t>Reference</w:t>
            </w:r>
          </w:p>
        </w:tc>
        <w:tc>
          <w:tcPr>
            <w:tcW w:w="4320" w:type="dxa"/>
          </w:tcPr>
          <w:p w14:paraId="16B7A53D" w14:textId="77777777" w:rsidR="004C2F10" w:rsidRDefault="00D414A0">
            <w:pPr>
              <w:cnfStyle w:val="000000010000" w:firstRow="0" w:lastRow="0" w:firstColumn="0" w:lastColumn="0" w:oddVBand="0" w:evenVBand="0" w:oddHBand="0" w:evenHBand="1" w:firstRowFirstColumn="0" w:firstRowLastColumn="0" w:lastRowFirstColumn="0" w:lastRowLastColumn="0"/>
            </w:pPr>
            <w:r>
              <w:t>Normalized matter/family reference detected; blank if none found</w:t>
            </w:r>
          </w:p>
        </w:tc>
      </w:tr>
      <w:tr w:rsidR="004C2F10" w14:paraId="2AEC5A6B" w14:textId="77777777" w:rsidTr="004C2F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A3016A6" w14:textId="77777777" w:rsidR="004C2F10" w:rsidRDefault="00D414A0">
            <w:r>
              <w:t>Folder</w:t>
            </w:r>
          </w:p>
        </w:tc>
        <w:tc>
          <w:tcPr>
            <w:tcW w:w="4320" w:type="dxa"/>
          </w:tcPr>
          <w:p w14:paraId="61E1B512" w14:textId="77777777" w:rsidR="004C2F10" w:rsidRDefault="00D414A0">
            <w:pPr>
              <w:cnfStyle w:val="000000100000" w:firstRow="0" w:lastRow="0" w:firstColumn="0" w:lastColumn="0" w:oddVBand="0" w:evenVBand="0" w:oddHBand="1" w:evenHBand="0" w:firstRowFirstColumn="0" w:firstRowLastColumn="0" w:lastRowFirstColumn="0" w:lastRowLastColumn="0"/>
            </w:pPr>
            <w:r>
              <w:t>Destination family folder the email was filed to, or matched against</w:t>
            </w:r>
          </w:p>
        </w:tc>
      </w:tr>
      <w:tr w:rsidR="004C2F10" w14:paraId="5A1009C6" w14:textId="77777777" w:rsidTr="004C2F1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8557D68" w14:textId="77777777" w:rsidR="004C2F10" w:rsidRDefault="00D414A0">
            <w:r>
              <w:t>Result</w:t>
            </w:r>
          </w:p>
        </w:tc>
        <w:tc>
          <w:tcPr>
            <w:tcW w:w="4320" w:type="dxa"/>
          </w:tcPr>
          <w:p w14:paraId="12B8E403" w14:textId="77777777" w:rsidR="004C2F10" w:rsidRDefault="00D414A0">
            <w:pPr>
              <w:cnfStyle w:val="000000010000" w:firstRow="0" w:lastRow="0" w:firstColumn="0" w:lastColumn="0" w:oddVBand="0" w:evenVBand="0" w:oddHBand="0" w:evenHBand="1" w:firstRowFirstColumn="0" w:firstRowLastColumn="0" w:lastRowFirstColumn="0" w:lastRowLastColumn="0"/>
            </w:pPr>
            <w:r>
              <w:t>Filed / Created Folder and Filed / Exception</w:t>
            </w:r>
          </w:p>
        </w:tc>
      </w:tr>
      <w:tr w:rsidR="004C2F10" w14:paraId="03450199" w14:textId="77777777" w:rsidTr="004C2F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453E418" w14:textId="77777777" w:rsidR="004C2F10" w:rsidRDefault="00D414A0">
            <w:r>
              <w:t>Timestamp (UTC)</w:t>
            </w:r>
          </w:p>
        </w:tc>
        <w:tc>
          <w:tcPr>
            <w:tcW w:w="4320" w:type="dxa"/>
          </w:tcPr>
          <w:p w14:paraId="11624D87" w14:textId="77777777" w:rsidR="004C2F10" w:rsidRDefault="00D414A0">
            <w:pPr>
              <w:cnfStyle w:val="000000100000" w:firstRow="0" w:lastRow="0" w:firstColumn="0" w:lastColumn="0" w:oddVBand="0" w:evenVBand="0" w:oddHBand="1" w:evenHBand="0" w:firstRowFirstColumn="0" w:firstRowLastColumn="0" w:lastRowFirstColumn="0" w:lastRowLastColumn="0"/>
            </w:pPr>
            <w:r>
              <w:t>Date and time the email was processed</w:t>
            </w:r>
          </w:p>
        </w:tc>
      </w:tr>
      <w:tr w:rsidR="004C2F10" w14:paraId="45C1C6C1" w14:textId="77777777" w:rsidTr="004C2F1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95AFDFD" w14:textId="77777777" w:rsidR="004C2F10" w:rsidRDefault="00D414A0">
            <w:r>
              <w:t>Exception Type</w:t>
            </w:r>
          </w:p>
        </w:tc>
        <w:tc>
          <w:tcPr>
            <w:tcW w:w="4320" w:type="dxa"/>
          </w:tcPr>
          <w:p w14:paraId="02CE7742" w14:textId="77777777" w:rsidR="004C2F10" w:rsidRDefault="00D414A0">
            <w:pPr>
              <w:cnfStyle w:val="000000010000" w:firstRow="0" w:lastRow="0" w:firstColumn="0" w:lastColumn="0" w:oddVBand="0" w:evenVBand="0" w:oddHBand="0" w:evenHBand="1" w:firstRowFirstColumn="0" w:firstRowLastColumn="0" w:lastRowFirstColumn="0" w:lastRowLastColumn="0"/>
            </w:pPr>
            <w:r>
              <w:t>Populated only when Result = Exception (e.g., No Reference Found, Multiple References, Invalid Format)</w:t>
            </w:r>
          </w:p>
        </w:tc>
      </w:tr>
    </w:tbl>
    <w:p w14:paraId="35F2B602" w14:textId="77777777" w:rsidR="004C2F10" w:rsidRDefault="004C2F10"/>
    <w:p w14:paraId="3B3D30C9" w14:textId="77777777" w:rsidR="004C2F10" w:rsidRDefault="00D414A0">
      <w:r>
        <w:t>Index on Timestamp + Result for fast daily queries by the report flow.</w:t>
      </w:r>
    </w:p>
    <w:p w14:paraId="3585627E" w14:textId="77777777" w:rsidR="004C2F10" w:rsidRDefault="00D414A0">
      <w:pPr>
        <w:pStyle w:val="Heading1"/>
      </w:pPr>
      <w:bookmarkStart w:id="6" w:name="_Toc242350898"/>
      <w:r>
        <w:t>6. Implementation Recommendations</w:t>
      </w:r>
      <w:bookmarkEnd w:id="6"/>
    </w:p>
    <w:p w14:paraId="59203C96" w14:textId="77777777" w:rsidR="004C2F10" w:rsidRDefault="00D414A0">
      <w:pPr>
        <w:pStyle w:val="ListBullet"/>
      </w:pPr>
      <w:r>
        <w:t>Check Dataverse for an existing Message ID before filing, to make retries idempotent.</w:t>
      </w:r>
    </w:p>
    <w:p w14:paraId="44C124E7" w14:textId="77777777" w:rsidR="004C2F10" w:rsidRDefault="00D414A0">
      <w:pPr>
        <w:pStyle w:val="ListBullet"/>
      </w:pPr>
      <w:r>
        <w:t>Wrap Outlook actions in a Scope with "configure run after" to catch failures as exceptions.</w:t>
      </w:r>
    </w:p>
    <w:p w14:paraId="40B186AA" w14:textId="77777777" w:rsidR="004C2F10" w:rsidRDefault="00D414A0">
      <w:pPr>
        <w:pStyle w:val="ListBullet"/>
      </w:pPr>
      <w:r>
        <w:t>Keep the two flows independent: real-time filing never waits on the daily report.</w:t>
      </w:r>
    </w:p>
    <w:p w14:paraId="7587EBF1" w14:textId="77777777" w:rsidR="004C2F10" w:rsidRDefault="00D414A0">
      <w:pPr>
        <w:pStyle w:val="Heading1"/>
      </w:pPr>
      <w:bookmarkStart w:id="7" w:name="_Toc242350899"/>
      <w:r>
        <w:t>7. Non-Functional Considerations</w:t>
      </w:r>
      <w:bookmarkEnd w:id="7"/>
    </w:p>
    <w:p w14:paraId="7A7361A0" w14:textId="77777777" w:rsidR="004C2F10" w:rsidRDefault="00D414A0">
      <w:pPr>
        <w:pStyle w:val="ListBullet"/>
      </w:pPr>
      <w:r>
        <w:rPr>
          <w:b/>
        </w:rPr>
        <w:t xml:space="preserve">Performance — </w:t>
      </w:r>
      <w:r>
        <w:t>process emails within minutes of receipt.</w:t>
      </w:r>
    </w:p>
    <w:p w14:paraId="377538AD" w14:textId="77777777" w:rsidR="004C2F10" w:rsidRDefault="00D414A0">
      <w:pPr>
        <w:pStyle w:val="ListBullet"/>
      </w:pPr>
      <w:r>
        <w:rPr>
          <w:b/>
        </w:rPr>
        <w:t xml:space="preserve">Accuracy — </w:t>
      </w:r>
      <w:r>
        <w:t>target &gt;95% filing accuracy.</w:t>
      </w:r>
    </w:p>
    <w:p w14:paraId="270C20F0" w14:textId="77777777" w:rsidR="004C2F10" w:rsidRDefault="00D414A0">
      <w:pPr>
        <w:pStyle w:val="ListBullet"/>
      </w:pPr>
      <w:r>
        <w:rPr>
          <w:b/>
        </w:rPr>
        <w:t xml:space="preserve">Security — </w:t>
      </w:r>
      <w:r>
        <w:t>operate within the Vertex-approved Microsoft 365 / Azure environment.</w:t>
      </w:r>
    </w:p>
    <w:p w14:paraId="175853BB" w14:textId="77777777" w:rsidR="004C2F10" w:rsidRDefault="00D414A0">
      <w:pPr>
        <w:pStyle w:val="ListBullet"/>
      </w:pPr>
      <w:r>
        <w:rPr>
          <w:b/>
        </w:rPr>
        <w:t xml:space="preserve">Auditability — </w:t>
      </w:r>
      <w:r>
        <w:t>every action logged to Dataverse.</w:t>
      </w:r>
    </w:p>
    <w:p w14:paraId="3290FDC8" w14:textId="77777777" w:rsidR="004C2F10" w:rsidRDefault="00D414A0">
      <w:pPr>
        <w:pStyle w:val="ListBullet"/>
      </w:pPr>
      <w:r>
        <w:rPr>
          <w:b/>
        </w:rPr>
        <w:t xml:space="preserve">Scalability — </w:t>
      </w:r>
      <w:r>
        <w:t>support additional IP teams and family/matter types without redesign (new prefixes handled by retraining the Skill, per Section 3).</w:t>
      </w:r>
    </w:p>
    <w:p w14:paraId="7F64BB1E" w14:textId="77777777" w:rsidR="004C2F10" w:rsidRDefault="004C2F10"/>
    <w:p w14:paraId="566B6974" w14:textId="77777777" w:rsidR="004C2F10" w:rsidRDefault="00D414A0">
      <w:r>
        <w:rPr>
          <w:i/>
        </w:rPr>
        <w:lastRenderedPageBreak/>
        <w:t>This TDD should be read alongside the Vertex IP FDD, which defines the complete functional requirements (FR-1 through FR-9), business rules, and exception handling this technical design implements.</w:t>
      </w:r>
    </w:p>
    <w:sectPr w:rsidR="004C2F1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99072785">
    <w:abstractNumId w:val="8"/>
  </w:num>
  <w:num w:numId="2" w16cid:durableId="2033845393">
    <w:abstractNumId w:val="6"/>
  </w:num>
  <w:num w:numId="3" w16cid:durableId="1449280267">
    <w:abstractNumId w:val="5"/>
  </w:num>
  <w:num w:numId="4" w16cid:durableId="224068758">
    <w:abstractNumId w:val="4"/>
  </w:num>
  <w:num w:numId="5" w16cid:durableId="231090676">
    <w:abstractNumId w:val="7"/>
  </w:num>
  <w:num w:numId="6" w16cid:durableId="1910649571">
    <w:abstractNumId w:val="3"/>
  </w:num>
  <w:num w:numId="7" w16cid:durableId="1117719588">
    <w:abstractNumId w:val="2"/>
  </w:num>
  <w:num w:numId="8" w16cid:durableId="1013150595">
    <w:abstractNumId w:val="1"/>
  </w:num>
  <w:num w:numId="9" w16cid:durableId="11247366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updateFields w:val="true"/>
  <w:zoom w:percent="12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53EBA"/>
    <w:rsid w:val="004C2F10"/>
    <w:rsid w:val="0062535E"/>
    <w:rsid w:val="00AA1D8D"/>
    <w:rsid w:val="00B47730"/>
    <w:rsid w:val="00CB0664"/>
    <w:rsid w:val="00D414A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BBCF9A"/>
  <w14:defaultImageDpi w14:val="300"/>
  <w15:docId w15:val="{1E7A0989-7E44-4F21-AD4D-5834F0CDCB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62535E"/>
    <w:pPr>
      <w:spacing w:after="100"/>
    </w:pPr>
  </w:style>
  <w:style w:type="character" w:styleId="Hyperlink">
    <w:name w:val="Hyperlink"/>
    <w:basedOn w:val="DefaultParagraphFont"/>
    <w:uiPriority w:val="99"/>
    <w:unhideWhenUsed/>
    <w:rsid w:val="0062535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5fae8262-b78e-4366-8929-a5d6aac95320}" enabled="1" method="Standard" siteId="{cf36141c-ddd7-45a7-b073-111f66d0b30c}"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6</Pages>
  <Words>959</Words>
  <Characters>5467</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Hai Nguyen</cp:lastModifiedBy>
  <cp:revision>2</cp:revision>
  <dcterms:created xsi:type="dcterms:W3CDTF">2013-12-23T23:15:00Z</dcterms:created>
  <dcterms:modified xsi:type="dcterms:W3CDTF">2026-10-08T16:21:00Z</dcterms:modified>
  <cp:category/>
</cp:coreProperties>
</file>