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color w:val="1F3A5F"/>
          <w:sz w:val="52"/>
        </w:rPr>
        <w:t>GovernDiff Digital Policy Fixture</w:t>
      </w:r>
    </w:p>
    <w:p>
      <w:r>
        <w:t>A deterministic DOCX used to verify headings, lists, tables, and evidence indices.</w:t>
      </w:r>
    </w:p>
    <w:p>
      <w:pPr>
        <w:pStyle w:val="Heading1"/>
      </w:pPr>
      <w:r>
        <w:t>1. Scope</w:t>
      </w:r>
    </w:p>
    <w:p>
      <w:r>
        <w:t>This policy applies to all project members.</w:t>
      </w:r>
    </w:p>
    <w:p>
      <w:pPr>
        <w:pStyle w:val="ListBullet"/>
      </w:pPr>
      <w:r>
        <w:t>Submit reports through the documented review channel.</w:t>
      </w:r>
    </w:p>
    <w:p>
      <w:pPr>
        <w:pStyle w:val="ListBullet"/>
      </w:pPr>
      <w:r>
        <w:t>Keep evidence with every decision.</w:t>
      </w:r>
    </w:p>
    <w:p>
      <w:pPr>
        <w:pStyle w:val="Heading1"/>
      </w:pPr>
      <w:r>
        <w:t>2. Duties</w:t>
      </w:r>
    </w:p>
    <w:p>
      <w:r>
        <w:t>The Board must respond within 10 days.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500"/>
        <w:gridCol w:w="3060"/>
      </w:tblGrid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4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Decision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20"/>
              </w:rPr>
              <w:t>Deadline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Board</w:t>
            </w:r>
          </w:p>
        </w:tc>
        <w:tc>
          <w:tcPr>
            <w:tcW w:type="dxa" w:w="4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Review exception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10 days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Secretary</w:t>
            </w:r>
          </w:p>
        </w:tc>
        <w:tc>
          <w:tcPr>
            <w:tcW w:type="dxa" w:w="450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Publish notice</w:t>
            </w:r>
          </w:p>
        </w:tc>
        <w:tc>
          <w:tcPr>
            <w:tcW w:type="dxa" w:w="3060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5 days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t>3. Records</w:t>
      </w:r>
    </w:p>
    <w:p>
      <w:r>
        <w:t>Records must retain the source paragraph and review outcome.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A5A5A"/>
        <w:sz w:val="18"/>
      </w:rPr>
      <w:t>GovernDiff Sample Policy - running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