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1D0" w:rsidRPr="000141D0" w:rsidRDefault="000141D0" w:rsidP="009554A5">
      <w:pPr>
        <w:rPr>
          <w:rStyle w:val="BookTitle"/>
          <w:b/>
          <w:bCs w:val="0"/>
          <w:iCs w:val="0"/>
          <w:color w:val="005C84" w:themeColor="text1"/>
          <w:spacing w:val="0"/>
          <w:sz w:val="96"/>
          <w:szCs w:val="96"/>
        </w:rPr>
      </w:pPr>
      <w:r w:rsidRPr="000141D0">
        <w:rPr>
          <w:rStyle w:val="BookTitle"/>
          <w:b/>
          <w:bCs w:val="0"/>
          <w:iCs w:val="0"/>
          <w:color w:val="005C84" w:themeColor="text1"/>
          <w:spacing w:val="0"/>
          <w:sz w:val="96"/>
          <w:szCs w:val="96"/>
        </w:rPr>
        <w:t>1.</w:t>
      </w:r>
    </w:p>
    <w:p w:rsidR="0025230D" w:rsidRDefault="009554A5" w:rsidP="009554A5">
      <w:pPr>
        <w:rPr>
          <w:rStyle w:val="BookTitle"/>
          <w:bCs w:val="0"/>
          <w:iCs w:val="0"/>
          <w:color w:val="005C84" w:themeColor="text1"/>
          <w:spacing w:val="0"/>
          <w:sz w:val="20"/>
        </w:rPr>
      </w:pPr>
      <w:r>
        <w:rPr>
          <w:noProof/>
        </w:rPr>
        <w:drawing>
          <wp:inline distT="0" distB="0" distL="0" distR="0" wp14:anchorId="0E9F00BA" wp14:editId="261475C0">
            <wp:extent cx="3657600" cy="60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600075"/>
                    </a:xfrm>
                    <a:prstGeom prst="rect">
                      <a:avLst/>
                    </a:prstGeom>
                  </pic:spPr>
                </pic:pic>
              </a:graphicData>
            </a:graphic>
          </wp:inline>
        </w:drawing>
      </w:r>
    </w:p>
    <w:p w:rsidR="009554A5" w:rsidRDefault="009554A5" w:rsidP="009554A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HCL Technologies Limited</w:t>
      </w:r>
      <w:r>
        <w:rPr>
          <w:rFonts w:ascii="Arial" w:hAnsi="Arial" w:cs="Arial"/>
          <w:color w:val="222222"/>
          <w:sz w:val="21"/>
          <w:szCs w:val="21"/>
        </w:rPr>
        <w:t> (Hindustan Computers Limited) is an Indian multinational IT services company, headquartered in </w:t>
      </w:r>
      <w:hyperlink r:id="rId9" w:tooltip="Noida" w:history="1">
        <w:r>
          <w:rPr>
            <w:rStyle w:val="Hyperlink"/>
            <w:rFonts w:ascii="Arial" w:eastAsiaTheme="minorEastAsia" w:hAnsi="Arial" w:cs="Arial"/>
            <w:color w:val="0B0080"/>
            <w:sz w:val="21"/>
            <w:szCs w:val="21"/>
          </w:rPr>
          <w:t>Noida</w:t>
        </w:r>
      </w:hyperlink>
      <w:r>
        <w:rPr>
          <w:rFonts w:ascii="Arial" w:hAnsi="Arial" w:cs="Arial"/>
          <w:color w:val="222222"/>
          <w:sz w:val="21"/>
          <w:szCs w:val="21"/>
        </w:rPr>
        <w:t>, Uttar Pradesh, India. It is a subsidiary of HCL Enterprise. Originally a </w:t>
      </w:r>
      <w:hyperlink r:id="rId10" w:tooltip="Research and development" w:history="1">
        <w:r>
          <w:rPr>
            <w:rStyle w:val="Hyperlink"/>
            <w:rFonts w:ascii="Arial" w:eastAsiaTheme="minorEastAsia" w:hAnsi="Arial" w:cs="Arial"/>
            <w:color w:val="0B0080"/>
            <w:sz w:val="21"/>
            <w:szCs w:val="21"/>
          </w:rPr>
          <w:t xml:space="preserve">research and </w:t>
        </w:r>
        <w:proofErr w:type="spellStart"/>
        <w:r>
          <w:rPr>
            <w:rStyle w:val="Hyperlink"/>
            <w:rFonts w:ascii="Arial" w:eastAsiaTheme="minorEastAsia" w:hAnsi="Arial" w:cs="Arial"/>
            <w:color w:val="0B0080"/>
            <w:sz w:val="21"/>
            <w:szCs w:val="21"/>
          </w:rPr>
          <w:t>development</w:t>
        </w:r>
      </w:hyperlink>
      <w:r>
        <w:rPr>
          <w:rFonts w:ascii="Arial" w:hAnsi="Arial" w:cs="Arial"/>
          <w:color w:val="222222"/>
          <w:sz w:val="21"/>
          <w:szCs w:val="21"/>
        </w:rPr>
        <w:t>division</w:t>
      </w:r>
      <w:proofErr w:type="spellEnd"/>
      <w:r>
        <w:rPr>
          <w:rFonts w:ascii="Arial" w:hAnsi="Arial" w:cs="Arial"/>
          <w:color w:val="222222"/>
          <w:sz w:val="21"/>
          <w:szCs w:val="21"/>
        </w:rPr>
        <w:t xml:space="preserve"> of HCL, it emerged as an independent company in 1991 when HCL ventured into the software services business.</w:t>
      </w:r>
      <w:hyperlink r:id="rId11" w:anchor="cite_note-7" w:history="1">
        <w:r>
          <w:rPr>
            <w:rStyle w:val="Hyperlink"/>
            <w:rFonts w:ascii="Arial" w:eastAsiaTheme="minorEastAsia" w:hAnsi="Arial" w:cs="Arial"/>
            <w:color w:val="0B0080"/>
            <w:sz w:val="17"/>
            <w:szCs w:val="17"/>
            <w:vertAlign w:val="superscript"/>
          </w:rPr>
          <w:t>[7]</w:t>
        </w:r>
      </w:hyperlink>
      <w:r>
        <w:rPr>
          <w:rFonts w:ascii="Arial" w:hAnsi="Arial" w:cs="Arial"/>
          <w:color w:val="222222"/>
          <w:sz w:val="21"/>
          <w:szCs w:val="21"/>
        </w:rPr>
        <w:t> HCL Technologies (the abbreviation of Hindustan Computers Limited)</w:t>
      </w:r>
      <w:hyperlink r:id="rId12" w:anchor="cite_note-8" w:history="1">
        <w:r>
          <w:rPr>
            <w:rStyle w:val="Hyperlink"/>
            <w:rFonts w:ascii="Arial" w:eastAsiaTheme="minorEastAsia" w:hAnsi="Arial" w:cs="Arial"/>
            <w:color w:val="0B0080"/>
            <w:sz w:val="17"/>
            <w:szCs w:val="17"/>
            <w:vertAlign w:val="superscript"/>
          </w:rPr>
          <w:t>[8]</w:t>
        </w:r>
      </w:hyperlink>
      <w:r>
        <w:rPr>
          <w:rFonts w:ascii="Arial" w:hAnsi="Arial" w:cs="Arial"/>
          <w:color w:val="222222"/>
          <w:sz w:val="21"/>
          <w:szCs w:val="21"/>
        </w:rPr>
        <w:t> offers services including </w:t>
      </w:r>
      <w:hyperlink r:id="rId13" w:tooltip="Information technology consulting" w:history="1">
        <w:r>
          <w:rPr>
            <w:rStyle w:val="Hyperlink"/>
            <w:rFonts w:ascii="Arial" w:eastAsiaTheme="minorEastAsia" w:hAnsi="Arial" w:cs="Arial"/>
            <w:color w:val="0B0080"/>
            <w:sz w:val="21"/>
            <w:szCs w:val="21"/>
          </w:rPr>
          <w:t>IT consulting</w:t>
        </w:r>
      </w:hyperlink>
      <w:r>
        <w:rPr>
          <w:rFonts w:ascii="Arial" w:hAnsi="Arial" w:cs="Arial"/>
          <w:color w:val="222222"/>
          <w:sz w:val="21"/>
          <w:szCs w:val="21"/>
        </w:rPr>
        <w:t>, </w:t>
      </w:r>
      <w:hyperlink r:id="rId14" w:tooltip="Business Transformation" w:history="1">
        <w:r>
          <w:rPr>
            <w:rStyle w:val="Hyperlink"/>
            <w:rFonts w:ascii="Arial" w:eastAsiaTheme="minorEastAsia" w:hAnsi="Arial" w:cs="Arial"/>
            <w:color w:val="0B0080"/>
            <w:sz w:val="21"/>
            <w:szCs w:val="21"/>
          </w:rPr>
          <w:t>enterprise transformation</w:t>
        </w:r>
      </w:hyperlink>
      <w:r>
        <w:rPr>
          <w:rFonts w:ascii="Arial" w:hAnsi="Arial" w:cs="Arial"/>
          <w:color w:val="222222"/>
          <w:sz w:val="21"/>
          <w:szCs w:val="21"/>
        </w:rPr>
        <w:t>, </w:t>
      </w:r>
      <w:hyperlink r:id="rId15" w:tooltip="Remote infrastructure management" w:history="1">
        <w:r>
          <w:rPr>
            <w:rStyle w:val="Hyperlink"/>
            <w:rFonts w:ascii="Arial" w:eastAsiaTheme="minorEastAsia" w:hAnsi="Arial" w:cs="Arial"/>
            <w:color w:val="0B0080"/>
            <w:sz w:val="21"/>
            <w:szCs w:val="21"/>
          </w:rPr>
          <w:t>remote infrastructure management</w:t>
        </w:r>
      </w:hyperlink>
      <w:r>
        <w:rPr>
          <w:rFonts w:ascii="Arial" w:hAnsi="Arial" w:cs="Arial"/>
          <w:color w:val="222222"/>
          <w:sz w:val="21"/>
          <w:szCs w:val="21"/>
        </w:rPr>
        <w:t>, engineering and </w:t>
      </w:r>
      <w:hyperlink r:id="rId16" w:tooltip="Research and development" w:history="1">
        <w:r>
          <w:rPr>
            <w:rStyle w:val="Hyperlink"/>
            <w:rFonts w:ascii="Arial" w:eastAsiaTheme="minorEastAsia" w:hAnsi="Arial" w:cs="Arial"/>
            <w:color w:val="0B0080"/>
            <w:sz w:val="21"/>
            <w:szCs w:val="21"/>
          </w:rPr>
          <w:t>R&amp;D</w:t>
        </w:r>
      </w:hyperlink>
      <w:r>
        <w:rPr>
          <w:rFonts w:ascii="Arial" w:hAnsi="Arial" w:cs="Arial"/>
          <w:color w:val="222222"/>
          <w:sz w:val="21"/>
          <w:szCs w:val="21"/>
        </w:rPr>
        <w:t>, and </w:t>
      </w:r>
      <w:hyperlink r:id="rId17" w:tooltip="Business process outsourcing" w:history="1">
        <w:r>
          <w:rPr>
            <w:rStyle w:val="Hyperlink"/>
            <w:rFonts w:ascii="Arial" w:eastAsiaTheme="minorEastAsia" w:hAnsi="Arial" w:cs="Arial"/>
            <w:color w:val="0B0080"/>
            <w:sz w:val="21"/>
            <w:szCs w:val="21"/>
          </w:rPr>
          <w:t>business process outsourcing</w:t>
        </w:r>
      </w:hyperlink>
      <w:r>
        <w:rPr>
          <w:rFonts w:ascii="Arial" w:hAnsi="Arial" w:cs="Arial"/>
          <w:color w:val="222222"/>
          <w:sz w:val="21"/>
          <w:szCs w:val="21"/>
        </w:rPr>
        <w:t> (BPO).</w:t>
      </w:r>
      <w:hyperlink r:id="rId18" w:anchor="cite_note-9" w:history="1">
        <w:r>
          <w:rPr>
            <w:rStyle w:val="Hyperlink"/>
            <w:rFonts w:ascii="Arial" w:eastAsiaTheme="minorEastAsia" w:hAnsi="Arial" w:cs="Arial"/>
            <w:color w:val="0B0080"/>
            <w:sz w:val="17"/>
            <w:szCs w:val="17"/>
            <w:vertAlign w:val="superscript"/>
          </w:rPr>
          <w:t>[9]</w:t>
        </w:r>
      </w:hyperlink>
      <w:r>
        <w:rPr>
          <w:rFonts w:ascii="Arial" w:hAnsi="Arial" w:cs="Arial"/>
          <w:color w:val="222222"/>
          <w:sz w:val="21"/>
          <w:szCs w:val="21"/>
        </w:rPr>
        <w:t xml:space="preserve"> HCL also provides services such as </w:t>
      </w:r>
      <w:proofErr w:type="spellStart"/>
      <w:r>
        <w:rPr>
          <w:rFonts w:ascii="Arial" w:hAnsi="Arial" w:cs="Arial"/>
          <w:color w:val="222222"/>
          <w:sz w:val="21"/>
          <w:szCs w:val="21"/>
        </w:rPr>
        <w:t>DRYiCE</w:t>
      </w:r>
      <w:proofErr w:type="spellEnd"/>
      <w:r>
        <w:rPr>
          <w:rFonts w:ascii="Arial" w:hAnsi="Arial" w:cs="Arial"/>
          <w:color w:val="222222"/>
          <w:sz w:val="21"/>
          <w:szCs w:val="21"/>
        </w:rPr>
        <w:t>,</w:t>
      </w:r>
      <w:hyperlink r:id="rId19" w:anchor="cite_note-:0-10" w:history="1">
        <w:r>
          <w:rPr>
            <w:rStyle w:val="Hyperlink"/>
            <w:rFonts w:ascii="Arial" w:eastAsiaTheme="minorEastAsia" w:hAnsi="Arial" w:cs="Arial"/>
            <w:color w:val="0B0080"/>
            <w:sz w:val="17"/>
            <w:szCs w:val="17"/>
            <w:vertAlign w:val="superscript"/>
          </w:rPr>
          <w:t>[10]</w:t>
        </w:r>
      </w:hyperlink>
      <w:r>
        <w:rPr>
          <w:rFonts w:ascii="Arial" w:hAnsi="Arial" w:cs="Arial"/>
          <w:color w:val="222222"/>
          <w:sz w:val="21"/>
          <w:szCs w:val="21"/>
        </w:rPr>
        <w:t> </w:t>
      </w:r>
      <w:hyperlink r:id="rId20" w:tooltip="Cybersecurity" w:history="1">
        <w:r>
          <w:rPr>
            <w:rStyle w:val="Hyperlink"/>
            <w:rFonts w:ascii="Arial" w:eastAsiaTheme="minorEastAsia" w:hAnsi="Arial" w:cs="Arial"/>
            <w:color w:val="0B0080"/>
            <w:sz w:val="21"/>
            <w:szCs w:val="21"/>
          </w:rPr>
          <w:t>Cybersecurity</w:t>
        </w:r>
      </w:hyperlink>
      <w:r>
        <w:rPr>
          <w:rFonts w:ascii="Arial" w:hAnsi="Arial" w:cs="Arial"/>
          <w:color w:val="222222"/>
          <w:sz w:val="21"/>
          <w:szCs w:val="21"/>
        </w:rPr>
        <w:t> and </w:t>
      </w:r>
      <w:hyperlink r:id="rId21" w:tooltip="Digital transformation" w:history="1">
        <w:r>
          <w:rPr>
            <w:rStyle w:val="Hyperlink"/>
            <w:rFonts w:ascii="Arial" w:eastAsiaTheme="minorEastAsia" w:hAnsi="Arial" w:cs="Arial"/>
            <w:color w:val="0B0080"/>
            <w:sz w:val="21"/>
            <w:szCs w:val="21"/>
          </w:rPr>
          <w:t>Digital</w:t>
        </w:r>
      </w:hyperlink>
      <w:r>
        <w:rPr>
          <w:rFonts w:ascii="Arial" w:hAnsi="Arial" w:cs="Arial"/>
          <w:color w:val="222222"/>
          <w:sz w:val="21"/>
          <w:szCs w:val="21"/>
        </w:rPr>
        <w:t> &amp; </w:t>
      </w:r>
      <w:hyperlink r:id="rId22" w:tooltip="Analytics" w:history="1">
        <w:r>
          <w:rPr>
            <w:rStyle w:val="Hyperlink"/>
            <w:rFonts w:ascii="Arial" w:eastAsiaTheme="minorEastAsia" w:hAnsi="Arial" w:cs="Arial"/>
            <w:color w:val="0B0080"/>
            <w:sz w:val="21"/>
            <w:szCs w:val="21"/>
          </w:rPr>
          <w:t>Analytics</w:t>
        </w:r>
      </w:hyperlink>
      <w:r>
        <w:rPr>
          <w:rFonts w:ascii="Arial" w:hAnsi="Arial" w:cs="Arial"/>
          <w:color w:val="222222"/>
          <w:sz w:val="21"/>
          <w:szCs w:val="21"/>
        </w:rPr>
        <w:t>.</w:t>
      </w:r>
    </w:p>
    <w:p w:rsidR="009554A5" w:rsidRDefault="009554A5" w:rsidP="009554A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company has offices in 34 countries including the United States, France and Germany, and the United Kingdom. It operates across sectors including aerospace and </w:t>
      </w:r>
      <w:proofErr w:type="spellStart"/>
      <w:r>
        <w:rPr>
          <w:rFonts w:ascii="Arial" w:hAnsi="Arial" w:cs="Arial"/>
          <w:color w:val="222222"/>
          <w:sz w:val="21"/>
          <w:szCs w:val="21"/>
        </w:rPr>
        <w:t>defense</w:t>
      </w:r>
      <w:proofErr w:type="spellEnd"/>
      <w:r>
        <w:rPr>
          <w:rFonts w:ascii="Arial" w:hAnsi="Arial" w:cs="Arial"/>
          <w:color w:val="222222"/>
          <w:sz w:val="21"/>
          <w:szCs w:val="21"/>
        </w:rPr>
        <w:t>, automotive, consumer electronics, energy and utilities, financial services, government, industrial manufacturing, life sciences and healthcare, media and entertainment, mining and natural resources, public services, retail and consumer, semiconductor, server and storage, telecom, and travel, transportation, logistics, and hospitality.</w:t>
      </w:r>
      <w:hyperlink r:id="rId23" w:anchor="cite_note-11" w:history="1">
        <w:r>
          <w:rPr>
            <w:rStyle w:val="Hyperlink"/>
            <w:rFonts w:ascii="Arial" w:eastAsiaTheme="minorEastAsia" w:hAnsi="Arial" w:cs="Arial"/>
            <w:color w:val="0B0080"/>
            <w:sz w:val="17"/>
            <w:szCs w:val="17"/>
            <w:vertAlign w:val="superscript"/>
          </w:rPr>
          <w:t>[11]</w:t>
        </w:r>
      </w:hyperlink>
      <w:hyperlink r:id="rId24" w:anchor="cite_note-12" w:history="1">
        <w:r>
          <w:rPr>
            <w:rStyle w:val="Hyperlink"/>
            <w:rFonts w:ascii="Arial" w:eastAsiaTheme="minorEastAsia" w:hAnsi="Arial" w:cs="Arial"/>
            <w:color w:val="0B0080"/>
            <w:sz w:val="17"/>
            <w:szCs w:val="17"/>
            <w:vertAlign w:val="superscript"/>
          </w:rPr>
          <w:t>[12]</w:t>
        </w:r>
      </w:hyperlink>
    </w:p>
    <w:p w:rsidR="009554A5" w:rsidRDefault="009554A5" w:rsidP="009554A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HCL Technologies is on the </w:t>
      </w:r>
      <w:hyperlink r:id="rId25" w:tooltip="Forbes Global 2000" w:history="1">
        <w:r>
          <w:rPr>
            <w:rStyle w:val="Hyperlink"/>
            <w:rFonts w:ascii="Arial" w:eastAsiaTheme="minorEastAsia" w:hAnsi="Arial" w:cs="Arial"/>
            <w:color w:val="0B0080"/>
            <w:sz w:val="21"/>
            <w:szCs w:val="21"/>
          </w:rPr>
          <w:t>Forbes Global 2000</w:t>
        </w:r>
      </w:hyperlink>
      <w:r>
        <w:rPr>
          <w:rFonts w:ascii="Arial" w:hAnsi="Arial" w:cs="Arial"/>
          <w:color w:val="222222"/>
          <w:sz w:val="21"/>
          <w:szCs w:val="21"/>
        </w:rPr>
        <w:t> list.</w:t>
      </w:r>
      <w:hyperlink r:id="rId26" w:anchor="cite_note-13" w:history="1">
        <w:r>
          <w:rPr>
            <w:rStyle w:val="Hyperlink"/>
            <w:rFonts w:ascii="Arial" w:eastAsiaTheme="minorEastAsia" w:hAnsi="Arial" w:cs="Arial"/>
            <w:color w:val="0B0080"/>
            <w:sz w:val="17"/>
            <w:szCs w:val="17"/>
            <w:vertAlign w:val="superscript"/>
          </w:rPr>
          <w:t>[13]</w:t>
        </w:r>
      </w:hyperlink>
      <w:r>
        <w:rPr>
          <w:rFonts w:ascii="Arial" w:hAnsi="Arial" w:cs="Arial"/>
          <w:color w:val="222222"/>
          <w:sz w:val="21"/>
          <w:szCs w:val="21"/>
        </w:rPr>
        <w:t> It is among the top 20 largest publicly traded companies in India with a market capitalisation of $18.7 billion as of May 2017.</w:t>
      </w:r>
      <w:hyperlink r:id="rId27" w:anchor="cite_note-14" w:history="1">
        <w:r>
          <w:rPr>
            <w:rStyle w:val="Hyperlink"/>
            <w:rFonts w:ascii="Arial" w:eastAsiaTheme="minorEastAsia" w:hAnsi="Arial" w:cs="Arial"/>
            <w:color w:val="0B0080"/>
            <w:sz w:val="17"/>
            <w:szCs w:val="17"/>
            <w:vertAlign w:val="superscript"/>
          </w:rPr>
          <w:t>[14]</w:t>
        </w:r>
      </w:hyperlink>
      <w:hyperlink r:id="rId28" w:anchor="cite_note-15" w:history="1">
        <w:r>
          <w:rPr>
            <w:rStyle w:val="Hyperlink"/>
            <w:rFonts w:ascii="Arial" w:eastAsiaTheme="minorEastAsia" w:hAnsi="Arial" w:cs="Arial"/>
            <w:color w:val="0B0080"/>
            <w:sz w:val="17"/>
            <w:szCs w:val="17"/>
            <w:vertAlign w:val="superscript"/>
          </w:rPr>
          <w:t>[15]</w:t>
        </w:r>
      </w:hyperlink>
      <w:r>
        <w:rPr>
          <w:rFonts w:ascii="Arial" w:hAnsi="Arial" w:cs="Arial"/>
          <w:color w:val="222222"/>
          <w:sz w:val="21"/>
          <w:szCs w:val="21"/>
        </w:rPr>
        <w:t> As of September 2017, the company, along with its subsidiaries, had a consolidated revenue of $7.4 billion.</w:t>
      </w:r>
      <w:hyperlink r:id="rId29" w:anchor="cite_note-16" w:history="1">
        <w:r>
          <w:rPr>
            <w:rStyle w:val="Hyperlink"/>
            <w:rFonts w:ascii="Arial" w:eastAsiaTheme="minorEastAsia" w:hAnsi="Arial" w:cs="Arial"/>
            <w:color w:val="0B0080"/>
            <w:sz w:val="17"/>
            <w:szCs w:val="17"/>
            <w:vertAlign w:val="superscript"/>
          </w:rPr>
          <w:t>[16]</w:t>
        </w:r>
      </w:hyperlink>
      <w:hyperlink r:id="rId30" w:anchor="cite_note-17" w:history="1">
        <w:r>
          <w:rPr>
            <w:rStyle w:val="Hyperlink"/>
            <w:rFonts w:ascii="Arial" w:eastAsiaTheme="minorEastAsia" w:hAnsi="Arial" w:cs="Arial"/>
            <w:color w:val="0B0080"/>
            <w:sz w:val="17"/>
            <w:szCs w:val="17"/>
            <w:vertAlign w:val="superscript"/>
          </w:rPr>
          <w:t>[17]</w:t>
        </w:r>
      </w:hyperlink>
    </w:p>
    <w:p w:rsidR="009554A5" w:rsidRDefault="009554A5" w:rsidP="009554A5">
      <w:pPr>
        <w:rPr>
          <w:rStyle w:val="BookTitle"/>
          <w:bCs w:val="0"/>
          <w:iCs w:val="0"/>
          <w:color w:val="005C84" w:themeColor="text1"/>
          <w:spacing w:val="0"/>
          <w:sz w:val="20"/>
        </w:rPr>
      </w:pPr>
      <w:r>
        <w:rPr>
          <w:rStyle w:val="BookTitle"/>
          <w:bCs w:val="0"/>
          <w:iCs w:val="0"/>
          <w:color w:val="005C84" w:themeColor="text1"/>
          <w:spacing w:val="0"/>
          <w:sz w:val="20"/>
        </w:rPr>
        <w:t>--- Baskar R – Software Engineer</w:t>
      </w:r>
    </w:p>
    <w:p w:rsidR="000141D0" w:rsidRDefault="000141D0" w:rsidP="009554A5">
      <w:pPr>
        <w:rPr>
          <w:rStyle w:val="BookTitle"/>
          <w:bCs w:val="0"/>
          <w:iCs w:val="0"/>
          <w:color w:val="005C84" w:themeColor="text1"/>
          <w:spacing w:val="0"/>
          <w:sz w:val="20"/>
        </w:rPr>
      </w:pPr>
      <w:r>
        <w:rPr>
          <w:rStyle w:val="BookTitle"/>
          <w:bCs w:val="0"/>
          <w:iCs w:val="0"/>
          <w:color w:val="005C84" w:themeColor="text1"/>
          <w:spacing w:val="0"/>
          <w:sz w:val="20"/>
        </w:rPr>
        <w:t xml:space="preserve">--- </w:t>
      </w:r>
      <w:r w:rsidR="003E7499">
        <w:rPr>
          <w:rStyle w:val="BookTitle"/>
          <w:bCs w:val="0"/>
          <w:iCs w:val="0"/>
          <w:color w:val="005C84" w:themeColor="text1"/>
          <w:spacing w:val="0"/>
          <w:sz w:val="20"/>
        </w:rPr>
        <w:t>9486884407</w:t>
      </w:r>
    </w:p>
    <w:p w:rsidR="009554A5" w:rsidRDefault="008A0E9C" w:rsidP="009554A5">
      <w:pPr>
        <w:rPr>
          <w:rStyle w:val="BookTitle"/>
          <w:b/>
          <w:bCs w:val="0"/>
          <w:iCs w:val="0"/>
          <w:color w:val="005C84" w:themeColor="text1"/>
          <w:spacing w:val="0"/>
          <w:sz w:val="20"/>
          <w:u w:val="single"/>
        </w:rPr>
      </w:pPr>
      <w:r w:rsidRPr="008A0E9C">
        <w:rPr>
          <w:rStyle w:val="BookTitle"/>
          <w:b/>
          <w:bCs w:val="0"/>
          <w:iCs w:val="0"/>
          <w:color w:val="005C84" w:themeColor="text1"/>
          <w:spacing w:val="0"/>
          <w:sz w:val="20"/>
          <w:u w:val="single"/>
        </w:rPr>
        <w:t>SAP</w:t>
      </w:r>
    </w:p>
    <w:p w:rsidR="008A0E9C" w:rsidRDefault="008A0E9C" w:rsidP="009554A5">
      <w:pPr>
        <w:rPr>
          <w:rStyle w:val="BookTitle"/>
          <w:b/>
          <w:bCs w:val="0"/>
          <w:iCs w:val="0"/>
          <w:color w:val="005C84" w:themeColor="text1"/>
          <w:spacing w:val="0"/>
          <w:sz w:val="20"/>
          <w:u w:val="single"/>
        </w:rPr>
      </w:pPr>
      <w:r>
        <w:rPr>
          <w:rStyle w:val="BookTitle"/>
          <w:b/>
          <w:bCs w:val="0"/>
          <w:iCs w:val="0"/>
          <w:noProof/>
          <w:color w:val="005C84" w:themeColor="text1"/>
          <w:spacing w:val="0"/>
          <w:sz w:val="20"/>
          <w:u w:val="single"/>
        </w:rPr>
        <w:drawing>
          <wp:inline distT="0" distB="0" distL="0" distR="0">
            <wp:extent cx="43624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450" cy="2762250"/>
                    </a:xfrm>
                    <a:prstGeom prst="rect">
                      <a:avLst/>
                    </a:prstGeom>
                    <a:noFill/>
                    <a:ln>
                      <a:noFill/>
                    </a:ln>
                  </pic:spPr>
                </pic:pic>
              </a:graphicData>
            </a:graphic>
          </wp:inline>
        </w:drawing>
      </w:r>
    </w:p>
    <w:p w:rsidR="008A0E9C" w:rsidRDefault="008A0E9C" w:rsidP="009554A5">
      <w:pPr>
        <w:rPr>
          <w:rStyle w:val="BookTitle"/>
          <w:b/>
          <w:bCs w:val="0"/>
          <w:iCs w:val="0"/>
          <w:color w:val="005C84" w:themeColor="text1"/>
          <w:spacing w:val="0"/>
          <w:sz w:val="20"/>
          <w:u w:val="single"/>
        </w:rPr>
      </w:pPr>
    </w:p>
    <w:p w:rsidR="000141D0" w:rsidRDefault="000141D0" w:rsidP="000141D0">
      <w:pPr>
        <w:rPr>
          <w:rStyle w:val="BookTitle"/>
          <w:b/>
          <w:bCs w:val="0"/>
          <w:iCs w:val="0"/>
          <w:color w:val="005C84" w:themeColor="text1"/>
          <w:spacing w:val="0"/>
          <w:sz w:val="96"/>
          <w:szCs w:val="96"/>
        </w:rPr>
      </w:pPr>
    </w:p>
    <w:p w:rsidR="000141D0" w:rsidRDefault="000141D0" w:rsidP="000141D0">
      <w:pPr>
        <w:rPr>
          <w:rStyle w:val="BookTitle"/>
          <w:b/>
          <w:bCs w:val="0"/>
          <w:iCs w:val="0"/>
          <w:color w:val="005C84" w:themeColor="text1"/>
          <w:spacing w:val="0"/>
          <w:sz w:val="96"/>
          <w:szCs w:val="96"/>
        </w:rPr>
      </w:pPr>
    </w:p>
    <w:p w:rsidR="000141D0" w:rsidRP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lastRenderedPageBreak/>
        <w:t>2</w:t>
      </w:r>
      <w:r w:rsidRPr="000141D0">
        <w:rPr>
          <w:rStyle w:val="BookTitle"/>
          <w:b/>
          <w:bCs w:val="0"/>
          <w:iCs w:val="0"/>
          <w:color w:val="005C84" w:themeColor="text1"/>
          <w:spacing w:val="0"/>
          <w:sz w:val="96"/>
          <w:szCs w:val="96"/>
        </w:rPr>
        <w:t>.</w:t>
      </w:r>
    </w:p>
    <w:p w:rsidR="008A0E9C" w:rsidRDefault="008A0E9C" w:rsidP="009554A5">
      <w:pPr>
        <w:rPr>
          <w:rStyle w:val="BookTitle"/>
          <w:b/>
          <w:bCs w:val="0"/>
          <w:iCs w:val="0"/>
          <w:color w:val="005C84" w:themeColor="text1"/>
          <w:spacing w:val="0"/>
          <w:sz w:val="20"/>
          <w:u w:val="single"/>
        </w:rPr>
      </w:pPr>
      <w:r>
        <w:rPr>
          <w:noProof/>
        </w:rPr>
        <w:drawing>
          <wp:inline distT="0" distB="0" distL="0" distR="0" wp14:anchorId="5EF5F3CB" wp14:editId="2D4967E6">
            <wp:extent cx="30480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1171575"/>
                    </a:xfrm>
                    <a:prstGeom prst="rect">
                      <a:avLst/>
                    </a:prstGeom>
                  </pic:spPr>
                </pic:pic>
              </a:graphicData>
            </a:graphic>
          </wp:inline>
        </w:drawing>
      </w:r>
    </w:p>
    <w:p w:rsidR="008A0E9C" w:rsidRDefault="008A0E9C" w:rsidP="008A0E9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Infosys Limited</w:t>
      </w:r>
      <w:r>
        <w:rPr>
          <w:rFonts w:ascii="Arial" w:hAnsi="Arial" w:cs="Arial"/>
          <w:color w:val="222222"/>
          <w:sz w:val="21"/>
          <w:szCs w:val="21"/>
        </w:rPr>
        <w:t> (formerly </w:t>
      </w:r>
      <w:r>
        <w:rPr>
          <w:rFonts w:ascii="Arial" w:hAnsi="Arial" w:cs="Arial"/>
          <w:b/>
          <w:bCs/>
          <w:color w:val="222222"/>
          <w:sz w:val="21"/>
          <w:szCs w:val="21"/>
        </w:rPr>
        <w:t>Infosys Technologies Limited</w:t>
      </w:r>
      <w:r>
        <w:rPr>
          <w:rFonts w:ascii="Arial" w:hAnsi="Arial" w:cs="Arial"/>
          <w:color w:val="222222"/>
          <w:sz w:val="21"/>
          <w:szCs w:val="21"/>
        </w:rPr>
        <w:t>) is an Indian </w:t>
      </w:r>
      <w:hyperlink r:id="rId33" w:tooltip="Multinational corporation" w:history="1">
        <w:r>
          <w:rPr>
            <w:rStyle w:val="Hyperlink"/>
            <w:rFonts w:ascii="Arial" w:eastAsiaTheme="minorEastAsia" w:hAnsi="Arial" w:cs="Arial"/>
            <w:color w:val="0B0080"/>
            <w:sz w:val="21"/>
            <w:szCs w:val="21"/>
          </w:rPr>
          <w:t>multinational corporation</w:t>
        </w:r>
      </w:hyperlink>
      <w:r>
        <w:rPr>
          <w:rFonts w:ascii="Arial" w:hAnsi="Arial" w:cs="Arial"/>
          <w:color w:val="222222"/>
          <w:sz w:val="21"/>
          <w:szCs w:val="21"/>
        </w:rPr>
        <w:t> that provides </w:t>
      </w:r>
      <w:hyperlink r:id="rId34" w:tooltip="Business consulting" w:history="1">
        <w:r>
          <w:rPr>
            <w:rStyle w:val="Hyperlink"/>
            <w:rFonts w:ascii="Arial" w:eastAsiaTheme="minorEastAsia" w:hAnsi="Arial" w:cs="Arial"/>
            <w:color w:val="0B0080"/>
            <w:sz w:val="21"/>
            <w:szCs w:val="21"/>
          </w:rPr>
          <w:t>business consulting</w:t>
        </w:r>
      </w:hyperlink>
      <w:r>
        <w:rPr>
          <w:rFonts w:ascii="Arial" w:hAnsi="Arial" w:cs="Arial"/>
          <w:color w:val="222222"/>
          <w:sz w:val="21"/>
          <w:szCs w:val="21"/>
        </w:rPr>
        <w:t>, </w:t>
      </w:r>
      <w:hyperlink r:id="rId35" w:tooltip="Information technology" w:history="1">
        <w:r>
          <w:rPr>
            <w:rStyle w:val="Hyperlink"/>
            <w:rFonts w:ascii="Arial" w:eastAsiaTheme="minorEastAsia" w:hAnsi="Arial" w:cs="Arial"/>
            <w:color w:val="0B0080"/>
            <w:sz w:val="21"/>
            <w:szCs w:val="21"/>
          </w:rPr>
          <w:t>information technology</w:t>
        </w:r>
      </w:hyperlink>
      <w:r>
        <w:rPr>
          <w:rFonts w:ascii="Arial" w:hAnsi="Arial" w:cs="Arial"/>
          <w:color w:val="222222"/>
          <w:sz w:val="21"/>
          <w:szCs w:val="21"/>
        </w:rPr>
        <w:t> and </w:t>
      </w:r>
      <w:hyperlink r:id="rId36" w:tooltip="Outsourcing" w:history="1">
        <w:r>
          <w:rPr>
            <w:rStyle w:val="Hyperlink"/>
            <w:rFonts w:ascii="Arial" w:eastAsiaTheme="minorEastAsia" w:hAnsi="Arial" w:cs="Arial"/>
            <w:color w:val="0B0080"/>
            <w:sz w:val="21"/>
            <w:szCs w:val="21"/>
          </w:rPr>
          <w:t>outsourcing</w:t>
        </w:r>
      </w:hyperlink>
      <w:r>
        <w:rPr>
          <w:rFonts w:ascii="Arial" w:hAnsi="Arial" w:cs="Arial"/>
          <w:color w:val="222222"/>
          <w:sz w:val="21"/>
          <w:szCs w:val="21"/>
        </w:rPr>
        <w:t> services. It has its headquarters in </w:t>
      </w:r>
      <w:hyperlink r:id="rId37" w:tooltip="Bengaluru" w:history="1">
        <w:r>
          <w:rPr>
            <w:rStyle w:val="Hyperlink"/>
            <w:rFonts w:ascii="Arial" w:eastAsiaTheme="minorEastAsia" w:hAnsi="Arial" w:cs="Arial"/>
            <w:color w:val="0B0080"/>
            <w:sz w:val="21"/>
            <w:szCs w:val="21"/>
          </w:rPr>
          <w:t>Bengaluru, Karnataka, India</w:t>
        </w:r>
      </w:hyperlink>
      <w:r>
        <w:rPr>
          <w:rFonts w:ascii="Arial" w:hAnsi="Arial" w:cs="Arial"/>
          <w:color w:val="222222"/>
          <w:sz w:val="21"/>
          <w:szCs w:val="21"/>
        </w:rPr>
        <w:t>.</w:t>
      </w:r>
      <w:hyperlink r:id="rId38" w:anchor="cite_note-Infosys_Overview-4" w:history="1">
        <w:r>
          <w:rPr>
            <w:rStyle w:val="Hyperlink"/>
            <w:rFonts w:ascii="Arial" w:eastAsiaTheme="minorEastAsia" w:hAnsi="Arial" w:cs="Arial"/>
            <w:color w:val="0B0080"/>
            <w:sz w:val="17"/>
            <w:szCs w:val="17"/>
            <w:vertAlign w:val="superscript"/>
          </w:rPr>
          <w:t>[4]</w:t>
        </w:r>
      </w:hyperlink>
    </w:p>
    <w:p w:rsidR="008A0E9C" w:rsidRDefault="008A0E9C" w:rsidP="008A0E9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Infosys is the second-largest Indian IT company by 2017 revenues and 596th largest public company in world in terms of revenue.</w:t>
      </w:r>
      <w:hyperlink r:id="rId39" w:anchor="cite_note-5" w:history="1">
        <w:r>
          <w:rPr>
            <w:rStyle w:val="Hyperlink"/>
            <w:rFonts w:ascii="Arial" w:eastAsiaTheme="minorEastAsia" w:hAnsi="Arial" w:cs="Arial"/>
            <w:color w:val="0B0080"/>
            <w:sz w:val="17"/>
            <w:szCs w:val="17"/>
            <w:vertAlign w:val="superscript"/>
          </w:rPr>
          <w:t>[5]</w:t>
        </w:r>
      </w:hyperlink>
      <w:r>
        <w:rPr>
          <w:rFonts w:ascii="Arial" w:hAnsi="Arial" w:cs="Arial"/>
          <w:color w:val="222222"/>
          <w:sz w:val="21"/>
          <w:szCs w:val="21"/>
        </w:rPr>
        <w:t> On June 30, 2017, its </w:t>
      </w:r>
      <w:hyperlink r:id="rId40" w:tooltip="Market capitalisation" w:history="1">
        <w:r>
          <w:rPr>
            <w:rStyle w:val="Hyperlink"/>
            <w:rFonts w:ascii="Arial" w:eastAsiaTheme="minorEastAsia" w:hAnsi="Arial" w:cs="Arial"/>
            <w:color w:val="0B0080"/>
            <w:sz w:val="21"/>
            <w:szCs w:val="21"/>
          </w:rPr>
          <w:t>market capitalisation</w:t>
        </w:r>
      </w:hyperlink>
      <w:r>
        <w:rPr>
          <w:rFonts w:ascii="Arial" w:hAnsi="Arial" w:cs="Arial"/>
          <w:color w:val="222222"/>
          <w:sz w:val="21"/>
          <w:szCs w:val="21"/>
        </w:rPr>
        <w:t> was $34.33 billion.</w:t>
      </w:r>
      <w:hyperlink r:id="rId41" w:anchor="cite_note-6" w:history="1">
        <w:r>
          <w:rPr>
            <w:rStyle w:val="Hyperlink"/>
            <w:rFonts w:ascii="Arial" w:eastAsiaTheme="minorEastAsia" w:hAnsi="Arial" w:cs="Arial"/>
            <w:color w:val="0B0080"/>
            <w:sz w:val="17"/>
            <w:szCs w:val="17"/>
            <w:vertAlign w:val="superscript"/>
          </w:rPr>
          <w:t>[6]</w:t>
        </w:r>
      </w:hyperlink>
      <w:r>
        <w:rPr>
          <w:rFonts w:ascii="Arial" w:hAnsi="Arial" w:cs="Arial"/>
          <w:color w:val="222222"/>
          <w:sz w:val="21"/>
          <w:szCs w:val="21"/>
        </w:rPr>
        <w:t> The </w:t>
      </w:r>
      <w:hyperlink r:id="rId42" w:tooltip="Credit rating" w:history="1">
        <w:r>
          <w:rPr>
            <w:rStyle w:val="Hyperlink"/>
            <w:rFonts w:ascii="Arial" w:eastAsiaTheme="minorEastAsia" w:hAnsi="Arial" w:cs="Arial"/>
            <w:color w:val="0B0080"/>
            <w:sz w:val="21"/>
            <w:szCs w:val="21"/>
          </w:rPr>
          <w:t>credit rating</w:t>
        </w:r>
      </w:hyperlink>
      <w:r>
        <w:rPr>
          <w:rFonts w:ascii="Arial" w:hAnsi="Arial" w:cs="Arial"/>
          <w:color w:val="222222"/>
          <w:sz w:val="21"/>
          <w:szCs w:val="21"/>
        </w:rPr>
        <w:t> of the company is A- (rating by </w:t>
      </w:r>
      <w:hyperlink r:id="rId43" w:tooltip="Standard &amp; Poor's" w:history="1">
        <w:r>
          <w:rPr>
            <w:rStyle w:val="Hyperlink"/>
            <w:rFonts w:ascii="Arial" w:eastAsiaTheme="minorEastAsia" w:hAnsi="Arial" w:cs="Arial"/>
            <w:color w:val="0B0080"/>
            <w:sz w:val="21"/>
            <w:szCs w:val="21"/>
          </w:rPr>
          <w:t>Standard &amp; Poor's</w:t>
        </w:r>
      </w:hyperlink>
      <w:r>
        <w:rPr>
          <w:rFonts w:ascii="Arial" w:hAnsi="Arial" w:cs="Arial"/>
          <w:color w:val="222222"/>
          <w:sz w:val="21"/>
          <w:szCs w:val="21"/>
        </w:rPr>
        <w:t>).</w:t>
      </w:r>
      <w:hyperlink r:id="rId44" w:anchor="cite_note-7" w:history="1">
        <w:r>
          <w:rPr>
            <w:rStyle w:val="Hyperlink"/>
            <w:rFonts w:ascii="Arial" w:eastAsiaTheme="minorEastAsia" w:hAnsi="Arial" w:cs="Arial"/>
            <w:color w:val="0B0080"/>
            <w:sz w:val="17"/>
            <w:szCs w:val="17"/>
            <w:vertAlign w:val="superscript"/>
          </w:rPr>
          <w:t>[7]</w:t>
        </w:r>
      </w:hyperlink>
    </w:p>
    <w:p w:rsidR="008A0E9C" w:rsidRDefault="008A0E9C" w:rsidP="009554A5">
      <w:pPr>
        <w:rPr>
          <w:rStyle w:val="BookTitle"/>
          <w:b/>
          <w:bCs w:val="0"/>
          <w:iCs w:val="0"/>
          <w:color w:val="005C84" w:themeColor="text1"/>
          <w:spacing w:val="0"/>
          <w:sz w:val="20"/>
          <w:u w:val="single"/>
        </w:rPr>
      </w:pPr>
    </w:p>
    <w:p w:rsidR="008A0E9C" w:rsidRDefault="008A0E9C" w:rsidP="008A0E9C">
      <w:pPr>
        <w:rPr>
          <w:rStyle w:val="BookTitle"/>
          <w:bCs w:val="0"/>
          <w:iCs w:val="0"/>
          <w:color w:val="005C84" w:themeColor="text1"/>
          <w:spacing w:val="0"/>
          <w:sz w:val="20"/>
        </w:rPr>
      </w:pPr>
      <w:r>
        <w:rPr>
          <w:rStyle w:val="BookTitle"/>
          <w:bCs w:val="0"/>
          <w:iCs w:val="0"/>
          <w:color w:val="005C84" w:themeColor="text1"/>
          <w:spacing w:val="0"/>
          <w:sz w:val="20"/>
        </w:rPr>
        <w:t xml:space="preserve">--- </w:t>
      </w:r>
      <w:proofErr w:type="spellStart"/>
      <w:r w:rsidR="003E7499">
        <w:rPr>
          <w:rStyle w:val="BookTitle"/>
          <w:bCs w:val="0"/>
          <w:iCs w:val="0"/>
          <w:color w:val="005C84" w:themeColor="text1"/>
          <w:spacing w:val="0"/>
          <w:sz w:val="20"/>
        </w:rPr>
        <w:t>Vijiyalakshmi</w:t>
      </w:r>
      <w:proofErr w:type="spellEnd"/>
      <w:r w:rsidR="003E7499">
        <w:rPr>
          <w:rStyle w:val="BookTitle"/>
          <w:bCs w:val="0"/>
          <w:iCs w:val="0"/>
          <w:color w:val="005C84" w:themeColor="text1"/>
          <w:spacing w:val="0"/>
          <w:sz w:val="20"/>
        </w:rPr>
        <w:t xml:space="preserve"> – Senior Analyst Consultant</w:t>
      </w:r>
    </w:p>
    <w:p w:rsidR="003E7499" w:rsidRDefault="003E7499" w:rsidP="008A0E9C">
      <w:pPr>
        <w:rPr>
          <w:rStyle w:val="BookTitle"/>
          <w:bCs w:val="0"/>
          <w:iCs w:val="0"/>
          <w:color w:val="005C84" w:themeColor="text1"/>
          <w:spacing w:val="0"/>
          <w:sz w:val="20"/>
        </w:rPr>
      </w:pPr>
      <w:r>
        <w:rPr>
          <w:rStyle w:val="BookTitle"/>
          <w:bCs w:val="0"/>
          <w:iCs w:val="0"/>
          <w:color w:val="005C84" w:themeColor="text1"/>
          <w:spacing w:val="0"/>
          <w:sz w:val="20"/>
        </w:rPr>
        <w:t>--9790434542</w:t>
      </w:r>
    </w:p>
    <w:p w:rsidR="008A0E9C" w:rsidRDefault="008A0E9C" w:rsidP="009554A5">
      <w:pPr>
        <w:rPr>
          <w:rStyle w:val="BookTitle"/>
          <w:b/>
          <w:bCs w:val="0"/>
          <w:iCs w:val="0"/>
          <w:color w:val="005C84" w:themeColor="text1"/>
          <w:spacing w:val="0"/>
          <w:sz w:val="20"/>
          <w:u w:val="single"/>
        </w:rPr>
      </w:pPr>
      <w:r>
        <w:rPr>
          <w:rStyle w:val="BookTitle"/>
          <w:b/>
          <w:bCs w:val="0"/>
          <w:iCs w:val="0"/>
          <w:color w:val="005C84" w:themeColor="text1"/>
          <w:spacing w:val="0"/>
          <w:sz w:val="20"/>
          <w:u w:val="single"/>
        </w:rPr>
        <w:t>Oracle ERP</w:t>
      </w:r>
    </w:p>
    <w:p w:rsidR="008A0E9C" w:rsidRDefault="008A0E9C" w:rsidP="009554A5">
      <w:pPr>
        <w:rPr>
          <w:rStyle w:val="BookTitle"/>
          <w:b/>
          <w:bCs w:val="0"/>
          <w:iCs w:val="0"/>
          <w:color w:val="005C84" w:themeColor="text1"/>
          <w:spacing w:val="0"/>
          <w:sz w:val="20"/>
          <w:u w:val="single"/>
        </w:rPr>
      </w:pPr>
      <w:r>
        <w:rPr>
          <w:rStyle w:val="BookTitle"/>
          <w:b/>
          <w:bCs w:val="0"/>
          <w:iCs w:val="0"/>
          <w:noProof/>
          <w:color w:val="005C84" w:themeColor="text1"/>
          <w:spacing w:val="0"/>
          <w:sz w:val="20"/>
          <w:u w:val="single"/>
        </w:rPr>
        <w:drawing>
          <wp:inline distT="0" distB="0" distL="0" distR="0">
            <wp:extent cx="1320800"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0" cy="1536700"/>
                    </a:xfrm>
                    <a:prstGeom prst="rect">
                      <a:avLst/>
                    </a:prstGeom>
                    <a:noFill/>
                    <a:ln>
                      <a:noFill/>
                    </a:ln>
                  </pic:spPr>
                </pic:pic>
              </a:graphicData>
            </a:graphic>
          </wp:inline>
        </w:drawing>
      </w:r>
    </w:p>
    <w:p w:rsidR="008A0E9C" w:rsidRDefault="008A0E9C" w:rsidP="009554A5">
      <w:pPr>
        <w:rPr>
          <w:rStyle w:val="BookTitle"/>
          <w:b/>
          <w:bCs w:val="0"/>
          <w:iCs w:val="0"/>
          <w:color w:val="005C84" w:themeColor="text1"/>
          <w:spacing w:val="0"/>
          <w:sz w:val="20"/>
          <w:u w:val="single"/>
        </w:rPr>
      </w:pPr>
      <w:r>
        <w:rPr>
          <w:rStyle w:val="BookTitle"/>
          <w:b/>
          <w:bCs w:val="0"/>
          <w:iCs w:val="0"/>
          <w:noProof/>
          <w:color w:val="005C84" w:themeColor="text1"/>
          <w:spacing w:val="0"/>
          <w:sz w:val="20"/>
          <w:u w:val="single"/>
        </w:rPr>
        <w:drawing>
          <wp:inline distT="0" distB="0" distL="0" distR="0">
            <wp:extent cx="3592195" cy="23514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2195" cy="2351405"/>
                    </a:xfrm>
                    <a:prstGeom prst="rect">
                      <a:avLst/>
                    </a:prstGeom>
                    <a:noFill/>
                    <a:ln>
                      <a:noFill/>
                    </a:ln>
                  </pic:spPr>
                </pic:pic>
              </a:graphicData>
            </a:graphic>
          </wp:inline>
        </w:drawing>
      </w:r>
    </w:p>
    <w:p w:rsidR="008A0E9C" w:rsidRDefault="008A0E9C" w:rsidP="009554A5">
      <w:pPr>
        <w:rPr>
          <w:rStyle w:val="BookTitle"/>
          <w:b/>
          <w:bCs w:val="0"/>
          <w:iCs w:val="0"/>
          <w:color w:val="005C84" w:themeColor="text1"/>
          <w:spacing w:val="0"/>
          <w:sz w:val="20"/>
          <w:u w:val="single"/>
        </w:rPr>
      </w:pPr>
    </w:p>
    <w:p w:rsidR="000141D0" w:rsidRDefault="000141D0" w:rsidP="000141D0">
      <w:pPr>
        <w:rPr>
          <w:rStyle w:val="BookTitle"/>
          <w:b/>
          <w:bCs w:val="0"/>
          <w:iCs w:val="0"/>
          <w:color w:val="005C84" w:themeColor="text1"/>
          <w:spacing w:val="0"/>
          <w:sz w:val="96"/>
          <w:szCs w:val="96"/>
        </w:rPr>
      </w:pPr>
    </w:p>
    <w:p w:rsidR="000141D0" w:rsidRDefault="000141D0" w:rsidP="009554A5">
      <w:pPr>
        <w:rPr>
          <w:rStyle w:val="BookTitle"/>
          <w:b/>
          <w:bCs w:val="0"/>
          <w:iCs w:val="0"/>
          <w:color w:val="005C84" w:themeColor="text1"/>
          <w:spacing w:val="0"/>
          <w:sz w:val="20"/>
          <w:u w:val="single"/>
        </w:rPr>
      </w:pPr>
      <w:r>
        <w:rPr>
          <w:rStyle w:val="BookTitle"/>
          <w:b/>
          <w:bCs w:val="0"/>
          <w:iCs w:val="0"/>
          <w:color w:val="005C84" w:themeColor="text1"/>
          <w:spacing w:val="0"/>
          <w:sz w:val="96"/>
          <w:szCs w:val="96"/>
        </w:rPr>
        <w:lastRenderedPageBreak/>
        <w:t>3</w:t>
      </w:r>
      <w:r w:rsidRPr="000141D0">
        <w:rPr>
          <w:rStyle w:val="BookTitle"/>
          <w:b/>
          <w:bCs w:val="0"/>
          <w:iCs w:val="0"/>
          <w:color w:val="005C84" w:themeColor="text1"/>
          <w:spacing w:val="0"/>
          <w:sz w:val="96"/>
          <w:szCs w:val="96"/>
        </w:rPr>
        <w:t>.</w:t>
      </w:r>
    </w:p>
    <w:p w:rsidR="008A0E9C" w:rsidRDefault="008A0E9C" w:rsidP="009554A5">
      <w:pPr>
        <w:rPr>
          <w:rStyle w:val="BookTitle"/>
          <w:b/>
          <w:bCs w:val="0"/>
          <w:iCs w:val="0"/>
          <w:color w:val="005C84" w:themeColor="text1"/>
          <w:spacing w:val="0"/>
          <w:sz w:val="20"/>
          <w:u w:val="single"/>
        </w:rPr>
      </w:pPr>
      <w:r>
        <w:rPr>
          <w:noProof/>
        </w:rPr>
        <w:drawing>
          <wp:inline distT="0" distB="0" distL="0" distR="0" wp14:anchorId="1ED64079" wp14:editId="53B5E30E">
            <wp:extent cx="315277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1104900"/>
                    </a:xfrm>
                    <a:prstGeom prst="rect">
                      <a:avLst/>
                    </a:prstGeom>
                  </pic:spPr>
                </pic:pic>
              </a:graphicData>
            </a:graphic>
          </wp:inline>
        </w:drawing>
      </w:r>
    </w:p>
    <w:p w:rsidR="008A0E9C" w:rsidRDefault="008A0E9C" w:rsidP="008A0E9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Standard Chartered PLC</w:t>
      </w:r>
      <w:r>
        <w:rPr>
          <w:rFonts w:ascii="Arial" w:hAnsi="Arial" w:cs="Arial"/>
          <w:color w:val="222222"/>
          <w:sz w:val="21"/>
          <w:szCs w:val="21"/>
        </w:rPr>
        <w:t> is a British </w:t>
      </w:r>
      <w:hyperlink r:id="rId48" w:tooltip="Multinational corporation" w:history="1">
        <w:r>
          <w:rPr>
            <w:rStyle w:val="Hyperlink"/>
            <w:rFonts w:ascii="Arial" w:eastAsiaTheme="minorEastAsia" w:hAnsi="Arial" w:cs="Arial"/>
            <w:color w:val="0B0080"/>
            <w:sz w:val="21"/>
            <w:szCs w:val="21"/>
          </w:rPr>
          <w:t>multinational</w:t>
        </w:r>
      </w:hyperlink>
      <w:r>
        <w:rPr>
          <w:rFonts w:ascii="Arial" w:hAnsi="Arial" w:cs="Arial"/>
          <w:color w:val="222222"/>
          <w:sz w:val="21"/>
          <w:szCs w:val="21"/>
        </w:rPr>
        <w:t> banking and </w:t>
      </w:r>
      <w:hyperlink r:id="rId49" w:tooltip="Financial service" w:history="1">
        <w:r>
          <w:rPr>
            <w:rStyle w:val="Hyperlink"/>
            <w:rFonts w:ascii="Arial" w:eastAsiaTheme="minorEastAsia" w:hAnsi="Arial" w:cs="Arial"/>
            <w:color w:val="0B0080"/>
            <w:sz w:val="21"/>
            <w:szCs w:val="21"/>
          </w:rPr>
          <w:t>financial services</w:t>
        </w:r>
      </w:hyperlink>
      <w:r>
        <w:rPr>
          <w:rFonts w:ascii="Arial" w:hAnsi="Arial" w:cs="Arial"/>
          <w:color w:val="222222"/>
          <w:sz w:val="21"/>
          <w:szCs w:val="21"/>
        </w:rPr>
        <w:t> company headquartered in </w:t>
      </w:r>
      <w:hyperlink r:id="rId50" w:tooltip="London" w:history="1">
        <w:r>
          <w:rPr>
            <w:rStyle w:val="Hyperlink"/>
            <w:rFonts w:ascii="Arial" w:eastAsiaTheme="minorEastAsia" w:hAnsi="Arial" w:cs="Arial"/>
            <w:color w:val="0B0080"/>
            <w:sz w:val="21"/>
            <w:szCs w:val="21"/>
          </w:rPr>
          <w:t>London</w:t>
        </w:r>
      </w:hyperlink>
      <w:r>
        <w:rPr>
          <w:rFonts w:ascii="Arial" w:hAnsi="Arial" w:cs="Arial"/>
          <w:color w:val="222222"/>
          <w:sz w:val="21"/>
          <w:szCs w:val="21"/>
        </w:rPr>
        <w:t>, </w:t>
      </w:r>
      <w:hyperlink r:id="rId51" w:tooltip="England" w:history="1">
        <w:r>
          <w:rPr>
            <w:rStyle w:val="Hyperlink"/>
            <w:rFonts w:ascii="Arial" w:eastAsiaTheme="minorEastAsia" w:hAnsi="Arial" w:cs="Arial"/>
            <w:color w:val="0B0080"/>
            <w:sz w:val="21"/>
            <w:szCs w:val="21"/>
          </w:rPr>
          <w:t>England</w:t>
        </w:r>
      </w:hyperlink>
      <w:r>
        <w:rPr>
          <w:rFonts w:ascii="Arial" w:hAnsi="Arial" w:cs="Arial"/>
          <w:color w:val="222222"/>
          <w:sz w:val="21"/>
          <w:szCs w:val="21"/>
        </w:rPr>
        <w:t>. It operates a network of more than 1,200 branches and outlets (including subsidiaries, associates and joint ventures) across more than 70 countries and employs around 87,000 people. It is a </w:t>
      </w:r>
      <w:hyperlink r:id="rId52" w:tooltip="Universal bank" w:history="1">
        <w:r>
          <w:rPr>
            <w:rStyle w:val="Hyperlink"/>
            <w:rFonts w:ascii="Arial" w:eastAsiaTheme="minorEastAsia" w:hAnsi="Arial" w:cs="Arial"/>
            <w:color w:val="0B0080"/>
            <w:sz w:val="21"/>
            <w:szCs w:val="21"/>
          </w:rPr>
          <w:t>universal bank</w:t>
        </w:r>
      </w:hyperlink>
      <w:r>
        <w:rPr>
          <w:rFonts w:ascii="Arial" w:hAnsi="Arial" w:cs="Arial"/>
          <w:color w:val="222222"/>
          <w:sz w:val="21"/>
          <w:szCs w:val="21"/>
        </w:rPr>
        <w:t> with operations in consumer, corporate and institutional banking, and treasury services. Despite its UK base, it does not conduct </w:t>
      </w:r>
      <w:hyperlink r:id="rId53" w:tooltip="Retail banking" w:history="1">
        <w:r>
          <w:rPr>
            <w:rStyle w:val="Hyperlink"/>
            <w:rFonts w:ascii="Arial" w:eastAsiaTheme="minorEastAsia" w:hAnsi="Arial" w:cs="Arial"/>
            <w:color w:val="0B0080"/>
            <w:sz w:val="21"/>
            <w:szCs w:val="21"/>
          </w:rPr>
          <w:t>retail banking</w:t>
        </w:r>
      </w:hyperlink>
      <w:r>
        <w:rPr>
          <w:rFonts w:ascii="Arial" w:hAnsi="Arial" w:cs="Arial"/>
          <w:color w:val="222222"/>
          <w:sz w:val="21"/>
          <w:szCs w:val="21"/>
        </w:rPr>
        <w:t> in the UK, and around 90% of its profits come from </w:t>
      </w:r>
      <w:hyperlink r:id="rId54" w:tooltip="Asia" w:history="1">
        <w:r>
          <w:rPr>
            <w:rStyle w:val="Hyperlink"/>
            <w:rFonts w:ascii="Arial" w:eastAsiaTheme="minorEastAsia" w:hAnsi="Arial" w:cs="Arial"/>
            <w:color w:val="0B0080"/>
            <w:sz w:val="21"/>
            <w:szCs w:val="21"/>
          </w:rPr>
          <w:t>Asia</w:t>
        </w:r>
      </w:hyperlink>
      <w:r>
        <w:rPr>
          <w:rFonts w:ascii="Arial" w:hAnsi="Arial" w:cs="Arial"/>
          <w:color w:val="222222"/>
          <w:sz w:val="21"/>
          <w:szCs w:val="21"/>
        </w:rPr>
        <w:t>, </w:t>
      </w:r>
      <w:hyperlink r:id="rId55" w:tooltip="Africa" w:history="1">
        <w:r>
          <w:rPr>
            <w:rStyle w:val="Hyperlink"/>
            <w:rFonts w:ascii="Arial" w:eastAsiaTheme="minorEastAsia" w:hAnsi="Arial" w:cs="Arial"/>
            <w:color w:val="0B0080"/>
            <w:sz w:val="21"/>
            <w:szCs w:val="21"/>
          </w:rPr>
          <w:t>Africa</w:t>
        </w:r>
      </w:hyperlink>
      <w:r>
        <w:rPr>
          <w:rFonts w:ascii="Arial" w:hAnsi="Arial" w:cs="Arial"/>
          <w:color w:val="222222"/>
          <w:sz w:val="21"/>
          <w:szCs w:val="21"/>
        </w:rPr>
        <w:t> and the </w:t>
      </w:r>
      <w:hyperlink r:id="rId56" w:tooltip="Middle East" w:history="1">
        <w:r>
          <w:rPr>
            <w:rStyle w:val="Hyperlink"/>
            <w:rFonts w:ascii="Arial" w:eastAsiaTheme="minorEastAsia" w:hAnsi="Arial" w:cs="Arial"/>
            <w:color w:val="0B0080"/>
            <w:sz w:val="21"/>
            <w:szCs w:val="21"/>
          </w:rPr>
          <w:t>Middle East</w:t>
        </w:r>
      </w:hyperlink>
      <w:r>
        <w:rPr>
          <w:rFonts w:ascii="Arial" w:hAnsi="Arial" w:cs="Arial"/>
          <w:color w:val="222222"/>
          <w:sz w:val="21"/>
          <w:szCs w:val="21"/>
        </w:rPr>
        <w:t>.</w:t>
      </w:r>
    </w:p>
    <w:p w:rsidR="008A0E9C" w:rsidRDefault="008A0E9C" w:rsidP="008A0E9C">
      <w:pPr>
        <w:pStyle w:val="NormalWeb"/>
        <w:shd w:val="clear" w:color="auto" w:fill="FFFFFF"/>
        <w:spacing w:before="120" w:beforeAutospacing="0" w:after="120" w:afterAutospacing="0"/>
        <w:rPr>
          <w:rStyle w:val="Hyperlink"/>
          <w:rFonts w:ascii="Arial" w:eastAsiaTheme="minorEastAsia" w:hAnsi="Arial" w:cs="Arial"/>
          <w:color w:val="0B0080"/>
          <w:sz w:val="17"/>
          <w:szCs w:val="17"/>
          <w:vertAlign w:val="superscript"/>
        </w:rPr>
      </w:pPr>
      <w:r>
        <w:rPr>
          <w:rFonts w:ascii="Arial" w:hAnsi="Arial" w:cs="Arial"/>
          <w:color w:val="222222"/>
          <w:sz w:val="21"/>
          <w:szCs w:val="21"/>
        </w:rPr>
        <w:t>Standard Chartered has a primary listing on the </w:t>
      </w:r>
      <w:hyperlink r:id="rId57" w:tooltip="London Stock Exchange" w:history="1">
        <w:r>
          <w:rPr>
            <w:rStyle w:val="Hyperlink"/>
            <w:rFonts w:ascii="Arial" w:eastAsiaTheme="minorEastAsia" w:hAnsi="Arial" w:cs="Arial"/>
            <w:color w:val="0B0080"/>
            <w:sz w:val="21"/>
            <w:szCs w:val="21"/>
          </w:rPr>
          <w:t>London Stock Exchange</w:t>
        </w:r>
      </w:hyperlink>
      <w:r>
        <w:rPr>
          <w:rFonts w:ascii="Arial" w:hAnsi="Arial" w:cs="Arial"/>
          <w:color w:val="222222"/>
          <w:sz w:val="21"/>
          <w:szCs w:val="21"/>
        </w:rPr>
        <w:t> and is a constituent of the </w:t>
      </w:r>
      <w:hyperlink r:id="rId58" w:tooltip="FTSE 100 Index" w:history="1">
        <w:r>
          <w:rPr>
            <w:rStyle w:val="Hyperlink"/>
            <w:rFonts w:ascii="Arial" w:eastAsiaTheme="minorEastAsia" w:hAnsi="Arial" w:cs="Arial"/>
            <w:color w:val="0B0080"/>
            <w:sz w:val="21"/>
            <w:szCs w:val="21"/>
          </w:rPr>
          <w:t>FTSE 100 Index</w:t>
        </w:r>
      </w:hyperlink>
      <w:r>
        <w:rPr>
          <w:rFonts w:ascii="Arial" w:hAnsi="Arial" w:cs="Arial"/>
          <w:color w:val="222222"/>
          <w:sz w:val="21"/>
          <w:szCs w:val="21"/>
        </w:rPr>
        <w:t>. It had a </w:t>
      </w:r>
      <w:hyperlink r:id="rId59" w:tooltip="Market capitalisation" w:history="1">
        <w:r>
          <w:rPr>
            <w:rStyle w:val="Hyperlink"/>
            <w:rFonts w:ascii="Arial" w:eastAsiaTheme="minorEastAsia" w:hAnsi="Arial" w:cs="Arial"/>
            <w:color w:val="0B0080"/>
            <w:sz w:val="21"/>
            <w:szCs w:val="21"/>
          </w:rPr>
          <w:t>market capitalisation</w:t>
        </w:r>
      </w:hyperlink>
      <w:r>
        <w:rPr>
          <w:rFonts w:ascii="Arial" w:hAnsi="Arial" w:cs="Arial"/>
          <w:color w:val="222222"/>
          <w:sz w:val="21"/>
          <w:szCs w:val="21"/>
        </w:rPr>
        <w:t> of approximately £24.4 billion as of 4 April 2017, the 28th-largest of any company with a primary listing on the London Stock Exchange.</w:t>
      </w:r>
      <w:hyperlink r:id="rId60" w:anchor="cite_note-2" w:history="1">
        <w:r>
          <w:rPr>
            <w:rStyle w:val="Hyperlink"/>
            <w:rFonts w:ascii="Arial" w:eastAsiaTheme="minorEastAsia" w:hAnsi="Arial" w:cs="Arial"/>
            <w:color w:val="0B0080"/>
            <w:sz w:val="17"/>
            <w:szCs w:val="17"/>
            <w:vertAlign w:val="superscript"/>
          </w:rPr>
          <w:t>[2]</w:t>
        </w:r>
      </w:hyperlink>
      <w:r>
        <w:rPr>
          <w:rFonts w:ascii="Arial" w:hAnsi="Arial" w:cs="Arial"/>
          <w:color w:val="222222"/>
          <w:sz w:val="21"/>
          <w:szCs w:val="21"/>
        </w:rPr>
        <w:t> It has secondary listings on the </w:t>
      </w:r>
      <w:hyperlink r:id="rId61" w:tooltip="Hong Kong Stock Exchange" w:history="1">
        <w:r>
          <w:rPr>
            <w:rStyle w:val="Hyperlink"/>
            <w:rFonts w:ascii="Arial" w:eastAsiaTheme="minorEastAsia" w:hAnsi="Arial" w:cs="Arial"/>
            <w:color w:val="0B0080"/>
            <w:sz w:val="21"/>
            <w:szCs w:val="21"/>
          </w:rPr>
          <w:t>Hong Kong Stock Exchange</w:t>
        </w:r>
      </w:hyperlink>
      <w:r>
        <w:rPr>
          <w:rFonts w:ascii="Arial" w:hAnsi="Arial" w:cs="Arial"/>
          <w:color w:val="222222"/>
          <w:sz w:val="21"/>
          <w:szCs w:val="21"/>
        </w:rPr>
        <w:t> and the </w:t>
      </w:r>
      <w:hyperlink r:id="rId62" w:tooltip="National Stock Exchange of India" w:history="1">
        <w:r>
          <w:rPr>
            <w:rStyle w:val="Hyperlink"/>
            <w:rFonts w:ascii="Arial" w:eastAsiaTheme="minorEastAsia" w:hAnsi="Arial" w:cs="Arial"/>
            <w:color w:val="0B0080"/>
            <w:sz w:val="21"/>
            <w:szCs w:val="21"/>
          </w:rPr>
          <w:t>National Stock Exchange of India</w:t>
        </w:r>
      </w:hyperlink>
      <w:r>
        <w:rPr>
          <w:rFonts w:ascii="Arial" w:hAnsi="Arial" w:cs="Arial"/>
          <w:color w:val="222222"/>
          <w:sz w:val="21"/>
          <w:szCs w:val="21"/>
        </w:rPr>
        <w:t>. Its largest shareholder is the </w:t>
      </w:r>
      <w:hyperlink r:id="rId63" w:tooltip="Government of Singapore" w:history="1">
        <w:r>
          <w:rPr>
            <w:rStyle w:val="Hyperlink"/>
            <w:rFonts w:ascii="Arial" w:eastAsiaTheme="minorEastAsia" w:hAnsi="Arial" w:cs="Arial"/>
            <w:color w:val="0B0080"/>
            <w:sz w:val="21"/>
            <w:szCs w:val="21"/>
          </w:rPr>
          <w:t>Government of Singapore</w:t>
        </w:r>
      </w:hyperlink>
      <w:r>
        <w:rPr>
          <w:rFonts w:ascii="Arial" w:hAnsi="Arial" w:cs="Arial"/>
          <w:color w:val="222222"/>
          <w:sz w:val="21"/>
          <w:szCs w:val="21"/>
        </w:rPr>
        <w:t>-owned </w:t>
      </w:r>
      <w:hyperlink r:id="rId64" w:tooltip="Temasek Holdings" w:history="1">
        <w:r>
          <w:rPr>
            <w:rStyle w:val="Hyperlink"/>
            <w:rFonts w:ascii="Arial" w:eastAsiaTheme="minorEastAsia" w:hAnsi="Arial" w:cs="Arial"/>
            <w:color w:val="0B0080"/>
            <w:sz w:val="21"/>
            <w:szCs w:val="21"/>
          </w:rPr>
          <w:t>Temasek Holdings</w:t>
        </w:r>
      </w:hyperlink>
      <w:r>
        <w:rPr>
          <w:rFonts w:ascii="Arial" w:hAnsi="Arial" w:cs="Arial"/>
          <w:color w:val="222222"/>
          <w:sz w:val="21"/>
          <w:szCs w:val="21"/>
        </w:rPr>
        <w:t>.</w:t>
      </w:r>
      <w:hyperlink r:id="rId65" w:anchor="cite_note-SC-H-19-3" w:history="1">
        <w:r>
          <w:rPr>
            <w:rStyle w:val="Hyperlink"/>
            <w:rFonts w:ascii="Arial" w:eastAsiaTheme="minorEastAsia" w:hAnsi="Arial" w:cs="Arial"/>
            <w:color w:val="0B0080"/>
            <w:sz w:val="17"/>
            <w:szCs w:val="17"/>
            <w:vertAlign w:val="superscript"/>
          </w:rPr>
          <w:t>[3]</w:t>
        </w:r>
      </w:hyperlink>
      <w:hyperlink r:id="rId66" w:anchor="cite_note-SC-H-20-4" w:history="1">
        <w:r>
          <w:rPr>
            <w:rStyle w:val="Hyperlink"/>
            <w:rFonts w:ascii="Arial" w:eastAsiaTheme="minorEastAsia" w:hAnsi="Arial" w:cs="Arial"/>
            <w:color w:val="0B0080"/>
            <w:sz w:val="17"/>
            <w:szCs w:val="17"/>
            <w:vertAlign w:val="superscript"/>
          </w:rPr>
          <w:t>[4]</w:t>
        </w:r>
      </w:hyperlink>
      <w:hyperlink r:id="rId67" w:anchor="cite_note-SC-H-21-5" w:history="1">
        <w:r>
          <w:rPr>
            <w:rStyle w:val="Hyperlink"/>
            <w:rFonts w:ascii="Arial" w:eastAsiaTheme="minorEastAsia" w:hAnsi="Arial" w:cs="Arial"/>
            <w:color w:val="0B0080"/>
            <w:sz w:val="17"/>
            <w:szCs w:val="17"/>
            <w:vertAlign w:val="superscript"/>
          </w:rPr>
          <w:t>[5]</w:t>
        </w:r>
      </w:hyperlink>
    </w:p>
    <w:p w:rsidR="000141D0" w:rsidRDefault="000141D0" w:rsidP="008A0E9C">
      <w:pPr>
        <w:pStyle w:val="NormalWeb"/>
        <w:shd w:val="clear" w:color="auto" w:fill="FFFFFF"/>
        <w:spacing w:before="120" w:beforeAutospacing="0" w:after="120" w:afterAutospacing="0"/>
        <w:rPr>
          <w:rStyle w:val="Hyperlink"/>
          <w:rFonts w:ascii="Arial" w:eastAsiaTheme="minorEastAsia" w:hAnsi="Arial" w:cs="Arial"/>
          <w:color w:val="0B0080"/>
          <w:sz w:val="17"/>
          <w:szCs w:val="17"/>
          <w:vertAlign w:val="superscript"/>
        </w:rPr>
      </w:pPr>
    </w:p>
    <w:p w:rsidR="000141D0" w:rsidRPr="00C52D96" w:rsidRDefault="00C52D96" w:rsidP="008A0E9C">
      <w:pPr>
        <w:pStyle w:val="NormalWeb"/>
        <w:shd w:val="clear" w:color="auto" w:fill="FFFFFF"/>
        <w:spacing w:before="120" w:beforeAutospacing="0" w:after="120" w:afterAutospacing="0"/>
        <w:rPr>
          <w:rFonts w:ascii="Arial" w:hAnsi="Arial" w:cs="Arial"/>
          <w:b/>
          <w:color w:val="222222"/>
          <w:sz w:val="21"/>
          <w:szCs w:val="21"/>
          <w:u w:val="single"/>
        </w:rPr>
      </w:pPr>
      <w:r w:rsidRPr="00C52D96">
        <w:rPr>
          <w:rFonts w:ascii="Arial" w:hAnsi="Arial" w:cs="Arial"/>
          <w:b/>
          <w:color w:val="222222"/>
          <w:sz w:val="21"/>
          <w:szCs w:val="21"/>
          <w:u w:val="single"/>
        </w:rPr>
        <w:t>PEOPLESOFT</w:t>
      </w:r>
    </w:p>
    <w:p w:rsidR="000141D0" w:rsidRDefault="000141D0" w:rsidP="000141D0">
      <w:pPr>
        <w:rPr>
          <w:rStyle w:val="BookTitle"/>
          <w:b/>
          <w:bCs w:val="0"/>
          <w:iCs w:val="0"/>
          <w:color w:val="005C84" w:themeColor="text1"/>
          <w:spacing w:val="0"/>
          <w:sz w:val="20"/>
          <w:u w:val="single"/>
        </w:rPr>
      </w:pPr>
      <w:r>
        <w:rPr>
          <w:rStyle w:val="BookTitle"/>
          <w:b/>
          <w:bCs w:val="0"/>
          <w:iCs w:val="0"/>
          <w:noProof/>
          <w:color w:val="005C84" w:themeColor="text1"/>
          <w:spacing w:val="0"/>
          <w:sz w:val="20"/>
          <w:u w:val="single"/>
        </w:rPr>
        <w:drawing>
          <wp:inline distT="0" distB="0" distL="0" distR="0">
            <wp:extent cx="44450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5000" cy="2000250"/>
                    </a:xfrm>
                    <a:prstGeom prst="rect">
                      <a:avLst/>
                    </a:prstGeom>
                    <a:noFill/>
                    <a:ln>
                      <a:noFill/>
                    </a:ln>
                  </pic:spPr>
                </pic:pic>
              </a:graphicData>
            </a:graphic>
          </wp:inline>
        </w:drawing>
      </w:r>
    </w:p>
    <w:p w:rsidR="000141D0" w:rsidRDefault="000141D0" w:rsidP="000141D0">
      <w:pPr>
        <w:rPr>
          <w:rStyle w:val="BookTitle"/>
          <w:b/>
          <w:bCs w:val="0"/>
          <w:iCs w:val="0"/>
          <w:color w:val="005C84" w:themeColor="text1"/>
          <w:spacing w:val="0"/>
          <w:sz w:val="20"/>
        </w:rPr>
      </w:pPr>
      <w:r>
        <w:rPr>
          <w:rStyle w:val="BookTitle"/>
          <w:b/>
          <w:bCs w:val="0"/>
          <w:iCs w:val="0"/>
          <w:color w:val="005C84" w:themeColor="text1"/>
          <w:spacing w:val="0"/>
          <w:sz w:val="20"/>
        </w:rPr>
        <w:t>--Rajkumar Muthiah – Project Manager</w:t>
      </w:r>
    </w:p>
    <w:p w:rsidR="000141D0" w:rsidRPr="000141D0" w:rsidRDefault="000141D0" w:rsidP="000141D0">
      <w:pPr>
        <w:rPr>
          <w:rStyle w:val="BookTitle"/>
          <w:b/>
          <w:bCs w:val="0"/>
          <w:iCs w:val="0"/>
          <w:color w:val="005C84" w:themeColor="text1"/>
          <w:spacing w:val="0"/>
          <w:sz w:val="20"/>
        </w:rPr>
      </w:pPr>
      <w:r>
        <w:rPr>
          <w:rStyle w:val="BookTitle"/>
          <w:b/>
          <w:bCs w:val="0"/>
          <w:iCs w:val="0"/>
          <w:color w:val="005C84" w:themeColor="text1"/>
          <w:spacing w:val="0"/>
          <w:sz w:val="20"/>
        </w:rPr>
        <w:t>--+919087857025</w:t>
      </w:r>
    </w:p>
    <w:p w:rsidR="005B4B61" w:rsidRDefault="005B4B61" w:rsidP="009554A5">
      <w:pPr>
        <w:rPr>
          <w:rStyle w:val="BookTitle"/>
          <w:b/>
          <w:bCs w:val="0"/>
          <w:iCs w:val="0"/>
          <w:color w:val="005C84" w:themeColor="text1"/>
          <w:spacing w:val="0"/>
          <w:sz w:val="20"/>
          <w:u w:val="single"/>
        </w:rPr>
      </w:pP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t>4</w:t>
      </w:r>
      <w:r w:rsidRPr="000141D0">
        <w:rPr>
          <w:rStyle w:val="BookTitle"/>
          <w:b/>
          <w:bCs w:val="0"/>
          <w:iCs w:val="0"/>
          <w:color w:val="005C84" w:themeColor="text1"/>
          <w:spacing w:val="0"/>
          <w:sz w:val="96"/>
          <w:szCs w:val="96"/>
        </w:rPr>
        <w:t>.</w:t>
      </w:r>
      <w:r>
        <w:rPr>
          <w:rStyle w:val="BookTitle"/>
          <w:b/>
          <w:bCs w:val="0"/>
          <w:iCs w:val="0"/>
          <w:color w:val="005C84" w:themeColor="text1"/>
          <w:spacing w:val="0"/>
          <w:sz w:val="96"/>
          <w:szCs w:val="96"/>
        </w:rPr>
        <w:t xml:space="preserve"> </w:t>
      </w:r>
    </w:p>
    <w:p w:rsidR="000141D0" w:rsidRPr="000141D0" w:rsidRDefault="000141D0" w:rsidP="000141D0">
      <w:pPr>
        <w:rPr>
          <w:rStyle w:val="BookTitle"/>
          <w:b/>
          <w:bCs w:val="0"/>
          <w:iCs w:val="0"/>
          <w:color w:val="005C84" w:themeColor="text1"/>
          <w:spacing w:val="0"/>
          <w:sz w:val="96"/>
          <w:szCs w:val="96"/>
        </w:rPr>
      </w:pPr>
      <w:r>
        <w:rPr>
          <w:noProof/>
        </w:rPr>
        <w:drawing>
          <wp:inline distT="0" distB="0" distL="0" distR="0" wp14:anchorId="6DF4B4E7" wp14:editId="550B45B3">
            <wp:extent cx="320040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0400" cy="895350"/>
                    </a:xfrm>
                    <a:prstGeom prst="rect">
                      <a:avLst/>
                    </a:prstGeom>
                  </pic:spPr>
                </pic:pic>
              </a:graphicData>
            </a:graphic>
          </wp:inline>
        </w:drawing>
      </w:r>
    </w:p>
    <w:p w:rsidR="000141D0" w:rsidRDefault="000141D0" w:rsidP="000141D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HSBC Holdings plc</w:t>
      </w:r>
      <w:r>
        <w:rPr>
          <w:rFonts w:ascii="Arial" w:hAnsi="Arial" w:cs="Arial"/>
          <w:color w:val="222222"/>
          <w:sz w:val="21"/>
          <w:szCs w:val="21"/>
        </w:rPr>
        <w:t> is a British</w:t>
      </w:r>
      <w:hyperlink r:id="rId70" w:anchor="cite_note-6" w:history="1">
        <w:r>
          <w:rPr>
            <w:rStyle w:val="Hyperlink"/>
            <w:rFonts w:ascii="Arial" w:eastAsiaTheme="minorEastAsia" w:hAnsi="Arial" w:cs="Arial"/>
            <w:color w:val="0B0080"/>
            <w:sz w:val="17"/>
            <w:szCs w:val="17"/>
            <w:vertAlign w:val="superscript"/>
          </w:rPr>
          <w:t>[6]</w:t>
        </w:r>
      </w:hyperlink>
      <w:r>
        <w:rPr>
          <w:rFonts w:ascii="Arial" w:hAnsi="Arial" w:cs="Arial"/>
          <w:color w:val="222222"/>
          <w:sz w:val="21"/>
          <w:szCs w:val="21"/>
        </w:rPr>
        <w:t> </w:t>
      </w:r>
      <w:hyperlink r:id="rId71" w:tooltip="Multinational corporation" w:history="1">
        <w:r>
          <w:rPr>
            <w:rStyle w:val="Hyperlink"/>
            <w:rFonts w:ascii="Arial" w:eastAsiaTheme="minorEastAsia" w:hAnsi="Arial" w:cs="Arial"/>
            <w:color w:val="0B0080"/>
            <w:sz w:val="21"/>
            <w:szCs w:val="21"/>
          </w:rPr>
          <w:t>multinational</w:t>
        </w:r>
      </w:hyperlink>
      <w:r>
        <w:rPr>
          <w:rFonts w:ascii="Arial" w:hAnsi="Arial" w:cs="Arial"/>
          <w:color w:val="222222"/>
          <w:sz w:val="21"/>
          <w:szCs w:val="21"/>
        </w:rPr>
        <w:t> banking and financial services </w:t>
      </w:r>
      <w:hyperlink r:id="rId72" w:tooltip="Holding company" w:history="1">
        <w:r>
          <w:rPr>
            <w:rStyle w:val="Hyperlink"/>
            <w:rFonts w:ascii="Arial" w:eastAsiaTheme="minorEastAsia" w:hAnsi="Arial" w:cs="Arial"/>
            <w:color w:val="0B0080"/>
            <w:sz w:val="21"/>
            <w:szCs w:val="21"/>
          </w:rPr>
          <w:t>holding company</w:t>
        </w:r>
      </w:hyperlink>
      <w:r>
        <w:rPr>
          <w:rFonts w:ascii="Arial" w:hAnsi="Arial" w:cs="Arial"/>
          <w:color w:val="222222"/>
          <w:sz w:val="21"/>
          <w:szCs w:val="21"/>
        </w:rPr>
        <w:t>, tracing its origin to a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"https://en.wikipedia.org/wiki/Hong_(business)" \o "Hong (business)" </w:instrText>
      </w:r>
      <w:r>
        <w:rPr>
          <w:rFonts w:ascii="Arial" w:hAnsi="Arial" w:cs="Arial"/>
          <w:color w:val="222222"/>
          <w:sz w:val="21"/>
          <w:szCs w:val="21"/>
        </w:rPr>
        <w:fldChar w:fldCharType="separate"/>
      </w:r>
      <w:r>
        <w:rPr>
          <w:rStyle w:val="Hyperlink"/>
          <w:rFonts w:ascii="Arial" w:eastAsiaTheme="minorEastAsia" w:hAnsi="Arial" w:cs="Arial"/>
          <w:color w:val="0B0080"/>
          <w:sz w:val="21"/>
          <w:szCs w:val="21"/>
        </w:rPr>
        <w:t>hong</w:t>
      </w:r>
      <w:proofErr w:type="spellEnd"/>
      <w:r>
        <w:rPr>
          <w:rFonts w:ascii="Arial" w:hAnsi="Arial" w:cs="Arial"/>
          <w:color w:val="222222"/>
          <w:sz w:val="21"/>
          <w:szCs w:val="21"/>
        </w:rPr>
        <w:fldChar w:fldCharType="end"/>
      </w:r>
      <w:r>
        <w:rPr>
          <w:rFonts w:ascii="Arial" w:hAnsi="Arial" w:cs="Arial"/>
          <w:color w:val="222222"/>
          <w:sz w:val="21"/>
          <w:szCs w:val="21"/>
        </w:rPr>
        <w:t> in </w:t>
      </w:r>
      <w:hyperlink r:id="rId73" w:tooltip="Hong Kong" w:history="1">
        <w:r>
          <w:rPr>
            <w:rStyle w:val="Hyperlink"/>
            <w:rFonts w:ascii="Arial" w:eastAsiaTheme="minorEastAsia" w:hAnsi="Arial" w:cs="Arial"/>
            <w:color w:val="0B0080"/>
            <w:sz w:val="21"/>
            <w:szCs w:val="21"/>
          </w:rPr>
          <w:t>Hong Kong</w:t>
        </w:r>
      </w:hyperlink>
      <w:r>
        <w:rPr>
          <w:rFonts w:ascii="Arial" w:hAnsi="Arial" w:cs="Arial"/>
          <w:color w:val="222222"/>
          <w:sz w:val="21"/>
          <w:szCs w:val="21"/>
        </w:rPr>
        <w:t>. It is the </w:t>
      </w:r>
      <w:hyperlink r:id="rId74" w:tooltip="List of largest banks" w:history="1">
        <w:r>
          <w:rPr>
            <w:rStyle w:val="Hyperlink"/>
            <w:rFonts w:ascii="Arial" w:eastAsiaTheme="minorEastAsia" w:hAnsi="Arial" w:cs="Arial"/>
            <w:color w:val="0B0080"/>
            <w:sz w:val="21"/>
            <w:szCs w:val="21"/>
          </w:rPr>
          <w:t>world's seventh largest bank by total assets</w:t>
        </w:r>
      </w:hyperlink>
      <w:r>
        <w:rPr>
          <w:rFonts w:ascii="Arial" w:hAnsi="Arial" w:cs="Arial"/>
          <w:color w:val="222222"/>
          <w:sz w:val="21"/>
          <w:szCs w:val="21"/>
        </w:rPr>
        <w:t> and the largest in Europe with total assets of US$2.374 </w:t>
      </w:r>
      <w:hyperlink r:id="rId75" w:tooltip="10^12" w:history="1">
        <w:r>
          <w:rPr>
            <w:rStyle w:val="Hyperlink"/>
            <w:rFonts w:ascii="Arial" w:eastAsiaTheme="minorEastAsia" w:hAnsi="Arial" w:cs="Arial"/>
            <w:color w:val="0B0080"/>
            <w:sz w:val="21"/>
            <w:szCs w:val="21"/>
          </w:rPr>
          <w:t>trillion</w:t>
        </w:r>
      </w:hyperlink>
      <w:r>
        <w:rPr>
          <w:rFonts w:ascii="Arial" w:hAnsi="Arial" w:cs="Arial"/>
          <w:color w:val="222222"/>
          <w:sz w:val="21"/>
          <w:szCs w:val="21"/>
        </w:rPr>
        <w:t xml:space="preserve"> (as of December 2016). It was established in its present form in London in 1991 </w:t>
      </w:r>
      <w:r>
        <w:rPr>
          <w:rFonts w:ascii="Arial" w:hAnsi="Arial" w:cs="Arial"/>
          <w:color w:val="222222"/>
          <w:sz w:val="21"/>
          <w:szCs w:val="21"/>
        </w:rPr>
        <w:lastRenderedPageBreak/>
        <w:t>by </w:t>
      </w:r>
      <w:hyperlink r:id="rId76" w:tooltip="The Hongkong and Shanghai Banking Corporation" w:history="1">
        <w:r>
          <w:rPr>
            <w:rStyle w:val="Hyperlink"/>
            <w:rFonts w:ascii="Arial" w:eastAsiaTheme="minorEastAsia" w:hAnsi="Arial" w:cs="Arial"/>
            <w:color w:val="0B0080"/>
            <w:sz w:val="21"/>
            <w:szCs w:val="21"/>
          </w:rPr>
          <w:t>The Hongkong and Shanghai Banking Corporation</w:t>
        </w:r>
      </w:hyperlink>
      <w:r>
        <w:rPr>
          <w:rFonts w:ascii="Arial" w:hAnsi="Arial" w:cs="Arial"/>
          <w:color w:val="222222"/>
          <w:sz w:val="21"/>
          <w:szCs w:val="21"/>
        </w:rPr>
        <w:t> to act as a new group </w:t>
      </w:r>
      <w:hyperlink r:id="rId77" w:tooltip="Holding company" w:history="1">
        <w:r>
          <w:rPr>
            <w:rStyle w:val="Hyperlink"/>
            <w:rFonts w:ascii="Arial" w:eastAsiaTheme="minorEastAsia" w:hAnsi="Arial" w:cs="Arial"/>
            <w:color w:val="0B0080"/>
            <w:sz w:val="21"/>
            <w:szCs w:val="21"/>
          </w:rPr>
          <w:t>holding company</w:t>
        </w:r>
      </w:hyperlink>
      <w:r>
        <w:rPr>
          <w:rFonts w:ascii="Arial" w:hAnsi="Arial" w:cs="Arial"/>
          <w:color w:val="222222"/>
          <w:sz w:val="21"/>
          <w:szCs w:val="21"/>
        </w:rPr>
        <w:t>.</w:t>
      </w:r>
      <w:hyperlink r:id="rId78" w:anchor="cite_note-HSBC-R-01-7" w:history="1">
        <w:r>
          <w:rPr>
            <w:rStyle w:val="Hyperlink"/>
            <w:rFonts w:ascii="Arial" w:eastAsiaTheme="minorEastAsia" w:hAnsi="Arial" w:cs="Arial"/>
            <w:color w:val="0B0080"/>
            <w:sz w:val="17"/>
            <w:szCs w:val="17"/>
            <w:vertAlign w:val="superscript"/>
          </w:rPr>
          <w:t>[7]</w:t>
        </w:r>
      </w:hyperlink>
      <w:hyperlink r:id="rId79" w:anchor="cite_note-HSBC-R-02-8" w:history="1">
        <w:r>
          <w:rPr>
            <w:rStyle w:val="Hyperlink"/>
            <w:rFonts w:ascii="Arial" w:eastAsiaTheme="minorEastAsia" w:hAnsi="Arial" w:cs="Arial"/>
            <w:color w:val="0B0080"/>
            <w:sz w:val="17"/>
            <w:szCs w:val="17"/>
            <w:vertAlign w:val="superscript"/>
          </w:rPr>
          <w:t>[8]</w:t>
        </w:r>
      </w:hyperlink>
      <w:r>
        <w:rPr>
          <w:rFonts w:ascii="Arial" w:hAnsi="Arial" w:cs="Arial"/>
          <w:color w:val="222222"/>
          <w:sz w:val="21"/>
          <w:szCs w:val="21"/>
        </w:rPr>
        <w:t> The origins of the bank lie mainly in </w:t>
      </w:r>
      <w:hyperlink r:id="rId80" w:tooltip="Hong Kong" w:history="1">
        <w:r>
          <w:rPr>
            <w:rStyle w:val="Hyperlink"/>
            <w:rFonts w:ascii="Arial" w:eastAsiaTheme="minorEastAsia" w:hAnsi="Arial" w:cs="Arial"/>
            <w:color w:val="0B0080"/>
            <w:sz w:val="21"/>
            <w:szCs w:val="21"/>
          </w:rPr>
          <w:t>Hong Kong</w:t>
        </w:r>
      </w:hyperlink>
      <w:r>
        <w:rPr>
          <w:rFonts w:ascii="Arial" w:hAnsi="Arial" w:cs="Arial"/>
          <w:color w:val="222222"/>
          <w:sz w:val="21"/>
          <w:szCs w:val="21"/>
        </w:rPr>
        <w:t> and to a lesser extent in </w:t>
      </w:r>
      <w:hyperlink r:id="rId81" w:tooltip="Shanghai" w:history="1">
        <w:r>
          <w:rPr>
            <w:rStyle w:val="Hyperlink"/>
            <w:rFonts w:ascii="Arial" w:eastAsiaTheme="minorEastAsia" w:hAnsi="Arial" w:cs="Arial"/>
            <w:color w:val="0B0080"/>
            <w:sz w:val="21"/>
            <w:szCs w:val="21"/>
          </w:rPr>
          <w:t>Shanghai</w:t>
        </w:r>
      </w:hyperlink>
      <w:r>
        <w:rPr>
          <w:rFonts w:ascii="Arial" w:hAnsi="Arial" w:cs="Arial"/>
          <w:color w:val="222222"/>
          <w:sz w:val="21"/>
          <w:szCs w:val="21"/>
        </w:rPr>
        <w:t>, where branches were first opened in 1865.</w:t>
      </w:r>
      <w:hyperlink r:id="rId82" w:anchor="cite_note-Grouphistorylast-1" w:history="1">
        <w:r>
          <w:rPr>
            <w:rStyle w:val="Hyperlink"/>
            <w:rFonts w:ascii="Arial" w:eastAsiaTheme="minorEastAsia" w:hAnsi="Arial" w:cs="Arial"/>
            <w:color w:val="0B0080"/>
            <w:sz w:val="17"/>
            <w:szCs w:val="17"/>
            <w:vertAlign w:val="superscript"/>
          </w:rPr>
          <w:t>[1]</w:t>
        </w:r>
      </w:hyperlink>
      <w:r>
        <w:rPr>
          <w:rFonts w:ascii="Arial" w:hAnsi="Arial" w:cs="Arial"/>
          <w:color w:val="222222"/>
          <w:sz w:val="21"/>
          <w:szCs w:val="21"/>
        </w:rPr>
        <w:t> The HSBC name is derived from the initials of the Hongkong and Shanghai Banking Corporation.</w:t>
      </w:r>
      <w:hyperlink r:id="rId83" w:anchor="cite_note-Grouphistorytwo-9" w:history="1">
        <w:r>
          <w:rPr>
            <w:rStyle w:val="Hyperlink"/>
            <w:rFonts w:ascii="Arial" w:eastAsiaTheme="minorEastAsia" w:hAnsi="Arial" w:cs="Arial"/>
            <w:color w:val="0B0080"/>
            <w:sz w:val="17"/>
            <w:szCs w:val="17"/>
            <w:vertAlign w:val="superscript"/>
          </w:rPr>
          <w:t>[9]</w:t>
        </w:r>
      </w:hyperlink>
      <w:r>
        <w:rPr>
          <w:rFonts w:ascii="Arial" w:hAnsi="Arial" w:cs="Arial"/>
          <w:color w:val="222222"/>
          <w:sz w:val="21"/>
          <w:szCs w:val="21"/>
        </w:rPr>
        <w:t> The company was first formally incorporated in 1866. The company continues to see both the United Kingdom and Hong Kong as its "home markets".</w:t>
      </w:r>
      <w:hyperlink r:id="rId84" w:anchor="cite_note-10" w:history="1">
        <w:r>
          <w:rPr>
            <w:rStyle w:val="Hyperlink"/>
            <w:rFonts w:ascii="Arial" w:eastAsiaTheme="minorEastAsia" w:hAnsi="Arial" w:cs="Arial"/>
            <w:color w:val="0B0080"/>
            <w:sz w:val="17"/>
            <w:szCs w:val="17"/>
            <w:vertAlign w:val="superscript"/>
          </w:rPr>
          <w:t>[10]</w:t>
        </w:r>
      </w:hyperlink>
    </w:p>
    <w:p w:rsidR="000141D0" w:rsidRDefault="000141D0" w:rsidP="000141D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HSBC has around 3,900 offices in 67 countries and territories across Africa, Asia, Oceania, Europe, North America and South America, and around 38 million customers.</w:t>
      </w:r>
      <w:hyperlink r:id="rId85" w:anchor="cite_note-11" w:history="1">
        <w:r>
          <w:rPr>
            <w:rStyle w:val="Hyperlink"/>
            <w:rFonts w:ascii="Arial" w:eastAsiaTheme="minorEastAsia" w:hAnsi="Arial" w:cs="Arial"/>
            <w:color w:val="0B0080"/>
            <w:sz w:val="17"/>
            <w:szCs w:val="17"/>
            <w:vertAlign w:val="superscript"/>
          </w:rPr>
          <w:t>[11]</w:t>
        </w:r>
      </w:hyperlink>
      <w:r>
        <w:rPr>
          <w:rFonts w:ascii="Arial" w:hAnsi="Arial" w:cs="Arial"/>
          <w:color w:val="222222"/>
          <w:sz w:val="21"/>
          <w:szCs w:val="21"/>
        </w:rPr>
        <w:t> As of 2014, it was the world's sixth-largest public company, according to a composite measure by </w:t>
      </w:r>
      <w:hyperlink r:id="rId86" w:tooltip="Forbes" w:history="1">
        <w:r>
          <w:rPr>
            <w:rStyle w:val="Hyperlink"/>
            <w:rFonts w:ascii="Arial" w:eastAsiaTheme="minorEastAsia" w:hAnsi="Arial" w:cs="Arial"/>
            <w:i/>
            <w:iCs/>
            <w:color w:val="0B0080"/>
            <w:sz w:val="21"/>
            <w:szCs w:val="21"/>
          </w:rPr>
          <w:t>Forbes</w:t>
        </w:r>
      </w:hyperlink>
      <w:r>
        <w:rPr>
          <w:rFonts w:ascii="Arial" w:hAnsi="Arial" w:cs="Arial"/>
          <w:color w:val="222222"/>
          <w:sz w:val="21"/>
          <w:szCs w:val="21"/>
        </w:rPr>
        <w:t> magazine.</w:t>
      </w:r>
      <w:hyperlink r:id="rId87" w:anchor="cite_note-12" w:history="1">
        <w:r>
          <w:rPr>
            <w:rStyle w:val="Hyperlink"/>
            <w:rFonts w:ascii="Arial" w:eastAsiaTheme="minorEastAsia" w:hAnsi="Arial" w:cs="Arial"/>
            <w:color w:val="0B0080"/>
            <w:sz w:val="17"/>
            <w:szCs w:val="17"/>
            <w:vertAlign w:val="superscript"/>
          </w:rPr>
          <w:t>[12]</w:t>
        </w:r>
      </w:hyperlink>
    </w:p>
    <w:p w:rsidR="000141D0" w:rsidRDefault="000141D0" w:rsidP="000141D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HSBC is organised within four business groups: Commercial Banking; Global Banking and Markets (</w:t>
      </w:r>
      <w:hyperlink r:id="rId88" w:tooltip="Investment banking" w:history="1">
        <w:r>
          <w:rPr>
            <w:rStyle w:val="Hyperlink"/>
            <w:rFonts w:ascii="Arial" w:eastAsiaTheme="minorEastAsia" w:hAnsi="Arial" w:cs="Arial"/>
            <w:color w:val="0B0080"/>
            <w:sz w:val="21"/>
            <w:szCs w:val="21"/>
          </w:rPr>
          <w:t>investment banking</w:t>
        </w:r>
      </w:hyperlink>
      <w:r>
        <w:rPr>
          <w:rFonts w:ascii="Arial" w:hAnsi="Arial" w:cs="Arial"/>
          <w:color w:val="222222"/>
          <w:sz w:val="21"/>
          <w:szCs w:val="21"/>
        </w:rPr>
        <w:t>); Retail Banking and Wealth Management; and Global Private Banking</w:t>
      </w:r>
      <w:r w:rsidR="00817D75">
        <w:rPr>
          <w:rFonts w:ascii="Arial" w:hAnsi="Arial" w:cs="Arial"/>
          <w:color w:val="222222"/>
          <w:sz w:val="21"/>
          <w:szCs w:val="21"/>
        </w:rPr>
        <w:t>.</w:t>
      </w:r>
    </w:p>
    <w:p w:rsidR="00817D75" w:rsidRDefault="00817D75" w:rsidP="000141D0">
      <w:pPr>
        <w:pStyle w:val="NormalWeb"/>
        <w:shd w:val="clear" w:color="auto" w:fill="FFFFFF"/>
        <w:spacing w:before="120" w:beforeAutospacing="0" w:after="120" w:afterAutospacing="0"/>
        <w:rPr>
          <w:rFonts w:ascii="Arial" w:hAnsi="Arial" w:cs="Arial"/>
          <w:color w:val="222222"/>
          <w:sz w:val="21"/>
          <w:szCs w:val="21"/>
        </w:rPr>
      </w:pPr>
    </w:p>
    <w:p w:rsidR="00817D75" w:rsidRDefault="00817D75" w:rsidP="000141D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relative.</w:t>
      </w:r>
    </w:p>
    <w:p w:rsidR="00817D75" w:rsidRDefault="00817D75" w:rsidP="000141D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t>
      </w:r>
    </w:p>
    <w:p w:rsidR="00C52D96" w:rsidRDefault="00C52D96" w:rsidP="000141D0">
      <w:pPr>
        <w:pStyle w:val="NormalWeb"/>
        <w:shd w:val="clear" w:color="auto" w:fill="FFFFFF"/>
        <w:spacing w:before="120" w:beforeAutospacing="0" w:after="120" w:afterAutospacing="0"/>
        <w:rPr>
          <w:rFonts w:ascii="Arial" w:hAnsi="Arial" w:cs="Arial"/>
          <w:b/>
          <w:color w:val="222222"/>
          <w:sz w:val="21"/>
          <w:szCs w:val="21"/>
          <w:u w:val="single"/>
        </w:rPr>
      </w:pPr>
    </w:p>
    <w:p w:rsidR="000141D0" w:rsidRDefault="00C52D96" w:rsidP="00C52D96">
      <w:pPr>
        <w:pStyle w:val="NormalWeb"/>
        <w:shd w:val="clear" w:color="auto" w:fill="FFFFFF"/>
        <w:spacing w:before="120" w:beforeAutospacing="0" w:after="120" w:afterAutospacing="0"/>
        <w:rPr>
          <w:rStyle w:val="BookTitle"/>
          <w:b/>
          <w:bCs w:val="0"/>
          <w:iCs w:val="0"/>
          <w:color w:val="005C84" w:themeColor="text1"/>
          <w:spacing w:val="0"/>
          <w:sz w:val="20"/>
          <w:u w:val="single"/>
        </w:rPr>
      </w:pPr>
      <w:r w:rsidRPr="00C52D96">
        <w:rPr>
          <w:rFonts w:ascii="Arial" w:hAnsi="Arial" w:cs="Arial"/>
          <w:b/>
          <w:color w:val="222222"/>
          <w:sz w:val="21"/>
          <w:szCs w:val="21"/>
          <w:u w:val="single"/>
        </w:rPr>
        <w:t>SAP</w:t>
      </w:r>
    </w:p>
    <w:p w:rsidR="00817D75" w:rsidRDefault="00817D75" w:rsidP="009554A5">
      <w:pPr>
        <w:rPr>
          <w:rStyle w:val="BookTitle"/>
          <w:b/>
          <w:bCs w:val="0"/>
          <w:iCs w:val="0"/>
          <w:color w:val="005C84" w:themeColor="text1"/>
          <w:spacing w:val="0"/>
          <w:sz w:val="20"/>
          <w:u w:val="single"/>
        </w:rPr>
      </w:pPr>
      <w:r>
        <w:rPr>
          <w:rStyle w:val="BookTitle"/>
          <w:b/>
          <w:bCs w:val="0"/>
          <w:iCs w:val="0"/>
          <w:noProof/>
          <w:color w:val="005C84" w:themeColor="text1"/>
          <w:spacing w:val="0"/>
          <w:sz w:val="20"/>
          <w:u w:val="single"/>
        </w:rPr>
        <w:drawing>
          <wp:inline distT="0" distB="0" distL="0" distR="0">
            <wp:extent cx="6642100" cy="55181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2100" cy="5518150"/>
                    </a:xfrm>
                    <a:prstGeom prst="rect">
                      <a:avLst/>
                    </a:prstGeom>
                    <a:noFill/>
                    <a:ln>
                      <a:noFill/>
                    </a:ln>
                  </pic:spPr>
                </pic:pic>
              </a:graphicData>
            </a:graphic>
          </wp:inline>
        </w:drawing>
      </w:r>
    </w:p>
    <w:p w:rsidR="00C52D96" w:rsidRDefault="00C52D96" w:rsidP="000141D0">
      <w:pPr>
        <w:rPr>
          <w:rStyle w:val="BookTitle"/>
          <w:b/>
          <w:bCs w:val="0"/>
          <w:iCs w:val="0"/>
          <w:color w:val="005C84" w:themeColor="text1"/>
          <w:spacing w:val="0"/>
          <w:sz w:val="96"/>
          <w:szCs w:val="96"/>
        </w:rPr>
      </w:pP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lastRenderedPageBreak/>
        <w:t>5</w:t>
      </w:r>
      <w:r w:rsidRPr="000141D0">
        <w:rPr>
          <w:rStyle w:val="BookTitle"/>
          <w:b/>
          <w:bCs w:val="0"/>
          <w:iCs w:val="0"/>
          <w:color w:val="005C84" w:themeColor="text1"/>
          <w:spacing w:val="0"/>
          <w:sz w:val="96"/>
          <w:szCs w:val="96"/>
        </w:rPr>
        <w:t>.</w:t>
      </w:r>
      <w:r>
        <w:rPr>
          <w:rStyle w:val="BookTitle"/>
          <w:b/>
          <w:bCs w:val="0"/>
          <w:iCs w:val="0"/>
          <w:color w:val="005C84" w:themeColor="text1"/>
          <w:spacing w:val="0"/>
          <w:sz w:val="96"/>
          <w:szCs w:val="96"/>
        </w:rPr>
        <w:t xml:space="preserve"> </w:t>
      </w:r>
    </w:p>
    <w:p w:rsidR="000141D0" w:rsidRDefault="000141D0" w:rsidP="000141D0">
      <w:pPr>
        <w:rPr>
          <w:rStyle w:val="BookTitle"/>
          <w:b/>
          <w:bCs w:val="0"/>
          <w:iCs w:val="0"/>
          <w:color w:val="005C84" w:themeColor="text1"/>
          <w:spacing w:val="0"/>
          <w:sz w:val="96"/>
          <w:szCs w:val="96"/>
        </w:rPr>
      </w:pPr>
      <w:r>
        <w:rPr>
          <w:noProof/>
        </w:rPr>
        <w:drawing>
          <wp:inline distT="0" distB="0" distL="0" distR="0" wp14:anchorId="30950989" wp14:editId="5159B476">
            <wp:extent cx="372427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24275" cy="666750"/>
                    </a:xfrm>
                    <a:prstGeom prst="rect">
                      <a:avLst/>
                    </a:prstGeom>
                  </pic:spPr>
                </pic:pic>
              </a:graphicData>
            </a:graphic>
          </wp:inline>
        </w:drawing>
      </w:r>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Barclays plc</w:t>
      </w:r>
      <w:r>
        <w:rPr>
          <w:rFonts w:ascii="Arial" w:hAnsi="Arial" w:cs="Arial"/>
          <w:color w:val="222222"/>
          <w:sz w:val="21"/>
          <w:szCs w:val="21"/>
        </w:rPr>
        <w:t> </w:t>
      </w:r>
      <w:hyperlink r:id="rId91" w:tooltip="Help:IPA/English" w:history="1">
        <w:r>
          <w:rPr>
            <w:rStyle w:val="Hyperlink"/>
            <w:rFonts w:ascii="Arial" w:hAnsi="Arial" w:cs="Arial"/>
            <w:color w:val="0B0080"/>
            <w:sz w:val="21"/>
            <w:szCs w:val="21"/>
          </w:rPr>
          <w:t>/ˈ</w:t>
        </w:r>
        <w:proofErr w:type="spellStart"/>
        <w:r>
          <w:rPr>
            <w:rStyle w:val="Hyperlink"/>
            <w:rFonts w:ascii="Arial" w:hAnsi="Arial" w:cs="Arial"/>
            <w:color w:val="0B0080"/>
            <w:sz w:val="21"/>
            <w:szCs w:val="21"/>
          </w:rPr>
          <w:t>bɑːrkliz</w:t>
        </w:r>
        <w:proofErr w:type="spellEnd"/>
        <w:r>
          <w:rPr>
            <w:rStyle w:val="Hyperlink"/>
            <w:rFonts w:ascii="Arial" w:hAnsi="Arial" w:cs="Arial"/>
            <w:color w:val="0B0080"/>
            <w:sz w:val="21"/>
            <w:szCs w:val="21"/>
          </w:rPr>
          <w:t>, -</w:t>
        </w:r>
        <w:proofErr w:type="spellStart"/>
        <w:r>
          <w:rPr>
            <w:rStyle w:val="Hyperlink"/>
            <w:rFonts w:ascii="Arial" w:hAnsi="Arial" w:cs="Arial"/>
            <w:color w:val="0B0080"/>
            <w:sz w:val="21"/>
            <w:szCs w:val="21"/>
          </w:rPr>
          <w:t>leɪz</w:t>
        </w:r>
        <w:proofErr w:type="spellEnd"/>
        <w:r>
          <w:rPr>
            <w:rStyle w:val="Hyperlink"/>
            <w:rFonts w:ascii="Arial" w:hAnsi="Arial" w:cs="Arial"/>
            <w:color w:val="0B0080"/>
            <w:sz w:val="21"/>
            <w:szCs w:val="21"/>
          </w:rPr>
          <w:t>/</w:t>
        </w:r>
      </w:hyperlink>
      <w:r>
        <w:rPr>
          <w:rFonts w:ascii="Arial" w:hAnsi="Arial" w:cs="Arial"/>
          <w:color w:val="222222"/>
          <w:sz w:val="21"/>
          <w:szCs w:val="21"/>
        </w:rPr>
        <w:t> is a British </w:t>
      </w:r>
      <w:hyperlink r:id="rId92" w:tooltip="Multinational corporation" w:history="1">
        <w:r>
          <w:rPr>
            <w:rStyle w:val="Hyperlink"/>
            <w:rFonts w:ascii="Arial" w:hAnsi="Arial" w:cs="Arial"/>
            <w:color w:val="0B0080"/>
            <w:sz w:val="21"/>
            <w:szCs w:val="21"/>
          </w:rPr>
          <w:t>multinational</w:t>
        </w:r>
      </w:hyperlink>
      <w:r>
        <w:rPr>
          <w:rFonts w:ascii="Arial" w:hAnsi="Arial" w:cs="Arial"/>
          <w:color w:val="222222"/>
          <w:sz w:val="21"/>
          <w:szCs w:val="21"/>
        </w:rPr>
        <w:t> </w:t>
      </w:r>
      <w:hyperlink r:id="rId93" w:tooltip="Banking" w:history="1">
        <w:r>
          <w:rPr>
            <w:rStyle w:val="Hyperlink"/>
            <w:rFonts w:ascii="Arial" w:hAnsi="Arial" w:cs="Arial"/>
            <w:color w:val="0B0080"/>
            <w:sz w:val="21"/>
            <w:szCs w:val="21"/>
          </w:rPr>
          <w:t>bank</w:t>
        </w:r>
      </w:hyperlink>
      <w:r>
        <w:rPr>
          <w:rFonts w:ascii="Arial" w:hAnsi="Arial" w:cs="Arial"/>
          <w:color w:val="222222"/>
          <w:sz w:val="21"/>
          <w:szCs w:val="21"/>
        </w:rPr>
        <w:t> and </w:t>
      </w:r>
      <w:hyperlink r:id="rId94" w:tooltip="Financial services" w:history="1">
        <w:r>
          <w:rPr>
            <w:rStyle w:val="Hyperlink"/>
            <w:rFonts w:ascii="Arial" w:hAnsi="Arial" w:cs="Arial"/>
            <w:color w:val="0B0080"/>
            <w:sz w:val="21"/>
            <w:szCs w:val="21"/>
          </w:rPr>
          <w:t>financial services</w:t>
        </w:r>
      </w:hyperlink>
      <w:r>
        <w:rPr>
          <w:rFonts w:ascii="Arial" w:hAnsi="Arial" w:cs="Arial"/>
          <w:color w:val="222222"/>
          <w:sz w:val="21"/>
          <w:szCs w:val="21"/>
        </w:rPr>
        <w:t> company headquartered in London. It is a universal bank with global reach, offering products and services across personal, corporate and investment banking, credit cards and wealth management. It has operations in over 40 countries and employs approximately 120,000 people.</w:t>
      </w:r>
      <w:hyperlink r:id="rId95" w:anchor="cite_note-grouporg-3" w:history="1">
        <w:r>
          <w:rPr>
            <w:rStyle w:val="Hyperlink"/>
            <w:rFonts w:ascii="Arial" w:hAnsi="Arial" w:cs="Arial"/>
            <w:color w:val="0B0080"/>
            <w:sz w:val="17"/>
            <w:szCs w:val="17"/>
            <w:vertAlign w:val="superscript"/>
          </w:rPr>
          <w:t>[3]</w:t>
        </w:r>
      </w:hyperlink>
      <w:r>
        <w:rPr>
          <w:rFonts w:ascii="Arial" w:hAnsi="Arial" w:cs="Arial"/>
          <w:color w:val="222222"/>
          <w:sz w:val="21"/>
          <w:szCs w:val="21"/>
        </w:rPr>
        <w:t> Barclays is organised into four core businesses: Personal &amp; Corporate (Personal Banking, Corporate Banking, Wealth &amp; Investment Management), Barclaycard, Investment Banking and Africa.</w:t>
      </w:r>
      <w:hyperlink r:id="rId96" w:anchor="cite_note-4" w:history="1">
        <w:r>
          <w:rPr>
            <w:rStyle w:val="Hyperlink"/>
            <w:rFonts w:ascii="Arial" w:hAnsi="Arial" w:cs="Arial"/>
            <w:color w:val="0B0080"/>
            <w:sz w:val="17"/>
            <w:szCs w:val="17"/>
            <w:vertAlign w:val="superscript"/>
          </w:rPr>
          <w:t>[4]</w:t>
        </w:r>
      </w:hyperlink>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Barclays traces its origins to a </w:t>
      </w:r>
      <w:hyperlink r:id="rId97" w:tooltip="Goldsmith" w:history="1">
        <w:r>
          <w:rPr>
            <w:rStyle w:val="Hyperlink"/>
            <w:rFonts w:ascii="Arial" w:hAnsi="Arial" w:cs="Arial"/>
            <w:color w:val="0B0080"/>
            <w:sz w:val="21"/>
            <w:szCs w:val="21"/>
          </w:rPr>
          <w:t>goldsmith</w:t>
        </w:r>
      </w:hyperlink>
      <w:r>
        <w:rPr>
          <w:rFonts w:ascii="Arial" w:hAnsi="Arial" w:cs="Arial"/>
          <w:color w:val="222222"/>
          <w:sz w:val="21"/>
          <w:szCs w:val="21"/>
        </w:rPr>
        <w:t> banking business established in the City of London in 1690.</w:t>
      </w:r>
      <w:hyperlink r:id="rId98" w:anchor="cite_note-archives-5" w:history="1">
        <w:r>
          <w:rPr>
            <w:rStyle w:val="Hyperlink"/>
            <w:rFonts w:ascii="Arial" w:hAnsi="Arial" w:cs="Arial"/>
            <w:color w:val="0B0080"/>
            <w:sz w:val="17"/>
            <w:szCs w:val="17"/>
            <w:vertAlign w:val="superscript"/>
          </w:rPr>
          <w:t>[5]</w:t>
        </w:r>
      </w:hyperlink>
      <w:r>
        <w:rPr>
          <w:rFonts w:ascii="Arial" w:hAnsi="Arial" w:cs="Arial"/>
          <w:color w:val="222222"/>
          <w:sz w:val="21"/>
          <w:szCs w:val="21"/>
        </w:rPr>
        <w:t> James Barclay became a partner in the business in 1736. In 1896 several banks in London and the English provinces, including </w:t>
      </w:r>
      <w:hyperlink r:id="rId99" w:tooltip="Backhouse's Bank" w:history="1">
        <w:r>
          <w:rPr>
            <w:rStyle w:val="Hyperlink"/>
            <w:rFonts w:ascii="Arial" w:hAnsi="Arial" w:cs="Arial"/>
            <w:color w:val="0B0080"/>
            <w:sz w:val="21"/>
            <w:szCs w:val="21"/>
          </w:rPr>
          <w:t>Backhouse's Bank</w:t>
        </w:r>
      </w:hyperlink>
      <w:r>
        <w:rPr>
          <w:rFonts w:ascii="Arial" w:hAnsi="Arial" w:cs="Arial"/>
          <w:color w:val="222222"/>
          <w:sz w:val="21"/>
          <w:szCs w:val="21"/>
        </w:rPr>
        <w:t> and </w:t>
      </w:r>
      <w:hyperlink r:id="rId100" w:tooltip="Gurney's Bank" w:history="1">
        <w:r>
          <w:rPr>
            <w:rStyle w:val="Hyperlink"/>
            <w:rFonts w:ascii="Arial" w:hAnsi="Arial" w:cs="Arial"/>
            <w:color w:val="0B0080"/>
            <w:sz w:val="21"/>
            <w:szCs w:val="21"/>
          </w:rPr>
          <w:t>Gurney's Bank</w:t>
        </w:r>
      </w:hyperlink>
      <w:r>
        <w:rPr>
          <w:rFonts w:ascii="Arial" w:hAnsi="Arial" w:cs="Arial"/>
          <w:color w:val="222222"/>
          <w:sz w:val="21"/>
          <w:szCs w:val="21"/>
        </w:rPr>
        <w:t>, united as a </w:t>
      </w:r>
      <w:hyperlink r:id="rId101" w:tooltip="Joint-stock company" w:history="1">
        <w:r>
          <w:rPr>
            <w:rStyle w:val="Hyperlink"/>
            <w:rFonts w:ascii="Arial" w:hAnsi="Arial" w:cs="Arial"/>
            <w:color w:val="0B0080"/>
            <w:sz w:val="21"/>
            <w:szCs w:val="21"/>
          </w:rPr>
          <w:t>joint-stock</w:t>
        </w:r>
      </w:hyperlink>
      <w:r>
        <w:rPr>
          <w:rFonts w:ascii="Arial" w:hAnsi="Arial" w:cs="Arial"/>
          <w:color w:val="222222"/>
          <w:sz w:val="21"/>
          <w:szCs w:val="21"/>
        </w:rPr>
        <w:t> bank under the name Barclays and Co. Over the following decades Barclays expanded to become a nationwide bank. In 1967, Barclays deployed the world's first </w:t>
      </w:r>
      <w:hyperlink r:id="rId102" w:tooltip="Automated teller machine" w:history="1">
        <w:r>
          <w:rPr>
            <w:rStyle w:val="Hyperlink"/>
            <w:rFonts w:ascii="Arial" w:hAnsi="Arial" w:cs="Arial"/>
            <w:color w:val="0B0080"/>
            <w:sz w:val="21"/>
            <w:szCs w:val="21"/>
          </w:rPr>
          <w:t>cash dispenser</w:t>
        </w:r>
      </w:hyperlink>
      <w:r>
        <w:rPr>
          <w:rFonts w:ascii="Arial" w:hAnsi="Arial" w:cs="Arial"/>
          <w:color w:val="222222"/>
          <w:sz w:val="21"/>
          <w:szCs w:val="21"/>
        </w:rPr>
        <w:t>. Barclays has made numerous corporate acquisitions, including of London, Provincial and South Western Bank in 1918, </w:t>
      </w:r>
      <w:hyperlink r:id="rId103" w:tooltip="British Linen Bank" w:history="1">
        <w:r>
          <w:rPr>
            <w:rStyle w:val="Hyperlink"/>
            <w:rFonts w:ascii="Arial" w:hAnsi="Arial" w:cs="Arial"/>
            <w:color w:val="0B0080"/>
            <w:sz w:val="21"/>
            <w:szCs w:val="21"/>
          </w:rPr>
          <w:t>British Linen Bank</w:t>
        </w:r>
      </w:hyperlink>
      <w:r>
        <w:rPr>
          <w:rFonts w:ascii="Arial" w:hAnsi="Arial" w:cs="Arial"/>
          <w:color w:val="222222"/>
          <w:sz w:val="21"/>
          <w:szCs w:val="21"/>
        </w:rPr>
        <w:t> in 1919, Mercantile Credit in 1975, </w:t>
      </w:r>
      <w:hyperlink r:id="rId104" w:tooltip="The Woolwich" w:history="1">
        <w:r>
          <w:rPr>
            <w:rStyle w:val="Hyperlink"/>
            <w:rFonts w:ascii="Arial" w:hAnsi="Arial" w:cs="Arial"/>
            <w:color w:val="0B0080"/>
            <w:sz w:val="21"/>
            <w:szCs w:val="21"/>
          </w:rPr>
          <w:t>the Woolwich</w:t>
        </w:r>
      </w:hyperlink>
      <w:r>
        <w:rPr>
          <w:rFonts w:ascii="Arial" w:hAnsi="Arial" w:cs="Arial"/>
          <w:color w:val="222222"/>
          <w:sz w:val="21"/>
          <w:szCs w:val="21"/>
        </w:rPr>
        <w:t> in 2000 and the North American operations of </w:t>
      </w:r>
      <w:hyperlink r:id="rId105" w:tooltip="Lehman Brothers" w:history="1">
        <w:r>
          <w:rPr>
            <w:rStyle w:val="Hyperlink"/>
            <w:rFonts w:ascii="Arial" w:hAnsi="Arial" w:cs="Arial"/>
            <w:color w:val="0B0080"/>
            <w:sz w:val="21"/>
            <w:szCs w:val="21"/>
          </w:rPr>
          <w:t>Lehman Brothers</w:t>
        </w:r>
      </w:hyperlink>
      <w:r>
        <w:rPr>
          <w:rFonts w:ascii="Arial" w:hAnsi="Arial" w:cs="Arial"/>
          <w:color w:val="222222"/>
          <w:sz w:val="21"/>
          <w:szCs w:val="21"/>
        </w:rPr>
        <w:t> in 2008.</w:t>
      </w:r>
    </w:p>
    <w:p w:rsidR="00BE26D1" w:rsidRDefault="00BE26D1" w:rsidP="000530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Barclays has a primary listing on the </w:t>
      </w:r>
      <w:hyperlink r:id="rId106" w:tooltip="London Stock Exchange" w:history="1">
        <w:r>
          <w:rPr>
            <w:rStyle w:val="Hyperlink"/>
            <w:rFonts w:ascii="Arial" w:hAnsi="Arial" w:cs="Arial"/>
            <w:color w:val="0B0080"/>
            <w:sz w:val="21"/>
            <w:szCs w:val="21"/>
          </w:rPr>
          <w:t>London Stock Exchange</w:t>
        </w:r>
      </w:hyperlink>
      <w:r>
        <w:rPr>
          <w:rFonts w:ascii="Arial" w:hAnsi="Arial" w:cs="Arial"/>
          <w:color w:val="222222"/>
          <w:sz w:val="21"/>
          <w:szCs w:val="21"/>
        </w:rPr>
        <w:t> and is a constituent of the </w:t>
      </w:r>
      <w:hyperlink r:id="rId107" w:tooltip="FTSE 100 Index" w:history="1">
        <w:r>
          <w:rPr>
            <w:rStyle w:val="Hyperlink"/>
            <w:rFonts w:ascii="Arial" w:hAnsi="Arial" w:cs="Arial"/>
            <w:color w:val="0B0080"/>
            <w:sz w:val="21"/>
            <w:szCs w:val="21"/>
          </w:rPr>
          <w:t>FTSE 100 Index</w:t>
        </w:r>
      </w:hyperlink>
      <w:r>
        <w:rPr>
          <w:rFonts w:ascii="Arial" w:hAnsi="Arial" w:cs="Arial"/>
          <w:color w:val="222222"/>
          <w:sz w:val="21"/>
          <w:szCs w:val="21"/>
        </w:rPr>
        <w:t>. It has a secondary listing on the </w:t>
      </w:r>
      <w:hyperlink r:id="rId108" w:tooltip="New York Stock Exchange" w:history="1">
        <w:r>
          <w:rPr>
            <w:rStyle w:val="Hyperlink"/>
            <w:rFonts w:ascii="Arial" w:hAnsi="Arial" w:cs="Arial"/>
            <w:color w:val="0B0080"/>
            <w:sz w:val="21"/>
            <w:szCs w:val="21"/>
          </w:rPr>
          <w:t>New York Stock Exchange</w:t>
        </w:r>
      </w:hyperlink>
      <w:r>
        <w:rPr>
          <w:rFonts w:ascii="Arial" w:hAnsi="Arial" w:cs="Arial"/>
          <w:color w:val="222222"/>
          <w:sz w:val="21"/>
          <w:szCs w:val="21"/>
        </w:rPr>
        <w:t>. </w:t>
      </w:r>
      <w:hyperlink r:id="rId109" w:tooltip="Qatar Holdings" w:history="1">
        <w:r>
          <w:rPr>
            <w:rStyle w:val="Hyperlink"/>
            <w:rFonts w:ascii="Arial" w:hAnsi="Arial" w:cs="Arial"/>
            <w:color w:val="0B0080"/>
            <w:sz w:val="21"/>
            <w:szCs w:val="21"/>
          </w:rPr>
          <w:t>Qatar Holdings</w:t>
        </w:r>
      </w:hyperlink>
      <w:r>
        <w:rPr>
          <w:rFonts w:ascii="Arial" w:hAnsi="Arial" w:cs="Arial"/>
          <w:color w:val="222222"/>
          <w:sz w:val="21"/>
          <w:szCs w:val="21"/>
        </w:rPr>
        <w:t>, an investment vehicle of the </w:t>
      </w:r>
      <w:hyperlink r:id="rId110" w:tooltip="State of Qatar" w:history="1">
        <w:r>
          <w:rPr>
            <w:rStyle w:val="Hyperlink"/>
            <w:rFonts w:ascii="Arial" w:hAnsi="Arial" w:cs="Arial"/>
            <w:color w:val="0B0080"/>
            <w:sz w:val="21"/>
            <w:szCs w:val="21"/>
          </w:rPr>
          <w:t>State of Qatar</w:t>
        </w:r>
      </w:hyperlink>
      <w:r>
        <w:rPr>
          <w:rFonts w:ascii="Arial" w:hAnsi="Arial" w:cs="Arial"/>
          <w:color w:val="222222"/>
          <w:sz w:val="21"/>
          <w:szCs w:val="21"/>
        </w:rPr>
        <w:t>, is the lar</w:t>
      </w:r>
      <w:r w:rsidR="000530DA">
        <w:rPr>
          <w:rFonts w:ascii="Arial" w:hAnsi="Arial" w:cs="Arial"/>
          <w:color w:val="222222"/>
          <w:sz w:val="21"/>
          <w:szCs w:val="21"/>
        </w:rPr>
        <w:t>gest shareholder of the company.</w:t>
      </w:r>
    </w:p>
    <w:p w:rsidR="000530DA" w:rsidRDefault="000530DA" w:rsidP="000530DA">
      <w:pPr>
        <w:pStyle w:val="NormalWeb"/>
        <w:shd w:val="clear" w:color="auto" w:fill="FFFFFF"/>
        <w:spacing w:before="120" w:beforeAutospacing="0" w:after="120" w:afterAutospacing="0"/>
        <w:rPr>
          <w:rFonts w:ascii="Arial" w:hAnsi="Arial" w:cs="Arial"/>
          <w:color w:val="222222"/>
          <w:sz w:val="21"/>
          <w:szCs w:val="21"/>
        </w:rPr>
      </w:pPr>
    </w:p>
    <w:p w:rsidR="000530DA" w:rsidRDefault="000530DA" w:rsidP="000530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Vani</w:t>
      </w:r>
    </w:p>
    <w:p w:rsidR="000530DA" w:rsidRDefault="000530DA" w:rsidP="000530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t>
      </w:r>
    </w:p>
    <w:p w:rsidR="000530DA" w:rsidRPr="00C52D96" w:rsidRDefault="00C52D96" w:rsidP="000530DA">
      <w:pPr>
        <w:pStyle w:val="NormalWeb"/>
        <w:shd w:val="clear" w:color="auto" w:fill="FFFFFF"/>
        <w:spacing w:before="120" w:beforeAutospacing="0" w:after="120" w:afterAutospacing="0"/>
        <w:rPr>
          <w:rFonts w:ascii="Arial" w:hAnsi="Arial" w:cs="Arial"/>
          <w:b/>
          <w:color w:val="222222"/>
          <w:sz w:val="21"/>
          <w:szCs w:val="21"/>
          <w:u w:val="single"/>
        </w:rPr>
      </w:pPr>
      <w:bookmarkStart w:id="0" w:name="_GoBack"/>
      <w:r w:rsidRPr="00C52D96">
        <w:rPr>
          <w:rFonts w:ascii="Arial" w:hAnsi="Arial" w:cs="Arial"/>
          <w:b/>
          <w:color w:val="222222"/>
          <w:sz w:val="21"/>
          <w:szCs w:val="21"/>
          <w:u w:val="single"/>
        </w:rPr>
        <w:t>SAP</w:t>
      </w:r>
    </w:p>
    <w:bookmarkEnd w:id="0"/>
    <w:p w:rsidR="000530DA" w:rsidRPr="000530DA" w:rsidRDefault="000530DA" w:rsidP="000530DA">
      <w:pPr>
        <w:pStyle w:val="NormalWeb"/>
        <w:shd w:val="clear" w:color="auto" w:fill="FFFFFF"/>
        <w:spacing w:before="120" w:beforeAutospacing="0" w:after="120" w:afterAutospacing="0"/>
        <w:rPr>
          <w:rStyle w:val="BookTitle"/>
          <w:rFonts w:ascii="Arial" w:hAnsi="Arial" w:cs="Arial"/>
          <w:bCs w:val="0"/>
          <w:iCs w:val="0"/>
          <w:color w:val="222222"/>
          <w:spacing w:val="0"/>
          <w:sz w:val="21"/>
          <w:szCs w:val="21"/>
        </w:rPr>
      </w:pPr>
      <w:r>
        <w:rPr>
          <w:rStyle w:val="BookTitle"/>
          <w:rFonts w:ascii="Arial" w:hAnsi="Arial" w:cs="Arial"/>
          <w:bCs w:val="0"/>
          <w:iCs w:val="0"/>
          <w:noProof/>
          <w:color w:val="222222"/>
          <w:spacing w:val="0"/>
          <w:sz w:val="21"/>
          <w:szCs w:val="21"/>
        </w:rPr>
        <w:drawing>
          <wp:inline distT="0" distB="0" distL="0" distR="0">
            <wp:extent cx="6661785" cy="39185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661785" cy="3918585"/>
                    </a:xfrm>
                    <a:prstGeom prst="rect">
                      <a:avLst/>
                    </a:prstGeom>
                    <a:noFill/>
                    <a:ln>
                      <a:noFill/>
                    </a:ln>
                  </pic:spPr>
                </pic:pic>
              </a:graphicData>
            </a:graphic>
          </wp:inline>
        </w:drawing>
      </w: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lastRenderedPageBreak/>
        <w:t>6</w:t>
      </w:r>
      <w:r w:rsidRPr="000141D0">
        <w:rPr>
          <w:rStyle w:val="BookTitle"/>
          <w:b/>
          <w:bCs w:val="0"/>
          <w:iCs w:val="0"/>
          <w:color w:val="005C84" w:themeColor="text1"/>
          <w:spacing w:val="0"/>
          <w:sz w:val="96"/>
          <w:szCs w:val="96"/>
        </w:rPr>
        <w:t>.</w:t>
      </w:r>
      <w:r>
        <w:rPr>
          <w:rStyle w:val="BookTitle"/>
          <w:b/>
          <w:bCs w:val="0"/>
          <w:iCs w:val="0"/>
          <w:color w:val="005C84" w:themeColor="text1"/>
          <w:spacing w:val="0"/>
          <w:sz w:val="96"/>
          <w:szCs w:val="96"/>
        </w:rPr>
        <w:t xml:space="preserve"> </w:t>
      </w:r>
    </w:p>
    <w:p w:rsidR="00BE26D1" w:rsidRDefault="00BE26D1" w:rsidP="000141D0">
      <w:pPr>
        <w:rPr>
          <w:rStyle w:val="BookTitle"/>
          <w:b/>
          <w:bCs w:val="0"/>
          <w:iCs w:val="0"/>
          <w:color w:val="005C84" w:themeColor="text1"/>
          <w:spacing w:val="0"/>
          <w:sz w:val="96"/>
          <w:szCs w:val="96"/>
        </w:rPr>
      </w:pPr>
      <w:r>
        <w:rPr>
          <w:noProof/>
        </w:rPr>
        <w:drawing>
          <wp:inline distT="0" distB="0" distL="0" distR="0" wp14:anchorId="5A80C2BC" wp14:editId="70965DB0">
            <wp:extent cx="34671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67100" cy="914400"/>
                    </a:xfrm>
                    <a:prstGeom prst="rect">
                      <a:avLst/>
                    </a:prstGeom>
                  </pic:spPr>
                </pic:pic>
              </a:graphicData>
            </a:graphic>
          </wp:inline>
        </w:drawing>
      </w:r>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ABN AMRO Bank N.V.</w:t>
      </w:r>
      <w:r>
        <w:rPr>
          <w:rFonts w:ascii="Arial" w:hAnsi="Arial" w:cs="Arial"/>
          <w:color w:val="222222"/>
          <w:sz w:val="21"/>
          <w:szCs w:val="21"/>
        </w:rPr>
        <w:t> is a </w:t>
      </w:r>
      <w:hyperlink r:id="rId113" w:tooltip="Netherlands" w:history="1">
        <w:r>
          <w:rPr>
            <w:rStyle w:val="Hyperlink"/>
            <w:rFonts w:ascii="Arial" w:eastAsiaTheme="minorEastAsia" w:hAnsi="Arial" w:cs="Arial"/>
            <w:color w:val="0B0080"/>
            <w:sz w:val="21"/>
            <w:szCs w:val="21"/>
          </w:rPr>
          <w:t>Dutch</w:t>
        </w:r>
      </w:hyperlink>
      <w:r>
        <w:rPr>
          <w:rFonts w:ascii="Arial" w:hAnsi="Arial" w:cs="Arial"/>
          <w:color w:val="222222"/>
          <w:sz w:val="21"/>
          <w:szCs w:val="21"/>
        </w:rPr>
        <w:t> bank with headquarters in </w:t>
      </w:r>
      <w:hyperlink r:id="rId114" w:tooltip="Amsterdam" w:history="1">
        <w:r>
          <w:rPr>
            <w:rStyle w:val="Hyperlink"/>
            <w:rFonts w:ascii="Arial" w:eastAsiaTheme="minorEastAsia" w:hAnsi="Arial" w:cs="Arial"/>
            <w:color w:val="0B0080"/>
            <w:sz w:val="21"/>
            <w:szCs w:val="21"/>
          </w:rPr>
          <w:t>Amsterdam</w:t>
        </w:r>
      </w:hyperlink>
      <w:r>
        <w:rPr>
          <w:rFonts w:ascii="Arial" w:hAnsi="Arial" w:cs="Arial"/>
          <w:color w:val="222222"/>
          <w:sz w:val="21"/>
          <w:szCs w:val="21"/>
        </w:rPr>
        <w:t>. ABN AMRO Bank is the third-largest bank in the Netherlands.</w:t>
      </w:r>
      <w:hyperlink r:id="rId115" w:anchor="cite_note-4" w:history="1">
        <w:r>
          <w:rPr>
            <w:rStyle w:val="Hyperlink"/>
            <w:rFonts w:ascii="Arial" w:eastAsiaTheme="minorEastAsia" w:hAnsi="Arial" w:cs="Arial"/>
            <w:color w:val="0B0080"/>
            <w:sz w:val="17"/>
            <w:szCs w:val="17"/>
            <w:vertAlign w:val="superscript"/>
          </w:rPr>
          <w:t>[4]</w:t>
        </w:r>
      </w:hyperlink>
      <w:r>
        <w:rPr>
          <w:rFonts w:ascii="Arial" w:hAnsi="Arial" w:cs="Arial"/>
          <w:color w:val="222222"/>
          <w:sz w:val="21"/>
          <w:szCs w:val="21"/>
        </w:rPr>
        <w:t> It was re-established in its current form in 2009, following the acquisition and break-up of the original ABN AMRO by a banking consortium consisting of </w:t>
      </w:r>
      <w:hyperlink r:id="rId116" w:tooltip="Royal Bank of Scotland Group" w:history="1">
        <w:r>
          <w:rPr>
            <w:rStyle w:val="Hyperlink"/>
            <w:rFonts w:ascii="Arial" w:eastAsiaTheme="minorEastAsia" w:hAnsi="Arial" w:cs="Arial"/>
            <w:color w:val="0B0080"/>
            <w:sz w:val="21"/>
            <w:szCs w:val="21"/>
          </w:rPr>
          <w:t>Royal Bank of Scotland Group</w:t>
        </w:r>
      </w:hyperlink>
      <w:r>
        <w:rPr>
          <w:rFonts w:ascii="Arial" w:hAnsi="Arial" w:cs="Arial"/>
          <w:color w:val="222222"/>
          <w:sz w:val="21"/>
          <w:szCs w:val="21"/>
        </w:rPr>
        <w:t>, </w:t>
      </w:r>
      <w:hyperlink r:id="rId117" w:tooltip="Santander Group" w:history="1">
        <w:r>
          <w:rPr>
            <w:rStyle w:val="Hyperlink"/>
            <w:rFonts w:ascii="Arial" w:eastAsiaTheme="minorEastAsia" w:hAnsi="Arial" w:cs="Arial"/>
            <w:color w:val="0B0080"/>
            <w:sz w:val="21"/>
            <w:szCs w:val="21"/>
          </w:rPr>
          <w:t>Santander Group</w:t>
        </w:r>
      </w:hyperlink>
      <w:r>
        <w:rPr>
          <w:rFonts w:ascii="Arial" w:hAnsi="Arial" w:cs="Arial"/>
          <w:color w:val="222222"/>
          <w:sz w:val="21"/>
          <w:szCs w:val="21"/>
        </w:rPr>
        <w:t> and </w:t>
      </w:r>
      <w:hyperlink r:id="rId118" w:tooltip="Fortis (finance)" w:history="1">
        <w:r>
          <w:rPr>
            <w:rStyle w:val="Hyperlink"/>
            <w:rFonts w:ascii="Arial" w:eastAsiaTheme="minorEastAsia" w:hAnsi="Arial" w:cs="Arial"/>
            <w:color w:val="0B0080"/>
            <w:sz w:val="21"/>
            <w:szCs w:val="21"/>
          </w:rPr>
          <w:t>Fortis</w:t>
        </w:r>
      </w:hyperlink>
      <w:r>
        <w:rPr>
          <w:rFonts w:ascii="Arial" w:hAnsi="Arial" w:cs="Arial"/>
          <w:color w:val="222222"/>
          <w:sz w:val="21"/>
          <w:szCs w:val="21"/>
        </w:rPr>
        <w:t>. Following the collapse of Fortis, who acquired the Dutch business, it was nationalized by the </w:t>
      </w:r>
      <w:hyperlink r:id="rId119" w:tooltip="Dutch government" w:history="1">
        <w:r>
          <w:rPr>
            <w:rStyle w:val="Hyperlink"/>
            <w:rFonts w:ascii="Arial" w:eastAsiaTheme="minorEastAsia" w:hAnsi="Arial" w:cs="Arial"/>
            <w:color w:val="0B0080"/>
            <w:sz w:val="21"/>
            <w:szCs w:val="21"/>
          </w:rPr>
          <w:t>Dutch government</w:t>
        </w:r>
      </w:hyperlink>
      <w:r>
        <w:rPr>
          <w:rFonts w:ascii="Arial" w:hAnsi="Arial" w:cs="Arial"/>
          <w:color w:val="222222"/>
          <w:sz w:val="21"/>
          <w:szCs w:val="21"/>
        </w:rPr>
        <w:t> along with </w:t>
      </w:r>
      <w:hyperlink r:id="rId120" w:tooltip="Fortis Bank Nederland" w:history="1">
        <w:r>
          <w:rPr>
            <w:rStyle w:val="Hyperlink"/>
            <w:rFonts w:ascii="Arial" w:eastAsiaTheme="minorEastAsia" w:hAnsi="Arial" w:cs="Arial"/>
            <w:color w:val="0B0080"/>
            <w:sz w:val="21"/>
            <w:szCs w:val="21"/>
          </w:rPr>
          <w:t>Fortis Bank Nederland</w:t>
        </w:r>
      </w:hyperlink>
      <w:r>
        <w:rPr>
          <w:rFonts w:ascii="Arial" w:hAnsi="Arial" w:cs="Arial"/>
          <w:color w:val="222222"/>
          <w:sz w:val="21"/>
          <w:szCs w:val="21"/>
        </w:rPr>
        <w:t>.</w:t>
      </w:r>
      <w:hyperlink r:id="rId121" w:anchor="cite_note-5" w:history="1">
        <w:r>
          <w:rPr>
            <w:rStyle w:val="Hyperlink"/>
            <w:rFonts w:ascii="Arial" w:eastAsiaTheme="minorEastAsia" w:hAnsi="Arial" w:cs="Arial"/>
            <w:color w:val="0B0080"/>
            <w:sz w:val="17"/>
            <w:szCs w:val="17"/>
            <w:vertAlign w:val="superscript"/>
          </w:rPr>
          <w:t>[5]</w:t>
        </w:r>
      </w:hyperlink>
      <w:r>
        <w:rPr>
          <w:rFonts w:ascii="Arial" w:hAnsi="Arial" w:cs="Arial"/>
          <w:color w:val="222222"/>
          <w:sz w:val="21"/>
          <w:szCs w:val="21"/>
        </w:rPr>
        <w:t> It was relisted as a public company again in 2015.</w:t>
      </w:r>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bank is a product of a long history of mergers and acquisitions that date to 1765. In 1991, </w:t>
      </w:r>
      <w:hyperlink r:id="rId122" w:tooltip="Algemene Bank Nederland" w:history="1">
        <w:proofErr w:type="spellStart"/>
        <w:r>
          <w:rPr>
            <w:rStyle w:val="Hyperlink"/>
            <w:rFonts w:ascii="Arial" w:eastAsiaTheme="minorEastAsia" w:hAnsi="Arial" w:cs="Arial"/>
            <w:color w:val="0B0080"/>
            <w:sz w:val="21"/>
            <w:szCs w:val="21"/>
          </w:rPr>
          <w:t>Algemene</w:t>
        </w:r>
        <w:proofErr w:type="spellEnd"/>
        <w:r>
          <w:rPr>
            <w:rStyle w:val="Hyperlink"/>
            <w:rFonts w:ascii="Arial" w:eastAsiaTheme="minorEastAsia" w:hAnsi="Arial" w:cs="Arial"/>
            <w:color w:val="0B0080"/>
            <w:sz w:val="21"/>
            <w:szCs w:val="21"/>
          </w:rPr>
          <w:t xml:space="preserve"> Bank Nederland</w:t>
        </w:r>
      </w:hyperlink>
      <w:r>
        <w:rPr>
          <w:rFonts w:ascii="Arial" w:hAnsi="Arial" w:cs="Arial"/>
          <w:color w:val="222222"/>
          <w:sz w:val="21"/>
          <w:szCs w:val="21"/>
        </w:rPr>
        <w:t>(ABN) and </w:t>
      </w:r>
      <w:hyperlink r:id="rId123" w:tooltip="AMRO Bank" w:history="1">
        <w:r>
          <w:rPr>
            <w:rStyle w:val="Hyperlink"/>
            <w:rFonts w:ascii="Arial" w:eastAsiaTheme="minorEastAsia" w:hAnsi="Arial" w:cs="Arial"/>
            <w:color w:val="0B0080"/>
            <w:sz w:val="21"/>
            <w:szCs w:val="21"/>
          </w:rPr>
          <w:t>AMRO Bank</w:t>
        </w:r>
      </w:hyperlink>
      <w:r>
        <w:rPr>
          <w:rFonts w:ascii="Arial" w:hAnsi="Arial" w:cs="Arial"/>
          <w:color w:val="222222"/>
          <w:sz w:val="21"/>
          <w:szCs w:val="21"/>
        </w:rPr>
        <w:t xml:space="preserve"> (itself the result of a merger of the </w:t>
      </w:r>
      <w:proofErr w:type="spellStart"/>
      <w:r>
        <w:rPr>
          <w:rFonts w:ascii="Arial" w:hAnsi="Arial" w:cs="Arial"/>
          <w:color w:val="222222"/>
          <w:sz w:val="21"/>
          <w:szCs w:val="21"/>
        </w:rPr>
        <w:t>Amsterdamsche</w:t>
      </w:r>
      <w:proofErr w:type="spellEnd"/>
      <w:r>
        <w:rPr>
          <w:rFonts w:ascii="Arial" w:hAnsi="Arial" w:cs="Arial"/>
          <w:color w:val="222222"/>
          <w:sz w:val="21"/>
          <w:szCs w:val="21"/>
        </w:rPr>
        <w:t xml:space="preserve"> Bank and the </w:t>
      </w:r>
      <w:proofErr w:type="spellStart"/>
      <w:r>
        <w:rPr>
          <w:rFonts w:ascii="Arial" w:hAnsi="Arial" w:cs="Arial"/>
          <w:color w:val="222222"/>
          <w:sz w:val="21"/>
          <w:szCs w:val="21"/>
        </w:rPr>
        <w:t>Rotterdamsche</w:t>
      </w:r>
      <w:proofErr w:type="spellEnd"/>
      <w:r>
        <w:rPr>
          <w:rFonts w:ascii="Arial" w:hAnsi="Arial" w:cs="Arial"/>
          <w:color w:val="222222"/>
          <w:sz w:val="21"/>
          <w:szCs w:val="21"/>
        </w:rPr>
        <w:t xml:space="preserve"> Bank in the 1960s) agreed to merge to create the original ABN AMRO. By 2007, ABN AMRO was the second-largest bank in the Netherlands and the eighth-largest in </w:t>
      </w:r>
      <w:hyperlink r:id="rId124" w:tooltip="Europe" w:history="1">
        <w:r>
          <w:rPr>
            <w:rStyle w:val="Hyperlink"/>
            <w:rFonts w:ascii="Arial" w:eastAsiaTheme="minorEastAsia" w:hAnsi="Arial" w:cs="Arial"/>
            <w:color w:val="0B0080"/>
            <w:sz w:val="21"/>
            <w:szCs w:val="21"/>
          </w:rPr>
          <w:t>Europe</w:t>
        </w:r>
      </w:hyperlink>
      <w:r>
        <w:rPr>
          <w:rFonts w:ascii="Arial" w:hAnsi="Arial" w:cs="Arial"/>
          <w:color w:val="222222"/>
          <w:sz w:val="21"/>
          <w:szCs w:val="21"/>
        </w:rPr>
        <w:t> by </w:t>
      </w:r>
      <w:hyperlink r:id="rId125" w:tooltip="Assets" w:history="1">
        <w:r>
          <w:rPr>
            <w:rStyle w:val="Hyperlink"/>
            <w:rFonts w:ascii="Arial" w:eastAsiaTheme="minorEastAsia" w:hAnsi="Arial" w:cs="Arial"/>
            <w:color w:val="0B0080"/>
            <w:sz w:val="21"/>
            <w:szCs w:val="21"/>
          </w:rPr>
          <w:t>assets</w:t>
        </w:r>
      </w:hyperlink>
      <w:r>
        <w:rPr>
          <w:rFonts w:ascii="Arial" w:hAnsi="Arial" w:cs="Arial"/>
          <w:color w:val="222222"/>
          <w:sz w:val="21"/>
          <w:szCs w:val="21"/>
        </w:rPr>
        <w:t>. At that time the magazine </w:t>
      </w:r>
      <w:hyperlink r:id="rId126" w:tooltip="The Banker" w:history="1">
        <w:r>
          <w:rPr>
            <w:rStyle w:val="Hyperlink"/>
            <w:rFonts w:ascii="Arial" w:eastAsiaTheme="minorEastAsia" w:hAnsi="Arial" w:cs="Arial"/>
            <w:i/>
            <w:iCs/>
            <w:color w:val="0B0080"/>
            <w:sz w:val="21"/>
            <w:szCs w:val="21"/>
          </w:rPr>
          <w:t>The Banker</w:t>
        </w:r>
      </w:hyperlink>
      <w:r>
        <w:rPr>
          <w:rFonts w:ascii="Arial" w:hAnsi="Arial" w:cs="Arial"/>
          <w:color w:val="222222"/>
          <w:sz w:val="21"/>
          <w:szCs w:val="21"/>
        </w:rPr>
        <w:t> and </w:t>
      </w:r>
      <w:hyperlink r:id="rId127" w:tooltip="Fortune Global 500" w:history="1">
        <w:r>
          <w:rPr>
            <w:rStyle w:val="Hyperlink"/>
            <w:rFonts w:ascii="Arial" w:eastAsiaTheme="minorEastAsia" w:hAnsi="Arial" w:cs="Arial"/>
            <w:color w:val="0B0080"/>
            <w:sz w:val="21"/>
            <w:szCs w:val="21"/>
          </w:rPr>
          <w:t>Fortune Global 500</w:t>
        </w:r>
      </w:hyperlink>
      <w:r>
        <w:rPr>
          <w:rFonts w:ascii="Arial" w:hAnsi="Arial" w:cs="Arial"/>
          <w:color w:val="222222"/>
          <w:sz w:val="21"/>
          <w:szCs w:val="21"/>
        </w:rPr>
        <w:t>placed it 15th</w:t>
      </w:r>
      <w:hyperlink r:id="rId128" w:anchor="cite_note-cnn-6" w:history="1">
        <w:r>
          <w:rPr>
            <w:rStyle w:val="Hyperlink"/>
            <w:rFonts w:ascii="Arial" w:eastAsiaTheme="minorEastAsia" w:hAnsi="Arial" w:cs="Arial"/>
            <w:color w:val="0B0080"/>
            <w:sz w:val="17"/>
            <w:szCs w:val="17"/>
            <w:vertAlign w:val="superscript"/>
          </w:rPr>
          <w:t>[6]</w:t>
        </w:r>
      </w:hyperlink>
      <w:r>
        <w:rPr>
          <w:rFonts w:ascii="Arial" w:hAnsi="Arial" w:cs="Arial"/>
          <w:color w:val="222222"/>
          <w:sz w:val="21"/>
          <w:szCs w:val="21"/>
        </w:rPr>
        <w:t> in the list of world's biggest banks and it had operations in 63 countries, with over 110,000 employees.</w:t>
      </w:r>
    </w:p>
    <w:p w:rsidR="006E7A20" w:rsidRDefault="006E7A20" w:rsidP="00BE26D1">
      <w:pPr>
        <w:pStyle w:val="NormalWeb"/>
        <w:shd w:val="clear" w:color="auto" w:fill="FFFFFF"/>
        <w:spacing w:before="120" w:beforeAutospacing="0" w:after="120" w:afterAutospacing="0"/>
        <w:rPr>
          <w:rFonts w:ascii="Arial" w:hAnsi="Arial" w:cs="Arial"/>
          <w:color w:val="222222"/>
          <w:sz w:val="21"/>
          <w:szCs w:val="21"/>
        </w:rPr>
      </w:pPr>
    </w:p>
    <w:p w:rsidR="00880A05" w:rsidRDefault="00880A05" w:rsidP="00880A0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--Gopal Manickam</w:t>
      </w:r>
      <w:r w:rsidR="003E7499">
        <w:rPr>
          <w:rFonts w:ascii="Arial" w:hAnsi="Arial" w:cs="Arial"/>
          <w:color w:val="222222"/>
          <w:sz w:val="21"/>
          <w:szCs w:val="21"/>
        </w:rPr>
        <w:t xml:space="preserve"> – Technical Lead</w:t>
      </w:r>
    </w:p>
    <w:p w:rsidR="00880A05" w:rsidRDefault="00880A05" w:rsidP="00880A0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t>
      </w:r>
      <w:r w:rsidR="00261E06">
        <w:rPr>
          <w:rFonts w:ascii="Arial" w:hAnsi="Arial" w:cs="Arial"/>
          <w:color w:val="222222"/>
          <w:sz w:val="21"/>
          <w:szCs w:val="21"/>
        </w:rPr>
        <w:t>9842448433</w:t>
      </w:r>
    </w:p>
    <w:p w:rsidR="00880A05" w:rsidRDefault="00880A05" w:rsidP="00BE26D1">
      <w:pPr>
        <w:pStyle w:val="NormalWeb"/>
        <w:shd w:val="clear" w:color="auto" w:fill="FFFFFF"/>
        <w:spacing w:before="120" w:beforeAutospacing="0" w:after="120" w:afterAutospacing="0"/>
        <w:rPr>
          <w:rFonts w:ascii="Arial" w:hAnsi="Arial" w:cs="Arial"/>
          <w:color w:val="222222"/>
          <w:sz w:val="21"/>
          <w:szCs w:val="21"/>
        </w:rPr>
      </w:pPr>
    </w:p>
    <w:p w:rsidR="006E7A20" w:rsidRPr="006E7A20" w:rsidRDefault="006E7A20" w:rsidP="00BE26D1">
      <w:pPr>
        <w:pStyle w:val="NormalWeb"/>
        <w:shd w:val="clear" w:color="auto" w:fill="FFFFFF"/>
        <w:spacing w:before="120" w:beforeAutospacing="0" w:after="120" w:afterAutospacing="0"/>
        <w:rPr>
          <w:rFonts w:ascii="Arial" w:hAnsi="Arial" w:cs="Arial"/>
          <w:b/>
          <w:color w:val="222222"/>
          <w:sz w:val="21"/>
          <w:szCs w:val="21"/>
        </w:rPr>
      </w:pPr>
      <w:r w:rsidRPr="006E7A20">
        <w:rPr>
          <w:rFonts w:ascii="Arial" w:hAnsi="Arial" w:cs="Arial"/>
          <w:b/>
          <w:color w:val="222222"/>
          <w:sz w:val="21"/>
          <w:szCs w:val="21"/>
        </w:rPr>
        <w:t>SAGE ERP</w:t>
      </w:r>
    </w:p>
    <w:p w:rsidR="006E7A20" w:rsidRDefault="006E7A20" w:rsidP="00BE26D1">
      <w:pPr>
        <w:pStyle w:val="NormalWeb"/>
        <w:shd w:val="clear" w:color="auto" w:fill="FFFFFF"/>
        <w:spacing w:before="120" w:beforeAutospacing="0" w:after="120" w:afterAutospacing="0"/>
        <w:rPr>
          <w:rFonts w:ascii="Arial" w:hAnsi="Arial" w:cs="Arial"/>
          <w:color w:val="222222"/>
          <w:sz w:val="21"/>
          <w:szCs w:val="21"/>
        </w:rPr>
      </w:pPr>
    </w:p>
    <w:p w:rsidR="006E7A20" w:rsidRDefault="006E7A20" w:rsidP="00BE26D1">
      <w:pPr>
        <w:pStyle w:val="NormalWeb"/>
        <w:shd w:val="clear" w:color="auto" w:fill="FFFFFF"/>
        <w:spacing w:before="120" w:beforeAutospacing="0" w:after="120" w:afterAutospacing="0"/>
        <w:rPr>
          <w:rFonts w:ascii="Arial" w:hAnsi="Arial" w:cs="Arial"/>
          <w:color w:val="222222"/>
          <w:sz w:val="21"/>
          <w:szCs w:val="21"/>
        </w:rPr>
      </w:pPr>
      <w:r>
        <w:rPr>
          <w:noProof/>
        </w:rPr>
        <w:lastRenderedPageBreak/>
        <w:drawing>
          <wp:inline distT="0" distB="0" distL="0" distR="0">
            <wp:extent cx="6645910" cy="5160964"/>
            <wp:effectExtent l="0" t="0" r="2540" b="190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645910" cy="5160964"/>
                    </a:xfrm>
                    <a:prstGeom prst="rect">
                      <a:avLst/>
                    </a:prstGeom>
                    <a:noFill/>
                    <a:ln>
                      <a:noFill/>
                    </a:ln>
                  </pic:spPr>
                </pic:pic>
              </a:graphicData>
            </a:graphic>
          </wp:inline>
        </w:drawing>
      </w:r>
    </w:p>
    <w:p w:rsidR="00BE26D1" w:rsidRDefault="00BE26D1" w:rsidP="000141D0">
      <w:pPr>
        <w:rPr>
          <w:rStyle w:val="BookTitle"/>
          <w:b/>
          <w:bCs w:val="0"/>
          <w:iCs w:val="0"/>
          <w:color w:val="005C84" w:themeColor="text1"/>
          <w:spacing w:val="0"/>
          <w:sz w:val="96"/>
          <w:szCs w:val="96"/>
        </w:rPr>
      </w:pP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t>7</w:t>
      </w:r>
      <w:r w:rsidRPr="000141D0">
        <w:rPr>
          <w:rStyle w:val="BookTitle"/>
          <w:b/>
          <w:bCs w:val="0"/>
          <w:iCs w:val="0"/>
          <w:color w:val="005C84" w:themeColor="text1"/>
          <w:spacing w:val="0"/>
          <w:sz w:val="96"/>
          <w:szCs w:val="96"/>
        </w:rPr>
        <w:t>.</w:t>
      </w:r>
      <w:r>
        <w:rPr>
          <w:rStyle w:val="BookTitle"/>
          <w:b/>
          <w:bCs w:val="0"/>
          <w:iCs w:val="0"/>
          <w:color w:val="005C84" w:themeColor="text1"/>
          <w:spacing w:val="0"/>
          <w:sz w:val="96"/>
          <w:szCs w:val="96"/>
        </w:rPr>
        <w:t xml:space="preserve"> </w:t>
      </w:r>
    </w:p>
    <w:p w:rsidR="00BE26D1" w:rsidRDefault="00BE26D1" w:rsidP="000141D0">
      <w:pPr>
        <w:rPr>
          <w:rStyle w:val="BookTitle"/>
          <w:b/>
          <w:bCs w:val="0"/>
          <w:iCs w:val="0"/>
          <w:color w:val="005C84" w:themeColor="text1"/>
          <w:spacing w:val="0"/>
          <w:sz w:val="96"/>
          <w:szCs w:val="96"/>
        </w:rPr>
      </w:pPr>
      <w:r>
        <w:rPr>
          <w:noProof/>
        </w:rPr>
        <w:drawing>
          <wp:inline distT="0" distB="0" distL="0" distR="0" wp14:anchorId="1B0E2B94" wp14:editId="4AB9EFB4">
            <wp:extent cx="3343275" cy="971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43275" cy="971550"/>
                    </a:xfrm>
                    <a:prstGeom prst="rect">
                      <a:avLst/>
                    </a:prstGeom>
                  </pic:spPr>
                </pic:pic>
              </a:graphicData>
            </a:graphic>
          </wp:inline>
        </w:drawing>
      </w:r>
    </w:p>
    <w:p w:rsidR="00880A05" w:rsidRDefault="00BE26D1" w:rsidP="00880A05">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The Royal Bank of Scotland</w:t>
      </w:r>
      <w:r>
        <w:rPr>
          <w:rFonts w:ascii="Arial" w:hAnsi="Arial" w:cs="Arial"/>
          <w:color w:val="222222"/>
          <w:sz w:val="21"/>
          <w:szCs w:val="21"/>
          <w:shd w:val="clear" w:color="auto" w:fill="FFFFFF"/>
        </w:rPr>
        <w:t> (</w:t>
      </w:r>
      <w:hyperlink r:id="rId131" w:tooltip="Scottish Gaelic language" w:history="1">
        <w:r>
          <w:rPr>
            <w:rStyle w:val="Hyperlink"/>
            <w:rFonts w:ascii="Arial" w:hAnsi="Arial" w:cs="Arial"/>
            <w:color w:val="0B0080"/>
            <w:sz w:val="21"/>
            <w:szCs w:val="21"/>
            <w:shd w:val="clear" w:color="auto" w:fill="FFFFFF"/>
          </w:rPr>
          <w:t>Scottish Gaelic</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gd-GB"/>
        </w:rPr>
        <w:t>Banca Rìoghail na h-Alba</w:t>
      </w:r>
      <w:r>
        <w:rPr>
          <w:rFonts w:ascii="Arial" w:hAnsi="Arial" w:cs="Arial"/>
          <w:color w:val="222222"/>
          <w:sz w:val="21"/>
          <w:szCs w:val="21"/>
          <w:shd w:val="clear" w:color="auto" w:fill="FFFFFF"/>
        </w:rPr>
        <w:t>, </w:t>
      </w:r>
      <w:hyperlink r:id="rId132" w:tooltip="Scots language" w:history="1">
        <w:r>
          <w:rPr>
            <w:rStyle w:val="Hyperlink"/>
            <w:rFonts w:ascii="Arial" w:hAnsi="Arial" w:cs="Arial"/>
            <w:color w:val="0B0080"/>
            <w:sz w:val="21"/>
            <w:szCs w:val="21"/>
            <w:shd w:val="clear" w:color="auto" w:fill="FFFFFF"/>
          </w:rPr>
          <w:t>Scots</w:t>
        </w:r>
      </w:hyperlink>
      <w:r>
        <w:rPr>
          <w:rFonts w:ascii="Arial" w:hAnsi="Arial" w:cs="Arial"/>
          <w:color w:val="222222"/>
          <w:sz w:val="21"/>
          <w:szCs w:val="21"/>
          <w:shd w:val="clear" w:color="auto" w:fill="FFFFFF"/>
        </w:rPr>
        <w:t>: </w:t>
      </w:r>
      <w:proofErr w:type="spellStart"/>
      <w:r>
        <w:rPr>
          <w:rFonts w:ascii="Arial" w:hAnsi="Arial" w:cs="Arial"/>
          <w:i/>
          <w:iCs/>
          <w:color w:val="222222"/>
          <w:sz w:val="21"/>
          <w:szCs w:val="21"/>
          <w:shd w:val="clear" w:color="auto" w:fill="FFFFFF"/>
        </w:rPr>
        <w:t>Ryal</w:t>
      </w:r>
      <w:proofErr w:type="spellEnd"/>
      <w:r>
        <w:rPr>
          <w:rFonts w:ascii="Arial" w:hAnsi="Arial" w:cs="Arial"/>
          <w:i/>
          <w:iCs/>
          <w:color w:val="222222"/>
          <w:sz w:val="21"/>
          <w:szCs w:val="21"/>
          <w:shd w:val="clear" w:color="auto" w:fill="FFFFFF"/>
        </w:rPr>
        <w:t xml:space="preserve"> </w:t>
      </w:r>
      <w:proofErr w:type="spellStart"/>
      <w:r>
        <w:rPr>
          <w:rFonts w:ascii="Arial" w:hAnsi="Arial" w:cs="Arial"/>
          <w:i/>
          <w:iCs/>
          <w:color w:val="222222"/>
          <w:sz w:val="21"/>
          <w:szCs w:val="21"/>
          <w:shd w:val="clear" w:color="auto" w:fill="FFFFFF"/>
        </w:rPr>
        <w:t>Baunk</w:t>
      </w:r>
      <w:proofErr w:type="spellEnd"/>
      <w:r>
        <w:rPr>
          <w:rFonts w:ascii="Arial" w:hAnsi="Arial" w:cs="Arial"/>
          <w:i/>
          <w:iCs/>
          <w:color w:val="222222"/>
          <w:sz w:val="21"/>
          <w:szCs w:val="21"/>
          <w:shd w:val="clear" w:color="auto" w:fill="FFFFFF"/>
        </w:rPr>
        <w:t xml:space="preserve"> o Scotland</w:t>
      </w:r>
      <w:r>
        <w:rPr>
          <w:rFonts w:ascii="Arial" w:hAnsi="Arial" w:cs="Arial"/>
          <w:color w:val="222222"/>
          <w:sz w:val="21"/>
          <w:szCs w:val="21"/>
          <w:shd w:val="clear" w:color="auto" w:fill="FFFFFF"/>
        </w:rPr>
        <w:t>, </w:t>
      </w:r>
      <w:hyperlink r:id="rId133" w:tooltip="Welsh language" w:history="1">
        <w:r>
          <w:rPr>
            <w:rStyle w:val="Hyperlink"/>
            <w:rFonts w:ascii="Arial" w:hAnsi="Arial" w:cs="Arial"/>
            <w:color w:val="0B0080"/>
            <w:sz w:val="21"/>
            <w:szCs w:val="21"/>
            <w:shd w:val="clear" w:color="auto" w:fill="FFFFFF"/>
          </w:rPr>
          <w:t>Welsh</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cy-GB"/>
        </w:rPr>
        <w:t>Banc Brenhinol yr Alban</w:t>
      </w:r>
      <w:r>
        <w:rPr>
          <w:rFonts w:ascii="Arial" w:hAnsi="Arial" w:cs="Arial"/>
          <w:color w:val="222222"/>
          <w:sz w:val="21"/>
          <w:szCs w:val="21"/>
          <w:shd w:val="clear" w:color="auto" w:fill="FFFFFF"/>
        </w:rPr>
        <w:t>),</w:t>
      </w:r>
      <w:hyperlink r:id="rId134"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commonly abbreviated as </w:t>
      </w:r>
      <w:r>
        <w:rPr>
          <w:rFonts w:ascii="Arial" w:hAnsi="Arial" w:cs="Arial"/>
          <w:b/>
          <w:bCs/>
          <w:color w:val="222222"/>
          <w:sz w:val="21"/>
          <w:szCs w:val="21"/>
          <w:shd w:val="clear" w:color="auto" w:fill="FFFFFF"/>
        </w:rPr>
        <w:t>RBS</w:t>
      </w:r>
      <w:r>
        <w:rPr>
          <w:rFonts w:ascii="Arial" w:hAnsi="Arial" w:cs="Arial"/>
          <w:color w:val="222222"/>
          <w:sz w:val="21"/>
          <w:szCs w:val="21"/>
          <w:shd w:val="clear" w:color="auto" w:fill="FFFFFF"/>
        </w:rPr>
        <w:t>, is one of the retail banking subsidiaries of </w:t>
      </w:r>
      <w:hyperlink r:id="rId135" w:tooltip="The Royal Bank of Scotland Group" w:history="1">
        <w:r>
          <w:rPr>
            <w:rStyle w:val="Hyperlink"/>
            <w:rFonts w:ascii="Arial" w:hAnsi="Arial" w:cs="Arial"/>
            <w:color w:val="0B0080"/>
            <w:sz w:val="21"/>
            <w:szCs w:val="21"/>
            <w:shd w:val="clear" w:color="auto" w:fill="FFFFFF"/>
          </w:rPr>
          <w:t>The Royal Bank of Scotland Group</w:t>
        </w:r>
      </w:hyperlink>
      <w:r>
        <w:rPr>
          <w:rFonts w:ascii="Arial" w:hAnsi="Arial" w:cs="Arial"/>
          <w:color w:val="222222"/>
          <w:sz w:val="21"/>
          <w:szCs w:val="21"/>
          <w:shd w:val="clear" w:color="auto" w:fill="FFFFFF"/>
        </w:rPr>
        <w:t> plc, together with </w:t>
      </w:r>
      <w:hyperlink r:id="rId136" w:tooltip="NatWest" w:history="1">
        <w:r>
          <w:rPr>
            <w:rStyle w:val="Hyperlink"/>
            <w:rFonts w:ascii="Arial" w:hAnsi="Arial" w:cs="Arial"/>
            <w:color w:val="0B0080"/>
            <w:sz w:val="21"/>
            <w:szCs w:val="21"/>
            <w:shd w:val="clear" w:color="auto" w:fill="FFFFFF"/>
          </w:rPr>
          <w:t>NatWest</w:t>
        </w:r>
      </w:hyperlink>
      <w:r>
        <w:rPr>
          <w:rFonts w:ascii="Arial" w:hAnsi="Arial" w:cs="Arial"/>
          <w:color w:val="222222"/>
          <w:sz w:val="21"/>
          <w:szCs w:val="21"/>
          <w:shd w:val="clear" w:color="auto" w:fill="FFFFFF"/>
        </w:rPr>
        <w:t> and </w:t>
      </w:r>
      <w:hyperlink r:id="rId137" w:tooltip="Ulster Bank" w:history="1">
        <w:r>
          <w:rPr>
            <w:rStyle w:val="Hyperlink"/>
            <w:rFonts w:ascii="Arial" w:hAnsi="Arial" w:cs="Arial"/>
            <w:color w:val="0B0080"/>
            <w:sz w:val="21"/>
            <w:szCs w:val="21"/>
            <w:shd w:val="clear" w:color="auto" w:fill="FFFFFF"/>
          </w:rPr>
          <w:t>Ulster Bank</w:t>
        </w:r>
      </w:hyperlink>
      <w:r>
        <w:rPr>
          <w:rFonts w:ascii="Arial" w:hAnsi="Arial" w:cs="Arial"/>
          <w:color w:val="222222"/>
          <w:sz w:val="21"/>
          <w:szCs w:val="21"/>
          <w:shd w:val="clear" w:color="auto" w:fill="FFFFFF"/>
        </w:rPr>
        <w:t xml:space="preserve">. The Royal Bank of Scotland has around 700 branches, mainly in Scotland, though there are branches in many larger towns and cities throughout England and Wales. Both the bank and its parent, The Royal Bank of Scotland Group, are </w:t>
      </w:r>
      <w:proofErr w:type="gramStart"/>
      <w:r>
        <w:rPr>
          <w:rFonts w:ascii="Arial" w:hAnsi="Arial" w:cs="Arial"/>
          <w:color w:val="222222"/>
          <w:sz w:val="21"/>
          <w:szCs w:val="21"/>
          <w:shd w:val="clear" w:color="auto" w:fill="FFFFFF"/>
        </w:rPr>
        <w:t>completely separate</w:t>
      </w:r>
      <w:proofErr w:type="gramEnd"/>
      <w:r>
        <w:rPr>
          <w:rFonts w:ascii="Arial" w:hAnsi="Arial" w:cs="Arial"/>
          <w:color w:val="222222"/>
          <w:sz w:val="21"/>
          <w:szCs w:val="21"/>
          <w:shd w:val="clear" w:color="auto" w:fill="FFFFFF"/>
        </w:rPr>
        <w:t xml:space="preserve"> from the fellow Edinburgh-based bank, the </w:t>
      </w:r>
      <w:hyperlink r:id="rId138" w:tooltip="Bank of Scotland" w:history="1">
        <w:r>
          <w:rPr>
            <w:rStyle w:val="Hyperlink"/>
            <w:rFonts w:ascii="Arial" w:hAnsi="Arial" w:cs="Arial"/>
            <w:color w:val="0B0080"/>
            <w:sz w:val="21"/>
            <w:szCs w:val="21"/>
            <w:shd w:val="clear" w:color="auto" w:fill="FFFFFF"/>
          </w:rPr>
          <w:t>Bank of Scotland</w:t>
        </w:r>
      </w:hyperlink>
      <w:r>
        <w:rPr>
          <w:rFonts w:ascii="Arial" w:hAnsi="Arial" w:cs="Arial"/>
          <w:color w:val="222222"/>
          <w:sz w:val="21"/>
          <w:szCs w:val="21"/>
          <w:shd w:val="clear" w:color="auto" w:fill="FFFFFF"/>
        </w:rPr>
        <w:t>, which pre-dates The Royal Bank of Scotland by 32 years. The Bank of Scotland was effective in raising funds for the </w:t>
      </w:r>
      <w:hyperlink r:id="rId139" w:tooltip="Jacobite Rebellion" w:history="1">
        <w:r>
          <w:rPr>
            <w:rStyle w:val="Hyperlink"/>
            <w:rFonts w:ascii="Arial" w:hAnsi="Arial" w:cs="Arial"/>
            <w:color w:val="0B0080"/>
            <w:sz w:val="21"/>
            <w:szCs w:val="21"/>
            <w:shd w:val="clear" w:color="auto" w:fill="FFFFFF"/>
          </w:rPr>
          <w:t>Jacobite Rebellion</w:t>
        </w:r>
      </w:hyperlink>
      <w:r>
        <w:rPr>
          <w:rFonts w:ascii="Arial" w:hAnsi="Arial" w:cs="Arial"/>
          <w:color w:val="222222"/>
          <w:sz w:val="17"/>
          <w:szCs w:val="17"/>
          <w:shd w:val="clear" w:color="auto" w:fill="FFFFFF"/>
          <w:vertAlign w:val="superscript"/>
        </w:rPr>
        <w:t>[</w:t>
      </w:r>
      <w:hyperlink r:id="rId140" w:tooltip="Wikipedia:Please clarify" w:history="1">
        <w:r>
          <w:rPr>
            <w:rStyle w:val="Hyperlink"/>
            <w:rFonts w:ascii="Arial" w:hAnsi="Arial" w:cs="Arial"/>
            <w:i/>
            <w:iCs/>
            <w:color w:val="0B0080"/>
            <w:sz w:val="17"/>
            <w:szCs w:val="17"/>
            <w:shd w:val="clear" w:color="auto" w:fill="FFFFFF"/>
            <w:vertAlign w:val="superscript"/>
          </w:rPr>
          <w:t>clarification needed</w:t>
        </w:r>
      </w:hyperlink>
      <w:r>
        <w:rPr>
          <w:rFonts w:ascii="Arial" w:hAnsi="Arial" w:cs="Arial"/>
          <w:color w:val="222222"/>
          <w:sz w:val="17"/>
          <w:szCs w:val="17"/>
          <w:shd w:val="clear" w:color="auto" w:fill="FFFFFF"/>
          <w:vertAlign w:val="superscript"/>
        </w:rPr>
        <w:t>]</w:t>
      </w:r>
      <w:r>
        <w:rPr>
          <w:rFonts w:ascii="Arial" w:hAnsi="Arial" w:cs="Arial"/>
          <w:color w:val="222222"/>
          <w:sz w:val="21"/>
          <w:szCs w:val="21"/>
          <w:shd w:val="clear" w:color="auto" w:fill="FFFFFF"/>
        </w:rPr>
        <w:t> and as a result, The Royal Bank of Scotland was established in 1724 to provide a bank with strong </w:t>
      </w:r>
      <w:hyperlink r:id="rId141" w:tooltip="House of Hanover" w:history="1">
        <w:r>
          <w:rPr>
            <w:rStyle w:val="Hyperlink"/>
            <w:rFonts w:ascii="Arial" w:hAnsi="Arial" w:cs="Arial"/>
            <w:color w:val="0B0080"/>
            <w:sz w:val="21"/>
            <w:szCs w:val="21"/>
            <w:shd w:val="clear" w:color="auto" w:fill="FFFFFF"/>
          </w:rPr>
          <w:t>Hanoverian</w:t>
        </w:r>
      </w:hyperlink>
      <w:r>
        <w:rPr>
          <w:rFonts w:ascii="Arial" w:hAnsi="Arial" w:cs="Arial"/>
          <w:color w:val="222222"/>
          <w:sz w:val="21"/>
          <w:szCs w:val="21"/>
          <w:shd w:val="clear" w:color="auto" w:fill="FFFFFF"/>
        </w:rPr>
        <w:t> and </w:t>
      </w:r>
      <w:hyperlink r:id="rId142" w:tooltip="Whig (British political faction)" w:history="1">
        <w:r>
          <w:rPr>
            <w:rStyle w:val="Hyperlink"/>
            <w:rFonts w:ascii="Arial" w:hAnsi="Arial" w:cs="Arial"/>
            <w:color w:val="0B0080"/>
            <w:sz w:val="21"/>
            <w:szCs w:val="21"/>
            <w:shd w:val="clear" w:color="auto" w:fill="FFFFFF"/>
          </w:rPr>
          <w:t>Whig</w:t>
        </w:r>
      </w:hyperlink>
      <w:r w:rsidR="00880A05">
        <w:rPr>
          <w:rFonts w:ascii="Arial" w:hAnsi="Arial" w:cs="Arial"/>
          <w:color w:val="222222"/>
          <w:sz w:val="21"/>
          <w:szCs w:val="21"/>
          <w:shd w:val="clear" w:color="auto" w:fill="FFFFFF"/>
        </w:rPr>
        <w:t> ties.</w:t>
      </w:r>
    </w:p>
    <w:p w:rsidR="00880A05" w:rsidRDefault="00880A05" w:rsidP="00880A05">
      <w:pPr>
        <w:rPr>
          <w:rFonts w:ascii="Arial" w:hAnsi="Arial" w:cs="Arial"/>
          <w:color w:val="222222"/>
          <w:sz w:val="21"/>
          <w:szCs w:val="21"/>
          <w:shd w:val="clear" w:color="auto" w:fill="FFFFFF"/>
        </w:rPr>
      </w:pPr>
    </w:p>
    <w:p w:rsidR="00880A05" w:rsidRDefault="00880A05" w:rsidP="00880A05">
      <w:pPr>
        <w:rPr>
          <w:rStyle w:val="BookTitle"/>
          <w:rFonts w:ascii="Arial" w:hAnsi="Arial" w:cs="Arial"/>
          <w:bCs w:val="0"/>
          <w:iCs w:val="0"/>
          <w:color w:val="222222"/>
          <w:spacing w:val="0"/>
          <w:sz w:val="21"/>
          <w:szCs w:val="21"/>
          <w:shd w:val="clear" w:color="auto" w:fill="FFFFFF"/>
        </w:rPr>
      </w:pPr>
      <w:r>
        <w:rPr>
          <w:rStyle w:val="BookTitle"/>
          <w:rFonts w:ascii="Arial" w:hAnsi="Arial" w:cs="Arial"/>
          <w:bCs w:val="0"/>
          <w:iCs w:val="0"/>
          <w:color w:val="222222"/>
          <w:spacing w:val="0"/>
          <w:sz w:val="21"/>
          <w:szCs w:val="21"/>
          <w:shd w:val="clear" w:color="auto" w:fill="FFFFFF"/>
        </w:rPr>
        <w:t>--Prasanth B – Technology Lead</w:t>
      </w:r>
    </w:p>
    <w:p w:rsidR="00880A05" w:rsidRDefault="00880A05" w:rsidP="00880A05">
      <w:pPr>
        <w:rPr>
          <w:rStyle w:val="BookTitle"/>
          <w:rFonts w:ascii="Arial" w:hAnsi="Arial" w:cs="Arial"/>
          <w:bCs w:val="0"/>
          <w:iCs w:val="0"/>
          <w:color w:val="222222"/>
          <w:spacing w:val="0"/>
          <w:sz w:val="21"/>
          <w:szCs w:val="21"/>
          <w:shd w:val="clear" w:color="auto" w:fill="FFFFFF"/>
        </w:rPr>
      </w:pPr>
      <w:r>
        <w:rPr>
          <w:rStyle w:val="BookTitle"/>
          <w:rFonts w:ascii="Arial" w:hAnsi="Arial" w:cs="Arial"/>
          <w:bCs w:val="0"/>
          <w:iCs w:val="0"/>
          <w:color w:val="222222"/>
          <w:spacing w:val="0"/>
          <w:sz w:val="21"/>
          <w:szCs w:val="21"/>
          <w:shd w:val="clear" w:color="auto" w:fill="FFFFFF"/>
        </w:rPr>
        <w:t>--9677736171</w:t>
      </w:r>
    </w:p>
    <w:p w:rsidR="00880A05" w:rsidRDefault="00880A05" w:rsidP="00880A05">
      <w:pPr>
        <w:rPr>
          <w:rStyle w:val="BookTitle"/>
          <w:rFonts w:ascii="Arial" w:hAnsi="Arial" w:cs="Arial"/>
          <w:bCs w:val="0"/>
          <w:iCs w:val="0"/>
          <w:color w:val="222222"/>
          <w:spacing w:val="0"/>
          <w:sz w:val="21"/>
          <w:szCs w:val="21"/>
          <w:shd w:val="clear" w:color="auto" w:fill="FFFFFF"/>
        </w:rPr>
      </w:pPr>
    </w:p>
    <w:p w:rsidR="00880A05" w:rsidRDefault="00880A05" w:rsidP="00880A05">
      <w:pPr>
        <w:rPr>
          <w:rStyle w:val="BookTitle"/>
          <w:rFonts w:ascii="Arial" w:hAnsi="Arial" w:cs="Arial"/>
          <w:bCs w:val="0"/>
          <w:iCs w:val="0"/>
          <w:color w:val="222222"/>
          <w:spacing w:val="0"/>
          <w:sz w:val="21"/>
          <w:szCs w:val="21"/>
          <w:shd w:val="clear" w:color="auto" w:fill="FFFFFF"/>
        </w:rPr>
      </w:pPr>
      <w:r>
        <w:rPr>
          <w:rStyle w:val="BookTitle"/>
          <w:rFonts w:ascii="Arial" w:hAnsi="Arial" w:cs="Arial"/>
          <w:bCs w:val="0"/>
          <w:iCs w:val="0"/>
          <w:color w:val="222222"/>
          <w:spacing w:val="0"/>
          <w:sz w:val="21"/>
          <w:szCs w:val="21"/>
          <w:shd w:val="clear" w:color="auto" w:fill="FFFFFF"/>
        </w:rPr>
        <w:t>SALESFORCE</w:t>
      </w:r>
    </w:p>
    <w:p w:rsidR="00880A05" w:rsidRDefault="00880A05" w:rsidP="00880A05">
      <w:pPr>
        <w:rPr>
          <w:rStyle w:val="BookTitle"/>
          <w:rFonts w:ascii="Arial" w:hAnsi="Arial" w:cs="Arial"/>
          <w:bCs w:val="0"/>
          <w:iCs w:val="0"/>
          <w:color w:val="222222"/>
          <w:spacing w:val="0"/>
          <w:sz w:val="21"/>
          <w:szCs w:val="21"/>
          <w:shd w:val="clear" w:color="auto" w:fill="FFFFFF"/>
        </w:rPr>
      </w:pPr>
    </w:p>
    <w:p w:rsidR="00880A05" w:rsidRPr="00880A05" w:rsidRDefault="00880A05" w:rsidP="00880A05">
      <w:pPr>
        <w:rPr>
          <w:rStyle w:val="BookTitle"/>
          <w:rFonts w:ascii="Arial" w:hAnsi="Arial" w:cs="Arial"/>
          <w:bCs w:val="0"/>
          <w:iCs w:val="0"/>
          <w:color w:val="222222"/>
          <w:spacing w:val="0"/>
          <w:sz w:val="21"/>
          <w:szCs w:val="21"/>
          <w:shd w:val="clear" w:color="auto" w:fill="FFFFFF"/>
        </w:rPr>
      </w:pPr>
      <w:r>
        <w:rPr>
          <w:rStyle w:val="BookTitle"/>
          <w:rFonts w:ascii="Arial" w:hAnsi="Arial" w:cs="Arial"/>
          <w:bCs w:val="0"/>
          <w:iCs w:val="0"/>
          <w:noProof/>
          <w:color w:val="222222"/>
          <w:spacing w:val="0"/>
          <w:sz w:val="21"/>
          <w:szCs w:val="21"/>
          <w:shd w:val="clear" w:color="auto" w:fill="FFFFFF"/>
        </w:rPr>
        <w:drawing>
          <wp:inline distT="0" distB="0" distL="0" distR="0">
            <wp:extent cx="3810000" cy="2374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0" cy="2374900"/>
                    </a:xfrm>
                    <a:prstGeom prst="rect">
                      <a:avLst/>
                    </a:prstGeom>
                    <a:noFill/>
                    <a:ln>
                      <a:noFill/>
                    </a:ln>
                  </pic:spPr>
                </pic:pic>
              </a:graphicData>
            </a:graphic>
          </wp:inline>
        </w:drawing>
      </w:r>
    </w:p>
    <w:p w:rsidR="00880A05" w:rsidRDefault="00880A05" w:rsidP="000141D0">
      <w:pPr>
        <w:rPr>
          <w:rStyle w:val="BookTitle"/>
          <w:b/>
          <w:bCs w:val="0"/>
          <w:iCs w:val="0"/>
          <w:color w:val="005C84" w:themeColor="text1"/>
          <w:spacing w:val="0"/>
          <w:sz w:val="96"/>
          <w:szCs w:val="96"/>
        </w:rPr>
      </w:pP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t>8</w:t>
      </w:r>
      <w:r w:rsidRPr="000141D0">
        <w:rPr>
          <w:rStyle w:val="BookTitle"/>
          <w:b/>
          <w:bCs w:val="0"/>
          <w:iCs w:val="0"/>
          <w:color w:val="005C84" w:themeColor="text1"/>
          <w:spacing w:val="0"/>
          <w:sz w:val="96"/>
          <w:szCs w:val="96"/>
        </w:rPr>
        <w:t>.</w:t>
      </w:r>
    </w:p>
    <w:p w:rsidR="00BE26D1" w:rsidRDefault="00BE26D1" w:rsidP="000141D0">
      <w:pPr>
        <w:rPr>
          <w:rStyle w:val="BookTitle"/>
          <w:b/>
          <w:bCs w:val="0"/>
          <w:iCs w:val="0"/>
          <w:color w:val="005C84" w:themeColor="text1"/>
          <w:spacing w:val="0"/>
          <w:sz w:val="96"/>
          <w:szCs w:val="96"/>
        </w:rPr>
      </w:pPr>
      <w:r>
        <w:rPr>
          <w:noProof/>
        </w:rPr>
        <w:drawing>
          <wp:inline distT="0" distB="0" distL="0" distR="0" wp14:anchorId="1D038761" wp14:editId="19F20E54">
            <wp:extent cx="276225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62250" cy="1790700"/>
                    </a:xfrm>
                    <a:prstGeom prst="rect">
                      <a:avLst/>
                    </a:prstGeom>
                  </pic:spPr>
                </pic:pic>
              </a:graphicData>
            </a:graphic>
          </wp:inline>
        </w:drawing>
      </w:r>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Wipro Limited</w:t>
      </w:r>
      <w:r>
        <w:rPr>
          <w:rFonts w:ascii="Arial" w:hAnsi="Arial" w:cs="Arial"/>
          <w:color w:val="222222"/>
          <w:sz w:val="21"/>
          <w:szCs w:val="21"/>
        </w:rPr>
        <w:t> (</w:t>
      </w:r>
      <w:r>
        <w:rPr>
          <w:rFonts w:ascii="Arial" w:hAnsi="Arial" w:cs="Arial"/>
          <w:b/>
          <w:bCs/>
          <w:color w:val="222222"/>
          <w:sz w:val="21"/>
          <w:szCs w:val="21"/>
        </w:rPr>
        <w:t>Western India Palm Refined Oils Limited</w:t>
      </w:r>
      <w:hyperlink r:id="rId145" w:anchor="cite_note-businesstodayin-4" w:history="1">
        <w:r>
          <w:rPr>
            <w:rStyle w:val="Hyperlink"/>
            <w:rFonts w:ascii="Arial" w:eastAsiaTheme="minorEastAsia" w:hAnsi="Arial" w:cs="Arial"/>
            <w:color w:val="0B0080"/>
            <w:sz w:val="17"/>
            <w:szCs w:val="17"/>
            <w:vertAlign w:val="superscript"/>
          </w:rPr>
          <w:t>[4]</w:t>
        </w:r>
      </w:hyperlink>
      <w:r>
        <w:rPr>
          <w:rFonts w:ascii="Arial" w:hAnsi="Arial" w:cs="Arial"/>
          <w:color w:val="222222"/>
          <w:sz w:val="21"/>
          <w:szCs w:val="21"/>
        </w:rPr>
        <w:t> or more recently, </w:t>
      </w:r>
      <w:r>
        <w:rPr>
          <w:rFonts w:ascii="Arial" w:hAnsi="Arial" w:cs="Arial"/>
          <w:b/>
          <w:bCs/>
          <w:color w:val="222222"/>
          <w:sz w:val="21"/>
          <w:szCs w:val="21"/>
        </w:rPr>
        <w:t>Western India Products Limited</w:t>
      </w:r>
      <w:hyperlink r:id="rId146" w:anchor="cite_note-NPHistory-1" w:history="1">
        <w:r>
          <w:rPr>
            <w:rStyle w:val="Hyperlink"/>
            <w:rFonts w:ascii="Arial" w:eastAsiaTheme="minorEastAsia" w:hAnsi="Arial" w:cs="Arial"/>
            <w:color w:val="0B0080"/>
            <w:sz w:val="17"/>
            <w:szCs w:val="17"/>
            <w:vertAlign w:val="superscript"/>
          </w:rPr>
          <w:t>[1]</w:t>
        </w:r>
      </w:hyperlink>
      <w:r>
        <w:rPr>
          <w:rFonts w:ascii="Arial" w:hAnsi="Arial" w:cs="Arial"/>
          <w:color w:val="222222"/>
          <w:sz w:val="21"/>
          <w:szCs w:val="21"/>
        </w:rPr>
        <w:t>) is an Indian Information Technology Services corporation headquartered in </w:t>
      </w:r>
      <w:hyperlink r:id="rId147" w:tooltip="Bengaluru, India" w:history="1">
        <w:r>
          <w:rPr>
            <w:rStyle w:val="Hyperlink"/>
            <w:rFonts w:ascii="Arial" w:eastAsiaTheme="minorEastAsia" w:hAnsi="Arial" w:cs="Arial"/>
            <w:color w:val="0B0080"/>
            <w:sz w:val="21"/>
            <w:szCs w:val="21"/>
          </w:rPr>
          <w:t>Bengaluru, India</w:t>
        </w:r>
      </w:hyperlink>
      <w:r>
        <w:rPr>
          <w:rFonts w:ascii="Arial" w:hAnsi="Arial" w:cs="Arial"/>
          <w:color w:val="222222"/>
          <w:sz w:val="21"/>
          <w:szCs w:val="21"/>
        </w:rPr>
        <w:t>.</w:t>
      </w:r>
      <w:hyperlink r:id="rId148" w:anchor="cite_note-Wipro_Ltd._-_Company_Information-5" w:history="1">
        <w:r>
          <w:rPr>
            <w:rStyle w:val="Hyperlink"/>
            <w:rFonts w:ascii="Arial" w:eastAsiaTheme="minorEastAsia" w:hAnsi="Arial" w:cs="Arial"/>
            <w:color w:val="0B0080"/>
            <w:sz w:val="17"/>
            <w:szCs w:val="17"/>
            <w:vertAlign w:val="superscript"/>
          </w:rPr>
          <w:t>[5]</w:t>
        </w:r>
      </w:hyperlink>
    </w:p>
    <w:p w:rsidR="00880A05" w:rsidRDefault="00BE26D1" w:rsidP="00BE26D1">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rPr>
        <w:t xml:space="preserve">In 2013, Wipro demerged its non-IT businesses into separate companies to bring in more focus on independent businesses. </w:t>
      </w:r>
      <w:r>
        <w:rPr>
          <w:rFonts w:ascii="Arial" w:hAnsi="Arial" w:cs="Arial"/>
          <w:color w:val="222222"/>
          <w:sz w:val="21"/>
          <w:szCs w:val="21"/>
          <w:shd w:val="clear" w:color="auto" w:fill="FFFFFF"/>
        </w:rPr>
        <w:t>Wipro has been ranked 1st in the 2010 Asian Sustainability Rating (ASR) of Indian companies</w:t>
      </w:r>
      <w:hyperlink r:id="rId149" w:anchor="cite_note-Wipro_continues_to_lead_in_sustainability_disclosures-74" w:history="1">
        <w:r>
          <w:rPr>
            <w:rStyle w:val="Hyperlink"/>
            <w:rFonts w:ascii="Arial" w:hAnsi="Arial" w:cs="Arial"/>
            <w:color w:val="0B0080"/>
            <w:sz w:val="17"/>
            <w:szCs w:val="17"/>
            <w:shd w:val="clear" w:color="auto" w:fill="FFFFFF"/>
            <w:vertAlign w:val="superscript"/>
          </w:rPr>
          <w:t>[74]</w:t>
        </w:r>
      </w:hyperlink>
      <w:r>
        <w:rPr>
          <w:rFonts w:ascii="Arial" w:hAnsi="Arial" w:cs="Arial"/>
          <w:color w:val="222222"/>
          <w:sz w:val="21"/>
          <w:szCs w:val="21"/>
          <w:shd w:val="clear" w:color="auto" w:fill="FFFFFF"/>
        </w:rPr>
        <w:t> and is a member of the </w:t>
      </w:r>
      <w:hyperlink r:id="rId150" w:tooltip="NASDAQ" w:history="1">
        <w:r>
          <w:rPr>
            <w:rStyle w:val="Hyperlink"/>
            <w:rFonts w:ascii="Arial" w:hAnsi="Arial" w:cs="Arial"/>
            <w:color w:val="0B0080"/>
            <w:sz w:val="21"/>
            <w:szCs w:val="21"/>
            <w:shd w:val="clear" w:color="auto" w:fill="FFFFFF"/>
          </w:rPr>
          <w:t>NASDAQ</w:t>
        </w:r>
      </w:hyperlink>
      <w:r>
        <w:rPr>
          <w:rFonts w:ascii="Arial" w:hAnsi="Arial" w:cs="Arial"/>
          <w:color w:val="222222"/>
          <w:sz w:val="21"/>
          <w:szCs w:val="21"/>
          <w:shd w:val="clear" w:color="auto" w:fill="FFFFFF"/>
        </w:rPr>
        <w:t> Global Sustainability Index</w:t>
      </w:r>
      <w:hyperlink r:id="rId151" w:anchor="cite_note-Nasdaq-100_includes_Wipro_in_Global_Sustainability_Index-75" w:history="1">
        <w:r>
          <w:rPr>
            <w:rStyle w:val="Hyperlink"/>
            <w:rFonts w:ascii="Arial" w:hAnsi="Arial" w:cs="Arial"/>
            <w:color w:val="0B0080"/>
            <w:sz w:val="17"/>
            <w:szCs w:val="17"/>
            <w:shd w:val="clear" w:color="auto" w:fill="FFFFFF"/>
            <w:vertAlign w:val="superscript"/>
          </w:rPr>
          <w:t>[75]</w:t>
        </w:r>
      </w:hyperlink>
      <w:r>
        <w:rPr>
          <w:rFonts w:ascii="Arial" w:hAnsi="Arial" w:cs="Arial"/>
          <w:color w:val="222222"/>
          <w:sz w:val="21"/>
          <w:szCs w:val="21"/>
          <w:shd w:val="clear" w:color="auto" w:fill="FFFFFF"/>
        </w:rPr>
        <w:t> as well as the </w:t>
      </w:r>
      <w:hyperlink r:id="rId152" w:tooltip="Dow Jones Sustainability Index" w:history="1">
        <w:r>
          <w:rPr>
            <w:rStyle w:val="Hyperlink"/>
            <w:rFonts w:ascii="Arial" w:hAnsi="Arial" w:cs="Arial"/>
            <w:color w:val="0B0080"/>
            <w:sz w:val="21"/>
            <w:szCs w:val="21"/>
            <w:shd w:val="clear" w:color="auto" w:fill="FFFFFF"/>
          </w:rPr>
          <w:t>Dow Jones Sustainability Index</w:t>
        </w:r>
      </w:hyperlink>
      <w:r w:rsidR="00880A05">
        <w:rPr>
          <w:rFonts w:ascii="Arial" w:hAnsi="Arial" w:cs="Arial"/>
          <w:color w:val="222222"/>
          <w:sz w:val="21"/>
          <w:szCs w:val="21"/>
          <w:shd w:val="clear" w:color="auto" w:fill="FFFFFF"/>
        </w:rPr>
        <w:t>.</w:t>
      </w:r>
    </w:p>
    <w:p w:rsidR="00880A05" w:rsidRDefault="00880A05" w:rsidP="00BE26D1">
      <w:pPr>
        <w:pStyle w:val="NormalWeb"/>
        <w:shd w:val="clear" w:color="auto" w:fill="FFFFFF"/>
        <w:spacing w:before="120" w:beforeAutospacing="0" w:after="120" w:afterAutospacing="0"/>
        <w:rPr>
          <w:rFonts w:ascii="Arial" w:hAnsi="Arial" w:cs="Arial"/>
          <w:color w:val="222222"/>
          <w:sz w:val="21"/>
          <w:szCs w:val="21"/>
          <w:shd w:val="clear" w:color="auto" w:fill="FFFFFF"/>
        </w:rPr>
      </w:pPr>
    </w:p>
    <w:p w:rsidR="00880A05" w:rsidRDefault="00880A05" w:rsidP="00BE26D1">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Gurumoorthy</w:t>
      </w:r>
      <w:proofErr w:type="spellEnd"/>
      <w:r>
        <w:rPr>
          <w:rFonts w:ascii="Arial" w:hAnsi="Arial" w:cs="Arial"/>
          <w:color w:val="222222"/>
          <w:sz w:val="21"/>
          <w:szCs w:val="21"/>
          <w:shd w:val="clear" w:color="auto" w:fill="FFFFFF"/>
        </w:rPr>
        <w:t xml:space="preserve"> Muthiah – Operation Process Executive</w:t>
      </w:r>
    </w:p>
    <w:p w:rsidR="00880A05" w:rsidRPr="00880A05" w:rsidRDefault="00880A05" w:rsidP="00BE26D1">
      <w:pPr>
        <w:pStyle w:val="NormalWeb"/>
        <w:shd w:val="clear" w:color="auto" w:fill="FFFFFF"/>
        <w:spacing w:before="120" w:beforeAutospacing="0" w:after="120" w:afterAutospacing="0"/>
        <w:rPr>
          <w:rStyle w:val="BookTitle"/>
          <w:rFonts w:ascii="Arial" w:hAnsi="Arial" w:cs="Arial"/>
          <w:bCs w:val="0"/>
          <w:iCs w:val="0"/>
          <w:color w:val="222222"/>
          <w:spacing w:val="0"/>
          <w:sz w:val="21"/>
          <w:szCs w:val="21"/>
          <w:shd w:val="clear" w:color="auto" w:fill="FFFFFF"/>
        </w:rPr>
      </w:pPr>
      <w:r>
        <w:rPr>
          <w:rFonts w:ascii="Arial" w:hAnsi="Arial" w:cs="Arial"/>
          <w:color w:val="222222"/>
          <w:sz w:val="21"/>
          <w:szCs w:val="21"/>
          <w:shd w:val="clear" w:color="auto" w:fill="FFFFFF"/>
        </w:rPr>
        <w:t>--- Number</w:t>
      </w:r>
    </w:p>
    <w:p w:rsidR="00880A05" w:rsidRDefault="00880A05" w:rsidP="00BE26D1">
      <w:pPr>
        <w:pStyle w:val="NormalWeb"/>
        <w:shd w:val="clear" w:color="auto" w:fill="FFFFFF"/>
        <w:spacing w:before="120" w:beforeAutospacing="0" w:after="120" w:afterAutospacing="0"/>
        <w:rPr>
          <w:rStyle w:val="BookTitle"/>
          <w:b/>
          <w:bCs w:val="0"/>
          <w:iCs w:val="0"/>
          <w:color w:val="005C84" w:themeColor="text1"/>
          <w:spacing w:val="0"/>
          <w:sz w:val="96"/>
          <w:szCs w:val="96"/>
        </w:rPr>
      </w:pPr>
      <w:r>
        <w:rPr>
          <w:rStyle w:val="BookTitle"/>
          <w:b/>
          <w:bCs w:val="0"/>
          <w:iCs w:val="0"/>
          <w:color w:val="005C84" w:themeColor="text1"/>
          <w:spacing w:val="0"/>
          <w:sz w:val="96"/>
          <w:szCs w:val="96"/>
        </w:rPr>
        <w:lastRenderedPageBreak/>
        <w:t>SAP HANA</w:t>
      </w:r>
    </w:p>
    <w:p w:rsidR="00880A05" w:rsidRDefault="00880A05" w:rsidP="00BE26D1">
      <w:pPr>
        <w:pStyle w:val="NormalWeb"/>
        <w:shd w:val="clear" w:color="auto" w:fill="FFFFFF"/>
        <w:spacing w:before="120" w:beforeAutospacing="0" w:after="120" w:afterAutospacing="0"/>
        <w:rPr>
          <w:rStyle w:val="BookTitle"/>
          <w:b/>
          <w:bCs w:val="0"/>
          <w:iCs w:val="0"/>
          <w:color w:val="005C84" w:themeColor="text1"/>
          <w:spacing w:val="0"/>
          <w:sz w:val="96"/>
          <w:szCs w:val="96"/>
        </w:rPr>
      </w:pPr>
      <w:r>
        <w:rPr>
          <w:rStyle w:val="BookTitle"/>
          <w:b/>
          <w:bCs w:val="0"/>
          <w:iCs w:val="0"/>
          <w:noProof/>
          <w:color w:val="005C84" w:themeColor="text1"/>
          <w:spacing w:val="0"/>
          <w:sz w:val="96"/>
          <w:szCs w:val="96"/>
        </w:rPr>
        <w:drawing>
          <wp:inline distT="0" distB="0" distL="0" distR="0">
            <wp:extent cx="6311900" cy="392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311900" cy="3924300"/>
                    </a:xfrm>
                    <a:prstGeom prst="rect">
                      <a:avLst/>
                    </a:prstGeom>
                    <a:noFill/>
                    <a:ln>
                      <a:noFill/>
                    </a:ln>
                  </pic:spPr>
                </pic:pic>
              </a:graphicData>
            </a:graphic>
          </wp:inline>
        </w:drawing>
      </w:r>
    </w:p>
    <w:p w:rsidR="00880A05" w:rsidRDefault="00880A05" w:rsidP="000141D0">
      <w:pPr>
        <w:rPr>
          <w:rStyle w:val="BookTitle"/>
          <w:b/>
          <w:bCs w:val="0"/>
          <w:iCs w:val="0"/>
          <w:color w:val="005C84" w:themeColor="text1"/>
          <w:spacing w:val="0"/>
          <w:sz w:val="96"/>
          <w:szCs w:val="96"/>
        </w:rPr>
      </w:pPr>
    </w:p>
    <w:p w:rsidR="000141D0"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t>9</w:t>
      </w:r>
      <w:r w:rsidRPr="000141D0">
        <w:rPr>
          <w:rStyle w:val="BookTitle"/>
          <w:b/>
          <w:bCs w:val="0"/>
          <w:iCs w:val="0"/>
          <w:color w:val="005C84" w:themeColor="text1"/>
          <w:spacing w:val="0"/>
          <w:sz w:val="96"/>
          <w:szCs w:val="96"/>
        </w:rPr>
        <w:t>.</w:t>
      </w:r>
    </w:p>
    <w:p w:rsidR="00BE26D1" w:rsidRDefault="00BE26D1" w:rsidP="000141D0">
      <w:pPr>
        <w:rPr>
          <w:rStyle w:val="BookTitle"/>
          <w:b/>
          <w:bCs w:val="0"/>
          <w:iCs w:val="0"/>
          <w:color w:val="005C84" w:themeColor="text1"/>
          <w:spacing w:val="0"/>
          <w:sz w:val="96"/>
          <w:szCs w:val="96"/>
        </w:rPr>
      </w:pPr>
      <w:r>
        <w:rPr>
          <w:noProof/>
        </w:rPr>
        <w:drawing>
          <wp:inline distT="0" distB="0" distL="0" distR="0" wp14:anchorId="28C7DD80" wp14:editId="1235389A">
            <wp:extent cx="3190875" cy="1438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190875" cy="1438275"/>
                    </a:xfrm>
                    <a:prstGeom prst="rect">
                      <a:avLst/>
                    </a:prstGeom>
                  </pic:spPr>
                </pic:pic>
              </a:graphicData>
            </a:graphic>
          </wp:inline>
        </w:drawing>
      </w:r>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Tata Consultancy Services Limited</w:t>
      </w:r>
      <w:r>
        <w:rPr>
          <w:rFonts w:ascii="Arial" w:hAnsi="Arial" w:cs="Arial"/>
          <w:color w:val="222222"/>
          <w:sz w:val="21"/>
          <w:szCs w:val="21"/>
        </w:rPr>
        <w:t> (</w:t>
      </w:r>
      <w:r>
        <w:rPr>
          <w:rFonts w:ascii="Arial" w:hAnsi="Arial" w:cs="Arial"/>
          <w:b/>
          <w:bCs/>
          <w:color w:val="222222"/>
          <w:sz w:val="21"/>
          <w:szCs w:val="21"/>
        </w:rPr>
        <w:t>TCS</w:t>
      </w:r>
      <w:r>
        <w:rPr>
          <w:rFonts w:ascii="Arial" w:hAnsi="Arial" w:cs="Arial"/>
          <w:color w:val="222222"/>
          <w:sz w:val="21"/>
          <w:szCs w:val="21"/>
        </w:rPr>
        <w:t>) is an Indian </w:t>
      </w:r>
      <w:hyperlink r:id="rId155" w:tooltip="Multinational corporation" w:history="1">
        <w:r>
          <w:rPr>
            <w:rStyle w:val="Hyperlink"/>
            <w:rFonts w:ascii="Arial" w:eastAsiaTheme="minorEastAsia" w:hAnsi="Arial" w:cs="Arial"/>
            <w:color w:val="0B0080"/>
            <w:sz w:val="21"/>
            <w:szCs w:val="21"/>
          </w:rPr>
          <w:t>multinational</w:t>
        </w:r>
      </w:hyperlink>
      <w:r>
        <w:rPr>
          <w:rFonts w:ascii="Arial" w:hAnsi="Arial" w:cs="Arial"/>
          <w:color w:val="222222"/>
          <w:sz w:val="21"/>
          <w:szCs w:val="21"/>
        </w:rPr>
        <w:t> </w:t>
      </w:r>
      <w:hyperlink r:id="rId156" w:tooltip="Information technology" w:history="1">
        <w:r>
          <w:rPr>
            <w:rStyle w:val="Hyperlink"/>
            <w:rFonts w:ascii="Arial" w:eastAsiaTheme="minorEastAsia" w:hAnsi="Arial" w:cs="Arial"/>
            <w:color w:val="0B0080"/>
            <w:sz w:val="21"/>
            <w:szCs w:val="21"/>
          </w:rPr>
          <w:t>information technology</w:t>
        </w:r>
      </w:hyperlink>
      <w:r>
        <w:rPr>
          <w:rFonts w:ascii="Arial" w:hAnsi="Arial" w:cs="Arial"/>
          <w:color w:val="222222"/>
          <w:sz w:val="21"/>
          <w:szCs w:val="21"/>
        </w:rPr>
        <w:t> (IT) </w:t>
      </w:r>
      <w:hyperlink r:id="rId157" w:tooltip="Service (economics)" w:history="1">
        <w:r>
          <w:rPr>
            <w:rStyle w:val="Hyperlink"/>
            <w:rFonts w:ascii="Arial" w:eastAsiaTheme="minorEastAsia" w:hAnsi="Arial" w:cs="Arial"/>
            <w:color w:val="0B0080"/>
            <w:sz w:val="21"/>
            <w:szCs w:val="21"/>
          </w:rPr>
          <w:t>service</w:t>
        </w:r>
      </w:hyperlink>
      <w:r>
        <w:rPr>
          <w:rFonts w:ascii="Arial" w:hAnsi="Arial" w:cs="Arial"/>
          <w:color w:val="222222"/>
          <w:sz w:val="21"/>
          <w:szCs w:val="21"/>
        </w:rPr>
        <w:t>, </w:t>
      </w:r>
      <w:hyperlink r:id="rId158" w:tooltip="Information technology consulting" w:history="1">
        <w:r>
          <w:rPr>
            <w:rStyle w:val="Hyperlink"/>
            <w:rFonts w:ascii="Arial" w:eastAsiaTheme="minorEastAsia" w:hAnsi="Arial" w:cs="Arial"/>
            <w:color w:val="0B0080"/>
            <w:sz w:val="21"/>
            <w:szCs w:val="21"/>
          </w:rPr>
          <w:t>consulting</w:t>
        </w:r>
      </w:hyperlink>
      <w:r>
        <w:rPr>
          <w:rFonts w:ascii="Arial" w:hAnsi="Arial" w:cs="Arial"/>
          <w:color w:val="222222"/>
          <w:sz w:val="21"/>
          <w:szCs w:val="21"/>
        </w:rPr>
        <w:t> and business solutions company </w:t>
      </w:r>
      <w:hyperlink r:id="rId159" w:tooltip="Headquarter" w:history="1">
        <w:r>
          <w:rPr>
            <w:rStyle w:val="Hyperlink"/>
            <w:rFonts w:ascii="Arial" w:eastAsiaTheme="minorEastAsia" w:hAnsi="Arial" w:cs="Arial"/>
            <w:color w:val="0B0080"/>
            <w:sz w:val="21"/>
            <w:szCs w:val="21"/>
          </w:rPr>
          <w:t>Headquartered</w:t>
        </w:r>
      </w:hyperlink>
      <w:r>
        <w:rPr>
          <w:rFonts w:ascii="Arial" w:hAnsi="Arial" w:cs="Arial"/>
          <w:color w:val="222222"/>
          <w:sz w:val="21"/>
          <w:szCs w:val="21"/>
        </w:rPr>
        <w:t> in </w:t>
      </w:r>
      <w:hyperlink r:id="rId160" w:tooltip="Mumbai" w:history="1">
        <w:r>
          <w:rPr>
            <w:rStyle w:val="Hyperlink"/>
            <w:rFonts w:ascii="Arial" w:eastAsiaTheme="minorEastAsia" w:hAnsi="Arial" w:cs="Arial"/>
            <w:color w:val="0B0080"/>
            <w:sz w:val="21"/>
            <w:szCs w:val="21"/>
          </w:rPr>
          <w:t>Mumbai</w:t>
        </w:r>
      </w:hyperlink>
      <w:r>
        <w:rPr>
          <w:rFonts w:ascii="Arial" w:hAnsi="Arial" w:cs="Arial"/>
          <w:color w:val="222222"/>
          <w:sz w:val="21"/>
          <w:szCs w:val="21"/>
        </w:rPr>
        <w:t>, </w:t>
      </w:r>
      <w:hyperlink r:id="rId161" w:tooltip="Maharashtra" w:history="1">
        <w:r>
          <w:rPr>
            <w:rStyle w:val="Hyperlink"/>
            <w:rFonts w:ascii="Arial" w:eastAsiaTheme="minorEastAsia" w:hAnsi="Arial" w:cs="Arial"/>
            <w:color w:val="0B0080"/>
            <w:sz w:val="21"/>
            <w:szCs w:val="21"/>
          </w:rPr>
          <w:t>Maharashtra</w:t>
        </w:r>
      </w:hyperlink>
      <w:r>
        <w:rPr>
          <w:rFonts w:ascii="Arial" w:hAnsi="Arial" w:cs="Arial"/>
          <w:color w:val="222222"/>
          <w:sz w:val="21"/>
          <w:szCs w:val="21"/>
        </w:rPr>
        <w:t>.</w:t>
      </w:r>
      <w:hyperlink r:id="rId162" w:anchor="cite_note-3" w:history="1">
        <w:r>
          <w:rPr>
            <w:rStyle w:val="Hyperlink"/>
            <w:rFonts w:ascii="Arial" w:eastAsiaTheme="minorEastAsia" w:hAnsi="Arial" w:cs="Arial"/>
            <w:color w:val="0B0080"/>
            <w:sz w:val="17"/>
            <w:szCs w:val="17"/>
            <w:vertAlign w:val="superscript"/>
          </w:rPr>
          <w:t>[3]</w:t>
        </w:r>
      </w:hyperlink>
      <w:hyperlink r:id="rId163" w:anchor="cite_note-4" w:history="1">
        <w:r>
          <w:rPr>
            <w:rStyle w:val="Hyperlink"/>
            <w:rFonts w:ascii="Arial" w:eastAsiaTheme="minorEastAsia" w:hAnsi="Arial" w:cs="Arial"/>
            <w:color w:val="0B0080"/>
            <w:sz w:val="17"/>
            <w:szCs w:val="17"/>
            <w:vertAlign w:val="superscript"/>
          </w:rPr>
          <w:t>[4]</w:t>
        </w:r>
      </w:hyperlink>
      <w:r>
        <w:rPr>
          <w:rFonts w:ascii="Arial" w:hAnsi="Arial" w:cs="Arial"/>
          <w:color w:val="222222"/>
          <w:sz w:val="21"/>
          <w:szCs w:val="21"/>
        </w:rPr>
        <w:t> It is a subsidiary of the </w:t>
      </w:r>
      <w:hyperlink r:id="rId164" w:tooltip="Tata Group" w:history="1">
        <w:r>
          <w:rPr>
            <w:rStyle w:val="Hyperlink"/>
            <w:rFonts w:ascii="Arial" w:eastAsiaTheme="minorEastAsia" w:hAnsi="Arial" w:cs="Arial"/>
            <w:color w:val="0B0080"/>
            <w:sz w:val="21"/>
            <w:szCs w:val="21"/>
          </w:rPr>
          <w:t>Tata Group</w:t>
        </w:r>
      </w:hyperlink>
      <w:r>
        <w:rPr>
          <w:rFonts w:ascii="Arial" w:hAnsi="Arial" w:cs="Arial"/>
          <w:color w:val="222222"/>
          <w:sz w:val="21"/>
          <w:szCs w:val="21"/>
        </w:rPr>
        <w:t> and operates in 46 countries.</w:t>
      </w:r>
      <w:hyperlink r:id="rId165" w:anchor="cite_note-TCS_Investor_FAQs-5" w:history="1">
        <w:r>
          <w:rPr>
            <w:rStyle w:val="Hyperlink"/>
            <w:rFonts w:ascii="Arial" w:eastAsiaTheme="minorEastAsia" w:hAnsi="Arial" w:cs="Arial"/>
            <w:color w:val="0B0080"/>
            <w:sz w:val="17"/>
            <w:szCs w:val="17"/>
            <w:vertAlign w:val="superscript"/>
          </w:rPr>
          <w:t>[5]</w:t>
        </w:r>
      </w:hyperlink>
    </w:p>
    <w:p w:rsidR="00BE26D1" w:rsidRDefault="00BE26D1"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TCS is one of the largest Indian companies by </w:t>
      </w:r>
      <w:hyperlink r:id="rId166" w:tooltip="Market capitalization" w:history="1">
        <w:r>
          <w:rPr>
            <w:rStyle w:val="Hyperlink"/>
            <w:rFonts w:ascii="Arial" w:eastAsiaTheme="minorEastAsia" w:hAnsi="Arial" w:cs="Arial"/>
            <w:color w:val="0B0080"/>
            <w:sz w:val="21"/>
            <w:szCs w:val="21"/>
          </w:rPr>
          <w:t>market capitalization</w:t>
        </w:r>
      </w:hyperlink>
      <w:r>
        <w:rPr>
          <w:rFonts w:ascii="Arial" w:hAnsi="Arial" w:cs="Arial"/>
          <w:color w:val="222222"/>
          <w:sz w:val="21"/>
          <w:szCs w:val="21"/>
        </w:rPr>
        <w:t> ($80 billion).</w:t>
      </w:r>
      <w:hyperlink r:id="rId167" w:anchor="cite_note-6" w:history="1">
        <w:r>
          <w:rPr>
            <w:rStyle w:val="Hyperlink"/>
            <w:rFonts w:ascii="Arial" w:eastAsiaTheme="minorEastAsia" w:hAnsi="Arial" w:cs="Arial"/>
            <w:color w:val="0B0080"/>
            <w:sz w:val="17"/>
            <w:szCs w:val="17"/>
            <w:vertAlign w:val="superscript"/>
          </w:rPr>
          <w:t>[6]</w:t>
        </w:r>
      </w:hyperlink>
      <w:hyperlink r:id="rId168" w:anchor="cite_note-7" w:history="1">
        <w:r>
          <w:rPr>
            <w:rStyle w:val="Hyperlink"/>
            <w:rFonts w:ascii="Arial" w:eastAsiaTheme="minorEastAsia" w:hAnsi="Arial" w:cs="Arial"/>
            <w:color w:val="0B0080"/>
            <w:sz w:val="17"/>
            <w:szCs w:val="17"/>
            <w:vertAlign w:val="superscript"/>
          </w:rPr>
          <w:t>[7]</w:t>
        </w:r>
      </w:hyperlink>
      <w:r>
        <w:rPr>
          <w:rFonts w:ascii="Arial" w:hAnsi="Arial" w:cs="Arial"/>
          <w:color w:val="222222"/>
          <w:sz w:val="21"/>
          <w:szCs w:val="21"/>
        </w:rPr>
        <w:t> TCS is now placed among the most valuable IT services brands worldwide.</w:t>
      </w:r>
      <w:hyperlink r:id="rId169" w:anchor="cite_note-8" w:history="1">
        <w:r>
          <w:rPr>
            <w:rStyle w:val="Hyperlink"/>
            <w:rFonts w:ascii="Arial" w:eastAsiaTheme="minorEastAsia" w:hAnsi="Arial" w:cs="Arial"/>
            <w:color w:val="0B0080"/>
            <w:sz w:val="17"/>
            <w:szCs w:val="17"/>
            <w:vertAlign w:val="superscript"/>
          </w:rPr>
          <w:t>[8]</w:t>
        </w:r>
      </w:hyperlink>
      <w:r>
        <w:rPr>
          <w:rFonts w:ascii="Arial" w:hAnsi="Arial" w:cs="Arial"/>
          <w:color w:val="222222"/>
          <w:sz w:val="21"/>
          <w:szCs w:val="21"/>
        </w:rPr>
        <w:t> TCS alone generates 70% dividends of its parent company, </w:t>
      </w:r>
      <w:hyperlink r:id="rId170" w:tooltip="Tata Sons" w:history="1">
        <w:r>
          <w:rPr>
            <w:rStyle w:val="Hyperlink"/>
            <w:rFonts w:ascii="Arial" w:eastAsiaTheme="minorEastAsia" w:hAnsi="Arial" w:cs="Arial"/>
            <w:color w:val="0B0080"/>
            <w:sz w:val="21"/>
            <w:szCs w:val="21"/>
          </w:rPr>
          <w:t>Tata Sons</w:t>
        </w:r>
      </w:hyperlink>
      <w:r>
        <w:rPr>
          <w:rFonts w:ascii="Arial" w:hAnsi="Arial" w:cs="Arial"/>
          <w:color w:val="222222"/>
          <w:sz w:val="21"/>
          <w:szCs w:val="21"/>
        </w:rPr>
        <w:t>.</w:t>
      </w:r>
      <w:hyperlink r:id="rId171" w:anchor="cite_note-9" w:history="1">
        <w:r>
          <w:rPr>
            <w:rStyle w:val="Hyperlink"/>
            <w:rFonts w:ascii="Arial" w:eastAsiaTheme="minorEastAsia" w:hAnsi="Arial" w:cs="Arial"/>
            <w:color w:val="0B0080"/>
            <w:sz w:val="17"/>
            <w:szCs w:val="17"/>
            <w:vertAlign w:val="superscript"/>
          </w:rPr>
          <w:t>[9]</w:t>
        </w:r>
      </w:hyperlink>
      <w:hyperlink r:id="rId172" w:anchor="cite_note-10" w:history="1">
        <w:r>
          <w:rPr>
            <w:rStyle w:val="Hyperlink"/>
            <w:rFonts w:ascii="Arial" w:eastAsiaTheme="minorEastAsia" w:hAnsi="Arial" w:cs="Arial"/>
            <w:color w:val="0B0080"/>
            <w:sz w:val="17"/>
            <w:szCs w:val="17"/>
            <w:vertAlign w:val="superscript"/>
          </w:rPr>
          <w:t>[10]</w:t>
        </w:r>
      </w:hyperlink>
      <w:r>
        <w:rPr>
          <w:rFonts w:ascii="Arial" w:hAnsi="Arial" w:cs="Arial"/>
          <w:color w:val="222222"/>
          <w:sz w:val="21"/>
          <w:szCs w:val="21"/>
        </w:rPr>
        <w:t> In 2015, TCS is ranked 64th overall in the </w:t>
      </w:r>
      <w:hyperlink r:id="rId173" w:tooltip="Forbes" w:history="1">
        <w:r>
          <w:rPr>
            <w:rStyle w:val="Hyperlink"/>
            <w:rFonts w:ascii="Arial" w:eastAsiaTheme="minorEastAsia" w:hAnsi="Arial" w:cs="Arial"/>
            <w:i/>
            <w:iCs/>
            <w:color w:val="0B0080"/>
            <w:sz w:val="21"/>
            <w:szCs w:val="21"/>
          </w:rPr>
          <w:t>Forbes</w:t>
        </w:r>
      </w:hyperlink>
      <w:r>
        <w:rPr>
          <w:rFonts w:ascii="Arial" w:hAnsi="Arial" w:cs="Arial"/>
          <w:color w:val="222222"/>
          <w:sz w:val="21"/>
          <w:szCs w:val="21"/>
        </w:rPr>
        <w:t> World's Most Innovative Companies ranking, making it both the highest-ranked IT services company and the top Indian company.</w:t>
      </w:r>
      <w:hyperlink r:id="rId174" w:anchor="cite_note-11" w:history="1">
        <w:r>
          <w:rPr>
            <w:rStyle w:val="Hyperlink"/>
            <w:rFonts w:ascii="Arial" w:eastAsiaTheme="minorEastAsia" w:hAnsi="Arial" w:cs="Arial"/>
            <w:color w:val="0B0080"/>
            <w:sz w:val="17"/>
            <w:szCs w:val="17"/>
            <w:vertAlign w:val="superscript"/>
          </w:rPr>
          <w:t>[11]</w:t>
        </w:r>
      </w:hyperlink>
      <w:r>
        <w:rPr>
          <w:rFonts w:ascii="Arial" w:hAnsi="Arial" w:cs="Arial"/>
          <w:color w:val="222222"/>
          <w:sz w:val="21"/>
          <w:szCs w:val="21"/>
        </w:rPr>
        <w:t> It is the world's 9th largest IT services provider by revenue.</w:t>
      </w:r>
      <w:hyperlink r:id="rId175" w:anchor="cite_note-12" w:history="1">
        <w:r>
          <w:rPr>
            <w:rStyle w:val="Hyperlink"/>
            <w:rFonts w:ascii="Arial" w:eastAsiaTheme="minorEastAsia" w:hAnsi="Arial" w:cs="Arial"/>
            <w:color w:val="0B0080"/>
            <w:sz w:val="17"/>
            <w:szCs w:val="17"/>
            <w:vertAlign w:val="superscript"/>
          </w:rPr>
          <w:t>[12]</w:t>
        </w:r>
      </w:hyperlink>
      <w:r>
        <w:rPr>
          <w:rFonts w:ascii="Arial" w:hAnsi="Arial" w:cs="Arial"/>
          <w:color w:val="222222"/>
          <w:sz w:val="21"/>
          <w:szCs w:val="21"/>
        </w:rPr>
        <w:t> As of December 2015, it is ranked 10th on the </w:t>
      </w:r>
      <w:hyperlink r:id="rId176" w:tooltip="Fortune India 500" w:history="1">
        <w:r>
          <w:rPr>
            <w:rStyle w:val="Hyperlink"/>
            <w:rFonts w:ascii="Arial" w:eastAsiaTheme="minorEastAsia" w:hAnsi="Arial" w:cs="Arial"/>
            <w:color w:val="0B0080"/>
            <w:sz w:val="21"/>
            <w:szCs w:val="21"/>
          </w:rPr>
          <w:t>Fortune India 500</w:t>
        </w:r>
      </w:hyperlink>
      <w:r>
        <w:rPr>
          <w:rFonts w:ascii="Arial" w:hAnsi="Arial" w:cs="Arial"/>
          <w:color w:val="222222"/>
          <w:sz w:val="21"/>
          <w:szCs w:val="21"/>
        </w:rPr>
        <w:t> list.</w:t>
      </w:r>
    </w:p>
    <w:p w:rsidR="00E9079B" w:rsidRDefault="00E9079B" w:rsidP="00BE26D1">
      <w:pPr>
        <w:pStyle w:val="NormalWeb"/>
        <w:shd w:val="clear" w:color="auto" w:fill="FFFFFF"/>
        <w:spacing w:before="120" w:beforeAutospacing="0" w:after="120" w:afterAutospacing="0"/>
        <w:rPr>
          <w:rFonts w:ascii="Arial" w:hAnsi="Arial" w:cs="Arial"/>
          <w:color w:val="222222"/>
          <w:sz w:val="21"/>
          <w:szCs w:val="21"/>
        </w:rPr>
      </w:pPr>
    </w:p>
    <w:p w:rsidR="00E9079B" w:rsidRDefault="00E9079B"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Naveen – Consultant</w:t>
      </w:r>
    </w:p>
    <w:p w:rsidR="00E9079B" w:rsidRDefault="00E9079B" w:rsidP="00BE26D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9962866198</w:t>
      </w:r>
    </w:p>
    <w:p w:rsidR="00E9079B" w:rsidRDefault="00880A05" w:rsidP="00BE26D1">
      <w:pPr>
        <w:pStyle w:val="NormalWeb"/>
        <w:shd w:val="clear" w:color="auto" w:fill="FFFFFF"/>
        <w:spacing w:before="120" w:beforeAutospacing="0" w:after="120" w:afterAutospacing="0"/>
        <w:rPr>
          <w:rFonts w:ascii="Arial" w:hAnsi="Arial" w:cs="Arial"/>
          <w:color w:val="222222"/>
          <w:sz w:val="21"/>
          <w:szCs w:val="21"/>
        </w:rPr>
      </w:pPr>
      <w:r>
        <w:rPr>
          <w:noProof/>
        </w:rPr>
        <w:drawing>
          <wp:inline distT="0" distB="0" distL="0" distR="0">
            <wp:extent cx="3105150" cy="1473200"/>
            <wp:effectExtent l="0" t="0" r="0" b="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05150" cy="1473200"/>
                    </a:xfrm>
                    <a:prstGeom prst="rect">
                      <a:avLst/>
                    </a:prstGeom>
                    <a:noFill/>
                    <a:ln>
                      <a:noFill/>
                    </a:ln>
                  </pic:spPr>
                </pic:pic>
              </a:graphicData>
            </a:graphic>
          </wp:inline>
        </w:drawing>
      </w:r>
    </w:p>
    <w:p w:rsidR="006E7A20" w:rsidRDefault="006E7A20" w:rsidP="000141D0">
      <w:pPr>
        <w:rPr>
          <w:rStyle w:val="BookTitle"/>
          <w:b/>
          <w:bCs w:val="0"/>
          <w:iCs w:val="0"/>
          <w:color w:val="005C84" w:themeColor="text1"/>
          <w:spacing w:val="0"/>
          <w:sz w:val="96"/>
          <w:szCs w:val="96"/>
        </w:rPr>
      </w:pPr>
      <w:r w:rsidRPr="006E7A20">
        <w:rPr>
          <w:rFonts w:ascii="Arial" w:hAnsi="Arial" w:cs="Arial"/>
          <w:b/>
          <w:bCs/>
          <w:color w:val="6A6A6A"/>
          <w:shd w:val="clear" w:color="auto" w:fill="FFFFFF"/>
        </w:rPr>
        <w:t xml:space="preserve">TCS </w:t>
      </w:r>
      <w:proofErr w:type="spellStart"/>
      <w:r w:rsidRPr="006E7A20">
        <w:rPr>
          <w:rFonts w:ascii="Arial" w:hAnsi="Arial" w:cs="Arial"/>
          <w:b/>
          <w:bCs/>
          <w:color w:val="6A6A6A"/>
          <w:shd w:val="clear" w:color="auto" w:fill="FFFFFF"/>
        </w:rPr>
        <w:t>iON</w:t>
      </w:r>
      <w:proofErr w:type="spellEnd"/>
      <w:r w:rsidRPr="006E7A20">
        <w:rPr>
          <w:rFonts w:ascii="Arial" w:hAnsi="Arial" w:cs="Arial"/>
          <w:color w:val="545454"/>
          <w:shd w:val="clear" w:color="auto" w:fill="FFFFFF"/>
        </w:rPr>
        <w:t> is a Cloud based ERP solution catering to the changing business needs of Small and medium business.</w:t>
      </w:r>
      <w:r>
        <w:rPr>
          <w:rFonts w:ascii="Arial" w:hAnsi="Arial" w:cs="Arial"/>
          <w:color w:val="545454"/>
          <w:shd w:val="clear" w:color="auto" w:fill="FFFFFF"/>
        </w:rPr>
        <w:t xml:space="preserve"> </w:t>
      </w:r>
      <w:proofErr w:type="spellStart"/>
      <w:r>
        <w:rPr>
          <w:rFonts w:ascii="Arial" w:hAnsi="Arial" w:cs="Arial"/>
          <w:color w:val="545454"/>
          <w:shd w:val="clear" w:color="auto" w:fill="FFFFFF"/>
        </w:rPr>
        <w:t>A</w:t>
      </w:r>
      <w:r>
        <w:rPr>
          <w:rFonts w:ascii="Arial" w:hAnsi="Arial" w:cs="Arial"/>
          <w:color w:val="363636"/>
          <w:szCs w:val="20"/>
          <w:shd w:val="clear" w:color="auto" w:fill="FFFFFF"/>
        </w:rPr>
        <w:t>as</w:t>
      </w:r>
      <w:proofErr w:type="spellEnd"/>
      <w:r>
        <w:rPr>
          <w:rFonts w:ascii="Arial" w:hAnsi="Arial" w:cs="Arial"/>
          <w:color w:val="363636"/>
          <w:szCs w:val="20"/>
          <w:shd w:val="clear" w:color="auto" w:fill="FFFFFF"/>
        </w:rPr>
        <w:t xml:space="preserve"> a cloud based solutions offer single-window IT with a pre-integrated suite of hardware, network, software and services. We ensure that your functions are digitized, automated and connected. For example, if you are using a CRM solution along with a core ERP (</w:t>
      </w:r>
      <w:proofErr w:type="spellStart"/>
      <w:r>
        <w:rPr>
          <w:rFonts w:ascii="Arial" w:hAnsi="Arial" w:cs="Arial"/>
          <w:color w:val="363636"/>
          <w:szCs w:val="20"/>
          <w:shd w:val="clear" w:color="auto" w:fill="FFFFFF"/>
        </w:rPr>
        <w:t>e.g</w:t>
      </w:r>
      <w:proofErr w:type="spellEnd"/>
      <w:r>
        <w:rPr>
          <w:rFonts w:ascii="Arial" w:hAnsi="Arial" w:cs="Arial"/>
          <w:color w:val="363636"/>
          <w:szCs w:val="20"/>
          <w:shd w:val="clear" w:color="auto" w:fill="FFFFFF"/>
        </w:rPr>
        <w:t xml:space="preserve"> a Manufacturing ERP) and have a document management system to organize supporting files and an HRMS, we ensure that these solutions are connected and work as one. </w:t>
      </w:r>
      <w:proofErr w:type="gramStart"/>
      <w:r>
        <w:rPr>
          <w:rFonts w:ascii="Arial" w:hAnsi="Arial" w:cs="Arial"/>
          <w:color w:val="363636"/>
          <w:szCs w:val="20"/>
          <w:shd w:val="clear" w:color="auto" w:fill="FFFFFF"/>
        </w:rPr>
        <w:t>So</w:t>
      </w:r>
      <w:proofErr w:type="gramEnd"/>
      <w:r>
        <w:rPr>
          <w:rFonts w:ascii="Arial" w:hAnsi="Arial" w:cs="Arial"/>
          <w:color w:val="363636"/>
          <w:szCs w:val="20"/>
          <w:shd w:val="clear" w:color="auto" w:fill="FFFFFF"/>
        </w:rPr>
        <w:t xml:space="preserve"> for you, it is simply one IT and not multiple applications. Integrated applications thus provide a comprehensive view of business enabling better decisions.</w:t>
      </w:r>
    </w:p>
    <w:p w:rsidR="00E9079B" w:rsidRDefault="000141D0" w:rsidP="000141D0">
      <w:pPr>
        <w:rPr>
          <w:rStyle w:val="BookTitle"/>
          <w:b/>
          <w:bCs w:val="0"/>
          <w:iCs w:val="0"/>
          <w:color w:val="005C84" w:themeColor="text1"/>
          <w:spacing w:val="0"/>
          <w:sz w:val="96"/>
          <w:szCs w:val="96"/>
        </w:rPr>
      </w:pPr>
      <w:r>
        <w:rPr>
          <w:rStyle w:val="BookTitle"/>
          <w:b/>
          <w:bCs w:val="0"/>
          <w:iCs w:val="0"/>
          <w:color w:val="005C84" w:themeColor="text1"/>
          <w:spacing w:val="0"/>
          <w:sz w:val="96"/>
          <w:szCs w:val="96"/>
        </w:rPr>
        <w:t>10</w:t>
      </w:r>
      <w:r w:rsidRPr="000141D0">
        <w:rPr>
          <w:rStyle w:val="BookTitle"/>
          <w:b/>
          <w:bCs w:val="0"/>
          <w:iCs w:val="0"/>
          <w:color w:val="005C84" w:themeColor="text1"/>
          <w:spacing w:val="0"/>
          <w:sz w:val="96"/>
          <w:szCs w:val="96"/>
        </w:rPr>
        <w:t>.</w:t>
      </w:r>
    </w:p>
    <w:p w:rsidR="00FF4E18" w:rsidRDefault="00E9079B" w:rsidP="00E9079B">
      <w:pPr>
        <w:pStyle w:val="NormalWeb"/>
        <w:shd w:val="clear" w:color="auto" w:fill="FFFFFF"/>
        <w:spacing w:before="120" w:beforeAutospacing="0" w:after="120" w:afterAutospacing="0"/>
        <w:rPr>
          <w:rFonts w:ascii="Arial" w:hAnsi="Arial" w:cs="Arial"/>
          <w:b/>
          <w:bCs/>
          <w:color w:val="222222"/>
          <w:sz w:val="21"/>
          <w:szCs w:val="21"/>
        </w:rPr>
      </w:pPr>
      <w:r>
        <w:rPr>
          <w:noProof/>
        </w:rPr>
        <w:drawing>
          <wp:inline distT="0" distB="0" distL="0" distR="0" wp14:anchorId="266366D1" wp14:editId="00258366">
            <wp:extent cx="3733800" cy="117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733800" cy="1171575"/>
                    </a:xfrm>
                    <a:prstGeom prst="rect">
                      <a:avLst/>
                    </a:prstGeom>
                  </pic:spPr>
                </pic:pic>
              </a:graphicData>
            </a:graphic>
          </wp:inline>
        </w:drawing>
      </w: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Cognizant</w:t>
      </w:r>
      <w:r>
        <w:rPr>
          <w:rFonts w:ascii="Arial" w:hAnsi="Arial" w:cs="Arial"/>
          <w:color w:val="222222"/>
          <w:sz w:val="21"/>
          <w:szCs w:val="21"/>
        </w:rPr>
        <w:t> is an American </w:t>
      </w:r>
      <w:hyperlink r:id="rId179" w:anchor="cite_note-3" w:history="1">
        <w:r>
          <w:rPr>
            <w:rStyle w:val="Hyperlink"/>
            <w:rFonts w:ascii="Arial" w:eastAsiaTheme="minorEastAsia" w:hAnsi="Arial" w:cs="Arial"/>
            <w:color w:val="0B0080"/>
            <w:sz w:val="17"/>
            <w:szCs w:val="17"/>
            <w:vertAlign w:val="superscript"/>
          </w:rPr>
          <w:t>[3]</w:t>
        </w:r>
      </w:hyperlink>
      <w:r>
        <w:rPr>
          <w:rFonts w:ascii="Arial" w:hAnsi="Arial" w:cs="Arial"/>
          <w:color w:val="222222"/>
          <w:sz w:val="21"/>
          <w:szCs w:val="21"/>
        </w:rPr>
        <w:t> </w:t>
      </w:r>
      <w:hyperlink r:id="rId180" w:tooltip="Multinational corporation" w:history="1">
        <w:r>
          <w:rPr>
            <w:rStyle w:val="Hyperlink"/>
            <w:rFonts w:ascii="Arial" w:eastAsiaTheme="minorEastAsia" w:hAnsi="Arial" w:cs="Arial"/>
            <w:color w:val="0B0080"/>
            <w:sz w:val="21"/>
            <w:szCs w:val="21"/>
          </w:rPr>
          <w:t>multinational corporation</w:t>
        </w:r>
      </w:hyperlink>
      <w:r>
        <w:rPr>
          <w:rFonts w:ascii="Arial" w:hAnsi="Arial" w:cs="Arial"/>
          <w:color w:val="222222"/>
          <w:sz w:val="21"/>
          <w:szCs w:val="21"/>
        </w:rPr>
        <w:t> that provides IT services, including digital, technology, consulting, and operations services. It is headquartered in </w:t>
      </w:r>
      <w:hyperlink r:id="rId181" w:tooltip="Teaneck, New Jersey" w:history="1">
        <w:r>
          <w:rPr>
            <w:rStyle w:val="Hyperlink"/>
            <w:rFonts w:ascii="Arial" w:eastAsiaTheme="minorEastAsia" w:hAnsi="Arial" w:cs="Arial"/>
            <w:color w:val="0B0080"/>
            <w:sz w:val="21"/>
            <w:szCs w:val="21"/>
          </w:rPr>
          <w:t>Teaneck</w:t>
        </w:r>
      </w:hyperlink>
      <w:r>
        <w:rPr>
          <w:rFonts w:ascii="Arial" w:hAnsi="Arial" w:cs="Arial"/>
          <w:color w:val="222222"/>
          <w:sz w:val="21"/>
          <w:szCs w:val="21"/>
        </w:rPr>
        <w:t>, </w:t>
      </w:r>
      <w:hyperlink r:id="rId182" w:tooltip="New Jersey" w:history="1">
        <w:r>
          <w:rPr>
            <w:rStyle w:val="Hyperlink"/>
            <w:rFonts w:ascii="Arial" w:eastAsiaTheme="minorEastAsia" w:hAnsi="Arial" w:cs="Arial"/>
            <w:color w:val="0B0080"/>
            <w:sz w:val="21"/>
            <w:szCs w:val="21"/>
          </w:rPr>
          <w:t>New Jersey</w:t>
        </w:r>
      </w:hyperlink>
      <w:r>
        <w:rPr>
          <w:rFonts w:ascii="Arial" w:hAnsi="Arial" w:cs="Arial"/>
          <w:color w:val="222222"/>
          <w:sz w:val="21"/>
          <w:szCs w:val="21"/>
        </w:rPr>
        <w:t>, United States. Cognizant is included in the </w:t>
      </w:r>
      <w:hyperlink r:id="rId183" w:tooltip="NASDAQ-100" w:history="1">
        <w:r>
          <w:rPr>
            <w:rStyle w:val="Hyperlink"/>
            <w:rFonts w:ascii="Arial" w:eastAsiaTheme="minorEastAsia" w:hAnsi="Arial" w:cs="Arial"/>
            <w:color w:val="0B0080"/>
            <w:sz w:val="21"/>
            <w:szCs w:val="21"/>
          </w:rPr>
          <w:t>NASDAQ-100</w:t>
        </w:r>
      </w:hyperlink>
      <w:r>
        <w:rPr>
          <w:rFonts w:ascii="Arial" w:hAnsi="Arial" w:cs="Arial"/>
          <w:color w:val="222222"/>
          <w:sz w:val="21"/>
          <w:szCs w:val="21"/>
        </w:rPr>
        <w:t> and the </w:t>
      </w:r>
      <w:hyperlink r:id="rId184" w:tooltip="S&amp;P 500" w:history="1">
        <w:r>
          <w:rPr>
            <w:rStyle w:val="Hyperlink"/>
            <w:rFonts w:ascii="Arial" w:eastAsiaTheme="minorEastAsia" w:hAnsi="Arial" w:cs="Arial"/>
            <w:color w:val="0B0080"/>
            <w:sz w:val="21"/>
            <w:szCs w:val="21"/>
          </w:rPr>
          <w:t>S&amp;P 500</w:t>
        </w:r>
      </w:hyperlink>
      <w:r>
        <w:rPr>
          <w:rFonts w:ascii="Arial" w:hAnsi="Arial" w:cs="Arial"/>
          <w:color w:val="222222"/>
          <w:sz w:val="21"/>
          <w:szCs w:val="21"/>
        </w:rPr>
        <w:t> indices. It was founded as an in-house technology unit of </w:t>
      </w:r>
      <w:hyperlink r:id="rId185" w:tooltip="Dun &amp; Bradstreet" w:history="1">
        <w:r>
          <w:rPr>
            <w:rStyle w:val="Hyperlink"/>
            <w:rFonts w:ascii="Arial" w:eastAsiaTheme="minorEastAsia" w:hAnsi="Arial" w:cs="Arial"/>
            <w:color w:val="0B0080"/>
            <w:sz w:val="21"/>
            <w:szCs w:val="21"/>
          </w:rPr>
          <w:t>Dun &amp; Bradstreet</w:t>
        </w:r>
      </w:hyperlink>
      <w:r>
        <w:rPr>
          <w:rFonts w:ascii="Arial" w:hAnsi="Arial" w:cs="Arial"/>
          <w:color w:val="222222"/>
          <w:sz w:val="21"/>
          <w:szCs w:val="21"/>
        </w:rPr>
        <w:t> in 1994,</w:t>
      </w:r>
      <w:hyperlink r:id="rId186" w:anchor="cite_note-mishra-4" w:history="1">
        <w:r>
          <w:rPr>
            <w:rStyle w:val="Hyperlink"/>
            <w:rFonts w:ascii="Arial" w:eastAsiaTheme="minorEastAsia" w:hAnsi="Arial" w:cs="Arial"/>
            <w:color w:val="0B0080"/>
            <w:sz w:val="17"/>
            <w:szCs w:val="17"/>
            <w:vertAlign w:val="superscript"/>
          </w:rPr>
          <w:t>[4]</w:t>
        </w:r>
      </w:hyperlink>
      <w:r>
        <w:rPr>
          <w:rFonts w:ascii="Arial" w:hAnsi="Arial" w:cs="Arial"/>
          <w:color w:val="222222"/>
          <w:sz w:val="21"/>
          <w:szCs w:val="21"/>
        </w:rPr>
        <w:t>and started serving external clients in 1996.</w:t>
      </w:r>
      <w:hyperlink r:id="rId187" w:anchor="cite_note-mishra-4" w:history="1">
        <w:r>
          <w:rPr>
            <w:rStyle w:val="Hyperlink"/>
            <w:rFonts w:ascii="Arial" w:eastAsiaTheme="minorEastAsia" w:hAnsi="Arial" w:cs="Arial"/>
            <w:color w:val="0B0080"/>
            <w:sz w:val="17"/>
            <w:szCs w:val="17"/>
            <w:vertAlign w:val="superscript"/>
          </w:rPr>
          <w:t>[4]</w:t>
        </w:r>
      </w:hyperlink>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After a series of corporate splits and restructures of its parent companies there was an </w:t>
      </w:r>
      <w:hyperlink r:id="rId188" w:tooltip="Initial public offering" w:history="1">
        <w:r>
          <w:rPr>
            <w:rStyle w:val="Hyperlink"/>
            <w:rFonts w:ascii="Arial" w:eastAsiaTheme="minorEastAsia" w:hAnsi="Arial" w:cs="Arial"/>
            <w:color w:val="0B0080"/>
            <w:sz w:val="21"/>
            <w:szCs w:val="21"/>
          </w:rPr>
          <w:t>initial public offering</w:t>
        </w:r>
      </w:hyperlink>
      <w:r>
        <w:rPr>
          <w:rFonts w:ascii="Arial" w:hAnsi="Arial" w:cs="Arial"/>
          <w:color w:val="222222"/>
          <w:sz w:val="21"/>
          <w:szCs w:val="21"/>
        </w:rPr>
        <w:t> in 1998.</w:t>
      </w:r>
      <w:hyperlink r:id="rId189" w:anchor="cite_note-5" w:history="1">
        <w:r>
          <w:rPr>
            <w:rStyle w:val="Hyperlink"/>
            <w:rFonts w:ascii="Arial" w:eastAsiaTheme="minorEastAsia" w:hAnsi="Arial" w:cs="Arial"/>
            <w:color w:val="0B0080"/>
            <w:sz w:val="17"/>
            <w:szCs w:val="17"/>
            <w:vertAlign w:val="superscript"/>
          </w:rPr>
          <w:t>[5]</w:t>
        </w:r>
      </w:hyperlink>
      <w:r>
        <w:rPr>
          <w:rFonts w:ascii="Arial" w:hAnsi="Arial" w:cs="Arial"/>
          <w:color w:val="222222"/>
          <w:sz w:val="21"/>
          <w:szCs w:val="21"/>
        </w:rPr>
        <w:t>Following the Y2K and dot-com boom of the late 1990s, when companies sharpened their focus on hard business parameters such as revenues and profits, the company grew by delivering critical application development and maintenance services.</w:t>
      </w:r>
    </w:p>
    <w:p w:rsidR="008A0E9C" w:rsidRDefault="00E9079B"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Cognizant had a period of fast growth during the 2000s, becoming a </w:t>
      </w:r>
      <w:hyperlink r:id="rId190" w:tooltip="Fortune 500" w:history="1">
        <w:r>
          <w:rPr>
            <w:rStyle w:val="Hyperlink"/>
            <w:rFonts w:ascii="Arial" w:eastAsiaTheme="minorEastAsia" w:hAnsi="Arial" w:cs="Arial"/>
            <w:color w:val="0B0080"/>
            <w:sz w:val="21"/>
            <w:szCs w:val="21"/>
          </w:rPr>
          <w:t>Fortune 500</w:t>
        </w:r>
      </w:hyperlink>
      <w:r>
        <w:rPr>
          <w:rFonts w:ascii="Arial" w:hAnsi="Arial" w:cs="Arial"/>
          <w:color w:val="222222"/>
          <w:sz w:val="21"/>
          <w:szCs w:val="21"/>
        </w:rPr>
        <w:t> company in 2011.</w:t>
      </w:r>
      <w:hyperlink r:id="rId191" w:anchor="cite_note-6" w:history="1">
        <w:r>
          <w:rPr>
            <w:rStyle w:val="Hyperlink"/>
            <w:rFonts w:ascii="Arial" w:eastAsiaTheme="minorEastAsia" w:hAnsi="Arial" w:cs="Arial"/>
            <w:color w:val="0B0080"/>
            <w:sz w:val="17"/>
            <w:szCs w:val="17"/>
            <w:vertAlign w:val="superscript"/>
          </w:rPr>
          <w:t>[6]</w:t>
        </w:r>
      </w:hyperlink>
      <w:r>
        <w:rPr>
          <w:rFonts w:ascii="Arial" w:hAnsi="Arial" w:cs="Arial"/>
          <w:color w:val="222222"/>
          <w:sz w:val="21"/>
          <w:szCs w:val="21"/>
        </w:rPr>
        <w:t> In 2015, the </w:t>
      </w:r>
      <w:hyperlink r:id="rId192" w:tooltip="Fortune (magazine)" w:history="1">
        <w:r>
          <w:rPr>
            <w:rStyle w:val="Hyperlink"/>
            <w:rFonts w:ascii="Arial" w:eastAsiaTheme="minorEastAsia" w:hAnsi="Arial" w:cs="Arial"/>
            <w:color w:val="0B0080"/>
            <w:sz w:val="21"/>
            <w:szCs w:val="21"/>
          </w:rPr>
          <w:t>Fortune magazine</w:t>
        </w:r>
      </w:hyperlink>
      <w:r>
        <w:rPr>
          <w:rFonts w:ascii="Arial" w:hAnsi="Arial" w:cs="Arial"/>
          <w:color w:val="222222"/>
          <w:sz w:val="21"/>
          <w:szCs w:val="21"/>
        </w:rPr>
        <w:t> named it as the world's fourth most admired </w:t>
      </w:r>
      <w:hyperlink r:id="rId193" w:tooltip="IT services" w:history="1">
        <w:r>
          <w:rPr>
            <w:rStyle w:val="Hyperlink"/>
            <w:rFonts w:ascii="Arial" w:eastAsiaTheme="minorEastAsia" w:hAnsi="Arial" w:cs="Arial"/>
            <w:color w:val="0B0080"/>
            <w:sz w:val="21"/>
            <w:szCs w:val="21"/>
          </w:rPr>
          <w:t>IT services</w:t>
        </w:r>
      </w:hyperlink>
      <w:r>
        <w:rPr>
          <w:rFonts w:ascii="Arial" w:hAnsi="Arial" w:cs="Arial"/>
          <w:color w:val="222222"/>
          <w:sz w:val="21"/>
          <w:szCs w:val="21"/>
        </w:rPr>
        <w:t> company.</w:t>
      </w:r>
      <w:hyperlink r:id="rId194" w:anchor="cite_note-7" w:history="1">
        <w:r>
          <w:rPr>
            <w:rStyle w:val="Hyperlink"/>
            <w:rFonts w:ascii="Arial" w:eastAsiaTheme="minorEastAsia" w:hAnsi="Arial" w:cs="Arial"/>
            <w:color w:val="0B0080"/>
            <w:sz w:val="17"/>
            <w:szCs w:val="17"/>
            <w:vertAlign w:val="superscript"/>
          </w:rPr>
          <w:t>[7]</w:t>
        </w:r>
      </w:hyperlink>
      <w:r>
        <w:rPr>
          <w:rFonts w:ascii="Arial" w:hAnsi="Arial" w:cs="Arial"/>
          <w:color w:val="222222"/>
          <w:sz w:val="21"/>
          <w:szCs w:val="21"/>
        </w:rPr>
        <w:t> In 2017, Cognizant was named in </w:t>
      </w:r>
      <w:hyperlink r:id="rId195" w:tooltip="Fortune (magazine)" w:history="1">
        <w:r>
          <w:rPr>
            <w:rStyle w:val="Hyperlink"/>
            <w:rFonts w:ascii="Arial" w:eastAsiaTheme="minorEastAsia" w:hAnsi="Arial" w:cs="Arial"/>
            <w:color w:val="0B0080"/>
            <w:sz w:val="21"/>
            <w:szCs w:val="21"/>
          </w:rPr>
          <w:t>Fortune's</w:t>
        </w:r>
      </w:hyperlink>
      <w:r>
        <w:rPr>
          <w:rFonts w:ascii="Arial" w:hAnsi="Arial" w:cs="Arial"/>
          <w:color w:val="222222"/>
          <w:sz w:val="21"/>
          <w:szCs w:val="21"/>
        </w:rPr>
        <w:t> Future 50 lis</w:t>
      </w:r>
      <w:r>
        <w:rPr>
          <w:rFonts w:ascii="Arial" w:hAnsi="Arial" w:cs="Arial"/>
          <w:color w:val="222222"/>
          <w:sz w:val="21"/>
          <w:szCs w:val="21"/>
        </w:rPr>
        <w:t>t.</w:t>
      </w: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Perundevi</w:t>
      </w:r>
      <w:proofErr w:type="spellEnd"/>
      <w:r>
        <w:rPr>
          <w:rFonts w:ascii="Arial" w:hAnsi="Arial" w:cs="Arial"/>
          <w:color w:val="222222"/>
          <w:sz w:val="21"/>
          <w:szCs w:val="21"/>
        </w:rPr>
        <w:t xml:space="preserve"> – Software Tester</w:t>
      </w: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8754982353</w:t>
      </w: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p>
    <w:p w:rsidR="006E7A20" w:rsidRDefault="006E7A20"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Oracle Cloud ERP</w:t>
      </w:r>
    </w:p>
    <w:p w:rsidR="006E7A20" w:rsidRDefault="006E7A20" w:rsidP="00E907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lastRenderedPageBreak/>
        <w:drawing>
          <wp:inline distT="0" distB="0" distL="0" distR="0">
            <wp:extent cx="663575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635750" cy="2971800"/>
                    </a:xfrm>
                    <a:prstGeom prst="rect">
                      <a:avLst/>
                    </a:prstGeom>
                    <a:noFill/>
                    <a:ln>
                      <a:noFill/>
                    </a:ln>
                  </pic:spPr>
                </pic:pic>
              </a:graphicData>
            </a:graphic>
          </wp:inline>
        </w:drawing>
      </w:r>
    </w:p>
    <w:p w:rsidR="00E9079B" w:rsidRDefault="00E9079B" w:rsidP="00E9079B">
      <w:pPr>
        <w:pStyle w:val="NormalWeb"/>
        <w:shd w:val="clear" w:color="auto" w:fill="FFFFFF"/>
        <w:spacing w:before="120" w:beforeAutospacing="0" w:after="120" w:afterAutospacing="0"/>
        <w:rPr>
          <w:rFonts w:ascii="Arial" w:hAnsi="Arial" w:cs="Arial"/>
          <w:color w:val="222222"/>
          <w:sz w:val="21"/>
          <w:szCs w:val="21"/>
        </w:rPr>
      </w:pPr>
    </w:p>
    <w:p w:rsidR="00E9079B" w:rsidRDefault="00E9079B" w:rsidP="00E9079B">
      <w:pPr>
        <w:pStyle w:val="NormalWeb"/>
        <w:shd w:val="clear" w:color="auto" w:fill="FFFFFF"/>
        <w:spacing w:before="120" w:beforeAutospacing="0" w:after="120" w:afterAutospacing="0"/>
        <w:rPr>
          <w:rStyle w:val="BookTitle"/>
          <w:b/>
          <w:bCs w:val="0"/>
          <w:iCs w:val="0"/>
          <w:color w:val="005C84" w:themeColor="text1"/>
          <w:spacing w:val="0"/>
          <w:sz w:val="20"/>
          <w:u w:val="single"/>
        </w:rPr>
      </w:pPr>
    </w:p>
    <w:sectPr w:rsidR="00E9079B" w:rsidSect="005830A1">
      <w:footerReference w:type="default" r:id="rId19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B53" w:rsidRDefault="00AA5B53" w:rsidP="005D3242">
      <w:pPr>
        <w:spacing w:after="0" w:line="240" w:lineRule="auto"/>
      </w:pPr>
      <w:r>
        <w:separator/>
      </w:r>
    </w:p>
  </w:endnote>
  <w:endnote w:type="continuationSeparator" w:id="0">
    <w:p w:rsidR="00AA5B53" w:rsidRDefault="00AA5B53" w:rsidP="005D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BookTitle"/>
      </w:rPr>
      <w:id w:val="764498884"/>
      <w:docPartObj>
        <w:docPartGallery w:val="Page Numbers (Bottom of Page)"/>
        <w:docPartUnique/>
      </w:docPartObj>
    </w:sdtPr>
    <w:sdtContent>
      <w:p w:rsidR="00BE26D1" w:rsidRPr="005830A1" w:rsidRDefault="00BE26D1"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C52D96">
          <w:rPr>
            <w:rStyle w:val="BookTitle"/>
            <w:noProof/>
          </w:rPr>
          <w:t>11</w:t>
        </w:r>
        <w:r w:rsidRPr="005830A1">
          <w:rPr>
            <w:rStyle w:val="BookTit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B53" w:rsidRDefault="00AA5B53" w:rsidP="005D3242">
      <w:pPr>
        <w:spacing w:after="0" w:line="240" w:lineRule="auto"/>
      </w:pPr>
      <w:r>
        <w:separator/>
      </w:r>
    </w:p>
  </w:footnote>
  <w:footnote w:type="continuationSeparator" w:id="0">
    <w:p w:rsidR="00AA5B53" w:rsidRDefault="00AA5B53" w:rsidP="005D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27901"/>
    <w:multiLevelType w:val="hybridMultilevel"/>
    <w:tmpl w:val="8B443C0C"/>
    <w:lvl w:ilvl="0" w:tplc="9E861B46">
      <w:start w:val="10"/>
      <w:numFmt w:val="bullet"/>
      <w:lvlText w:val=""/>
      <w:lvlJc w:val="left"/>
      <w:pPr>
        <w:ind w:left="720" w:hanging="360"/>
      </w:pPr>
      <w:rPr>
        <w:rFonts w:ascii="Wingdings" w:eastAsiaTheme="minorHAnsi"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8A61723"/>
    <w:multiLevelType w:val="hybridMultilevel"/>
    <w:tmpl w:val="A7E8E1AC"/>
    <w:lvl w:ilvl="0" w:tplc="49DE2A00">
      <w:start w:val="10"/>
      <w:numFmt w:val="bullet"/>
      <w:lvlText w:val=""/>
      <w:lvlJc w:val="left"/>
      <w:pPr>
        <w:ind w:left="1080" w:hanging="72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5E16C9"/>
    <w:multiLevelType w:val="hybridMultilevel"/>
    <w:tmpl w:val="46381FAA"/>
    <w:lvl w:ilvl="0" w:tplc="47A2A7F8">
      <w:start w:val="10"/>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7" w15:restartNumberingAfterBreak="0">
    <w:nsid w:val="6EE3461E"/>
    <w:multiLevelType w:val="hybridMultilevel"/>
    <w:tmpl w:val="FE1E47E8"/>
    <w:lvl w:ilvl="0" w:tplc="0498A22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A63971"/>
    <w:multiLevelType w:val="hybridMultilevel"/>
    <w:tmpl w:val="3F8A1A2C"/>
    <w:lvl w:ilvl="0" w:tplc="273C6AA8">
      <w:start w:val="10"/>
      <w:numFmt w:val="bullet"/>
      <w:lvlText w:val=""/>
      <w:lvlJc w:val="left"/>
      <w:pPr>
        <w:ind w:left="720" w:hanging="360"/>
      </w:pPr>
      <w:rPr>
        <w:rFonts w:ascii="Wingdings" w:eastAsiaTheme="minorHAnsi" w:hAnsi="Wingdings" w:cs="Arial" w:hint="default"/>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9"/>
  </w:num>
  <w:num w:numId="6">
    <w:abstractNumId w:val="7"/>
  </w:num>
  <w:num w:numId="7">
    <w:abstractNumId w:val="2"/>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A5"/>
    <w:rsid w:val="000141D0"/>
    <w:rsid w:val="000275CD"/>
    <w:rsid w:val="00035118"/>
    <w:rsid w:val="000530DA"/>
    <w:rsid w:val="00113E84"/>
    <w:rsid w:val="001146CE"/>
    <w:rsid w:val="00126600"/>
    <w:rsid w:val="00164989"/>
    <w:rsid w:val="001C503D"/>
    <w:rsid w:val="0020409C"/>
    <w:rsid w:val="00230EC9"/>
    <w:rsid w:val="00237F4F"/>
    <w:rsid w:val="0025230D"/>
    <w:rsid w:val="0025712E"/>
    <w:rsid w:val="00261E06"/>
    <w:rsid w:val="002761ED"/>
    <w:rsid w:val="002940D7"/>
    <w:rsid w:val="002A33FD"/>
    <w:rsid w:val="002F132F"/>
    <w:rsid w:val="00302E07"/>
    <w:rsid w:val="00306366"/>
    <w:rsid w:val="00325EC0"/>
    <w:rsid w:val="003565D0"/>
    <w:rsid w:val="003E2791"/>
    <w:rsid w:val="003E7499"/>
    <w:rsid w:val="003F6F7B"/>
    <w:rsid w:val="0042750C"/>
    <w:rsid w:val="00450693"/>
    <w:rsid w:val="004F49ED"/>
    <w:rsid w:val="005066A9"/>
    <w:rsid w:val="0053751D"/>
    <w:rsid w:val="005830A1"/>
    <w:rsid w:val="005B381B"/>
    <w:rsid w:val="005B4B61"/>
    <w:rsid w:val="005D3242"/>
    <w:rsid w:val="00621A71"/>
    <w:rsid w:val="006413F9"/>
    <w:rsid w:val="0066215A"/>
    <w:rsid w:val="006863C5"/>
    <w:rsid w:val="00690092"/>
    <w:rsid w:val="006A076D"/>
    <w:rsid w:val="006E7A20"/>
    <w:rsid w:val="00785756"/>
    <w:rsid w:val="007F3CC2"/>
    <w:rsid w:val="00817D75"/>
    <w:rsid w:val="008318F5"/>
    <w:rsid w:val="00872C6E"/>
    <w:rsid w:val="00880A05"/>
    <w:rsid w:val="008841F6"/>
    <w:rsid w:val="008A0E9C"/>
    <w:rsid w:val="008B65F9"/>
    <w:rsid w:val="008C0840"/>
    <w:rsid w:val="008C4008"/>
    <w:rsid w:val="008F0DA9"/>
    <w:rsid w:val="008F39DB"/>
    <w:rsid w:val="009554A5"/>
    <w:rsid w:val="00966B67"/>
    <w:rsid w:val="009A3CA4"/>
    <w:rsid w:val="009B0590"/>
    <w:rsid w:val="00AA2D80"/>
    <w:rsid w:val="00AA5B53"/>
    <w:rsid w:val="00AB3BF6"/>
    <w:rsid w:val="00AB6739"/>
    <w:rsid w:val="00AF329E"/>
    <w:rsid w:val="00B46AA2"/>
    <w:rsid w:val="00B847D1"/>
    <w:rsid w:val="00BC71D7"/>
    <w:rsid w:val="00BE26D1"/>
    <w:rsid w:val="00BF275D"/>
    <w:rsid w:val="00C0660B"/>
    <w:rsid w:val="00C52D96"/>
    <w:rsid w:val="00C9673A"/>
    <w:rsid w:val="00D15B96"/>
    <w:rsid w:val="00D44F79"/>
    <w:rsid w:val="00D528E0"/>
    <w:rsid w:val="00DA6BDD"/>
    <w:rsid w:val="00DF10EF"/>
    <w:rsid w:val="00E9079B"/>
    <w:rsid w:val="00EF2CB8"/>
    <w:rsid w:val="00F00449"/>
    <w:rsid w:val="00F41442"/>
    <w:rsid w:val="00F556DF"/>
    <w:rsid w:val="00F76281"/>
    <w:rsid w:val="00F94B09"/>
    <w:rsid w:val="00FB3395"/>
    <w:rsid w:val="00FC7FD7"/>
    <w:rsid w:val="00FF4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2AAF0"/>
  <w15:chartTrackingRefBased/>
  <w15:docId w15:val="{29492D43-9670-4BCA-9D23-D79C32AA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paragraph" w:styleId="NormalWeb">
    <w:name w:val="Normal (Web)"/>
    <w:basedOn w:val="Normal"/>
    <w:uiPriority w:val="99"/>
    <w:unhideWhenUsed/>
    <w:rsid w:val="009554A5"/>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Hyperlink">
    <w:name w:val="Hyperlink"/>
    <w:basedOn w:val="DefaultParagraphFont"/>
    <w:uiPriority w:val="99"/>
    <w:unhideWhenUsed/>
    <w:rsid w:val="009554A5"/>
    <w:rPr>
      <w:color w:val="0000FF"/>
      <w:u w:val="single"/>
    </w:rPr>
  </w:style>
  <w:style w:type="character" w:styleId="UnresolvedMention">
    <w:name w:val="Unresolved Mention"/>
    <w:basedOn w:val="DefaultParagraphFont"/>
    <w:uiPriority w:val="99"/>
    <w:semiHidden/>
    <w:unhideWhenUsed/>
    <w:rsid w:val="009554A5"/>
    <w:rPr>
      <w:color w:val="808080"/>
      <w:shd w:val="clear" w:color="auto" w:fill="E6E6E6"/>
    </w:rPr>
  </w:style>
  <w:style w:type="character" w:customStyle="1" w:styleId="ipa">
    <w:name w:val="ipa"/>
    <w:basedOn w:val="DefaultParagraphFont"/>
    <w:rsid w:val="00BE2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51553">
      <w:bodyDiv w:val="1"/>
      <w:marLeft w:val="0"/>
      <w:marRight w:val="0"/>
      <w:marTop w:val="0"/>
      <w:marBottom w:val="0"/>
      <w:divBdr>
        <w:top w:val="none" w:sz="0" w:space="0" w:color="auto"/>
        <w:left w:val="none" w:sz="0" w:space="0" w:color="auto"/>
        <w:bottom w:val="none" w:sz="0" w:space="0" w:color="auto"/>
        <w:right w:val="none" w:sz="0" w:space="0" w:color="auto"/>
      </w:divBdr>
    </w:div>
    <w:div w:id="412819116">
      <w:bodyDiv w:val="1"/>
      <w:marLeft w:val="0"/>
      <w:marRight w:val="0"/>
      <w:marTop w:val="0"/>
      <w:marBottom w:val="0"/>
      <w:divBdr>
        <w:top w:val="none" w:sz="0" w:space="0" w:color="auto"/>
        <w:left w:val="none" w:sz="0" w:space="0" w:color="auto"/>
        <w:bottom w:val="none" w:sz="0" w:space="0" w:color="auto"/>
        <w:right w:val="none" w:sz="0" w:space="0" w:color="auto"/>
      </w:divBdr>
    </w:div>
    <w:div w:id="592129879">
      <w:bodyDiv w:val="1"/>
      <w:marLeft w:val="0"/>
      <w:marRight w:val="0"/>
      <w:marTop w:val="0"/>
      <w:marBottom w:val="0"/>
      <w:divBdr>
        <w:top w:val="none" w:sz="0" w:space="0" w:color="auto"/>
        <w:left w:val="none" w:sz="0" w:space="0" w:color="auto"/>
        <w:bottom w:val="none" w:sz="0" w:space="0" w:color="auto"/>
        <w:right w:val="none" w:sz="0" w:space="0" w:color="auto"/>
      </w:divBdr>
    </w:div>
    <w:div w:id="756825200">
      <w:bodyDiv w:val="1"/>
      <w:marLeft w:val="0"/>
      <w:marRight w:val="0"/>
      <w:marTop w:val="0"/>
      <w:marBottom w:val="0"/>
      <w:divBdr>
        <w:top w:val="none" w:sz="0" w:space="0" w:color="auto"/>
        <w:left w:val="none" w:sz="0" w:space="0" w:color="auto"/>
        <w:bottom w:val="none" w:sz="0" w:space="0" w:color="auto"/>
        <w:right w:val="none" w:sz="0" w:space="0" w:color="auto"/>
      </w:divBdr>
    </w:div>
    <w:div w:id="1176648370">
      <w:bodyDiv w:val="1"/>
      <w:marLeft w:val="0"/>
      <w:marRight w:val="0"/>
      <w:marTop w:val="0"/>
      <w:marBottom w:val="0"/>
      <w:divBdr>
        <w:top w:val="none" w:sz="0" w:space="0" w:color="auto"/>
        <w:left w:val="none" w:sz="0" w:space="0" w:color="auto"/>
        <w:bottom w:val="none" w:sz="0" w:space="0" w:color="auto"/>
        <w:right w:val="none" w:sz="0" w:space="0" w:color="auto"/>
      </w:divBdr>
    </w:div>
    <w:div w:id="1249267194">
      <w:bodyDiv w:val="1"/>
      <w:marLeft w:val="0"/>
      <w:marRight w:val="0"/>
      <w:marTop w:val="0"/>
      <w:marBottom w:val="0"/>
      <w:divBdr>
        <w:top w:val="none" w:sz="0" w:space="0" w:color="auto"/>
        <w:left w:val="none" w:sz="0" w:space="0" w:color="auto"/>
        <w:bottom w:val="none" w:sz="0" w:space="0" w:color="auto"/>
        <w:right w:val="none" w:sz="0" w:space="0" w:color="auto"/>
      </w:divBdr>
    </w:div>
    <w:div w:id="1424960857">
      <w:bodyDiv w:val="1"/>
      <w:marLeft w:val="0"/>
      <w:marRight w:val="0"/>
      <w:marTop w:val="0"/>
      <w:marBottom w:val="0"/>
      <w:divBdr>
        <w:top w:val="none" w:sz="0" w:space="0" w:color="auto"/>
        <w:left w:val="none" w:sz="0" w:space="0" w:color="auto"/>
        <w:bottom w:val="none" w:sz="0" w:space="0" w:color="auto"/>
        <w:right w:val="none" w:sz="0" w:space="0" w:color="auto"/>
      </w:divBdr>
    </w:div>
    <w:div w:id="1823617663">
      <w:bodyDiv w:val="1"/>
      <w:marLeft w:val="0"/>
      <w:marRight w:val="0"/>
      <w:marTop w:val="0"/>
      <w:marBottom w:val="0"/>
      <w:divBdr>
        <w:top w:val="none" w:sz="0" w:space="0" w:color="auto"/>
        <w:left w:val="none" w:sz="0" w:space="0" w:color="auto"/>
        <w:bottom w:val="none" w:sz="0" w:space="0" w:color="auto"/>
        <w:right w:val="none" w:sz="0" w:space="0" w:color="auto"/>
      </w:divBdr>
    </w:div>
    <w:div w:id="2107848601">
      <w:bodyDiv w:val="1"/>
      <w:marLeft w:val="0"/>
      <w:marRight w:val="0"/>
      <w:marTop w:val="0"/>
      <w:marBottom w:val="0"/>
      <w:divBdr>
        <w:top w:val="none" w:sz="0" w:space="0" w:color="auto"/>
        <w:left w:val="none" w:sz="0" w:space="0" w:color="auto"/>
        <w:bottom w:val="none" w:sz="0" w:space="0" w:color="auto"/>
        <w:right w:val="none" w:sz="0" w:space="0" w:color="auto"/>
      </w:divBdr>
    </w:div>
    <w:div w:id="211015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antander_Group" TargetMode="External"/><Relationship Id="rId21" Type="http://schemas.openxmlformats.org/officeDocument/2006/relationships/hyperlink" Target="https://en.wikipedia.org/wiki/Digital_transformation" TargetMode="External"/><Relationship Id="rId42" Type="http://schemas.openxmlformats.org/officeDocument/2006/relationships/hyperlink" Target="https://en.wikipedia.org/wiki/Credit_rating" TargetMode="External"/><Relationship Id="rId63" Type="http://schemas.openxmlformats.org/officeDocument/2006/relationships/hyperlink" Target="https://en.wikipedia.org/wiki/Government_of_Singapore" TargetMode="External"/><Relationship Id="rId84" Type="http://schemas.openxmlformats.org/officeDocument/2006/relationships/hyperlink" Target="https://en.wikipedia.org/wiki/HSBC" TargetMode="External"/><Relationship Id="rId138" Type="http://schemas.openxmlformats.org/officeDocument/2006/relationships/hyperlink" Target="https://en.wikipedia.org/wiki/Bank_of_Scotland" TargetMode="External"/><Relationship Id="rId159" Type="http://schemas.openxmlformats.org/officeDocument/2006/relationships/hyperlink" Target="https://en.wikipedia.org/wiki/Headquarter" TargetMode="External"/><Relationship Id="rId170" Type="http://schemas.openxmlformats.org/officeDocument/2006/relationships/hyperlink" Target="https://en.wikipedia.org/wiki/Tata_Sons" TargetMode="External"/><Relationship Id="rId191" Type="http://schemas.openxmlformats.org/officeDocument/2006/relationships/hyperlink" Target="https://en.wikipedia.org/wiki/Cognizant" TargetMode="External"/><Relationship Id="rId107" Type="http://schemas.openxmlformats.org/officeDocument/2006/relationships/hyperlink" Target="https://en.wikipedia.org/wiki/FTSE_100_Index" TargetMode="External"/><Relationship Id="rId11" Type="http://schemas.openxmlformats.org/officeDocument/2006/relationships/hyperlink" Target="https://en.wikipedia.org/wiki/HCL_Technologies" TargetMode="External"/><Relationship Id="rId32" Type="http://schemas.openxmlformats.org/officeDocument/2006/relationships/image" Target="media/image3.png"/><Relationship Id="rId53" Type="http://schemas.openxmlformats.org/officeDocument/2006/relationships/hyperlink" Target="https://en.wikipedia.org/wiki/Retail_banking" TargetMode="External"/><Relationship Id="rId74" Type="http://schemas.openxmlformats.org/officeDocument/2006/relationships/hyperlink" Target="https://en.wikipedia.org/wiki/List_of_largest_banks" TargetMode="External"/><Relationship Id="rId128" Type="http://schemas.openxmlformats.org/officeDocument/2006/relationships/hyperlink" Target="https://en.wikipedia.org/wiki/ABN_AMRO" TargetMode="External"/><Relationship Id="rId149" Type="http://schemas.openxmlformats.org/officeDocument/2006/relationships/hyperlink" Target="https://en.wikipedia.org/wiki/Wipro" TargetMode="External"/><Relationship Id="rId5" Type="http://schemas.openxmlformats.org/officeDocument/2006/relationships/webSettings" Target="webSettings.xml"/><Relationship Id="rId95" Type="http://schemas.openxmlformats.org/officeDocument/2006/relationships/hyperlink" Target="https://en.wikipedia.org/wiki/Barclays" TargetMode="External"/><Relationship Id="rId160" Type="http://schemas.openxmlformats.org/officeDocument/2006/relationships/hyperlink" Target="https://en.wikipedia.org/wiki/Mumbai" TargetMode="External"/><Relationship Id="rId181" Type="http://schemas.openxmlformats.org/officeDocument/2006/relationships/hyperlink" Target="https://en.wikipedia.org/wiki/Teaneck,_New_Jersey" TargetMode="External"/><Relationship Id="rId22" Type="http://schemas.openxmlformats.org/officeDocument/2006/relationships/hyperlink" Target="https://en.wikipedia.org/wiki/Analytics" TargetMode="External"/><Relationship Id="rId43" Type="http://schemas.openxmlformats.org/officeDocument/2006/relationships/hyperlink" Target="https://en.wikipedia.org/wiki/Standard_%26_Poor%27s" TargetMode="External"/><Relationship Id="rId64" Type="http://schemas.openxmlformats.org/officeDocument/2006/relationships/hyperlink" Target="https://en.wikipedia.org/wiki/Temasek_Holdings" TargetMode="External"/><Relationship Id="rId118" Type="http://schemas.openxmlformats.org/officeDocument/2006/relationships/hyperlink" Target="https://en.wikipedia.org/wiki/Fortis_(finance)" TargetMode="External"/><Relationship Id="rId139" Type="http://schemas.openxmlformats.org/officeDocument/2006/relationships/hyperlink" Target="https://en.wikipedia.org/wiki/Jacobite_Rebellion" TargetMode="External"/><Relationship Id="rId85" Type="http://schemas.openxmlformats.org/officeDocument/2006/relationships/hyperlink" Target="https://en.wikipedia.org/wiki/HSBC" TargetMode="External"/><Relationship Id="rId150" Type="http://schemas.openxmlformats.org/officeDocument/2006/relationships/hyperlink" Target="https://en.wikipedia.org/wiki/NASDAQ" TargetMode="External"/><Relationship Id="rId171" Type="http://schemas.openxmlformats.org/officeDocument/2006/relationships/hyperlink" Target="https://en.wikipedia.org/wiki/Tata_Consultancy_Services" TargetMode="External"/><Relationship Id="rId192" Type="http://schemas.openxmlformats.org/officeDocument/2006/relationships/hyperlink" Target="https://en.wikipedia.org/wiki/Fortune_(magazine)" TargetMode="External"/><Relationship Id="rId12" Type="http://schemas.openxmlformats.org/officeDocument/2006/relationships/hyperlink" Target="https://en.wikipedia.org/wiki/HCL_Technologies" TargetMode="External"/><Relationship Id="rId33" Type="http://schemas.openxmlformats.org/officeDocument/2006/relationships/hyperlink" Target="https://en.wikipedia.org/wiki/Multinational_corporation" TargetMode="External"/><Relationship Id="rId108" Type="http://schemas.openxmlformats.org/officeDocument/2006/relationships/hyperlink" Target="https://en.wikipedia.org/wiki/New_York_Stock_Exchange" TargetMode="External"/><Relationship Id="rId129" Type="http://schemas.openxmlformats.org/officeDocument/2006/relationships/image" Target="media/image13.png"/><Relationship Id="rId54" Type="http://schemas.openxmlformats.org/officeDocument/2006/relationships/hyperlink" Target="https://en.wikipedia.org/wiki/Asia" TargetMode="External"/><Relationship Id="rId75" Type="http://schemas.openxmlformats.org/officeDocument/2006/relationships/hyperlink" Target="https://en.wikipedia.org/wiki/10%5E12" TargetMode="External"/><Relationship Id="rId96" Type="http://schemas.openxmlformats.org/officeDocument/2006/relationships/hyperlink" Target="https://en.wikipedia.org/wiki/Barclays" TargetMode="External"/><Relationship Id="rId140" Type="http://schemas.openxmlformats.org/officeDocument/2006/relationships/hyperlink" Target="https://en.wikipedia.org/wiki/Wikipedia:Please_clarify" TargetMode="External"/><Relationship Id="rId161" Type="http://schemas.openxmlformats.org/officeDocument/2006/relationships/hyperlink" Target="https://en.wikipedia.org/wiki/Maharashtra" TargetMode="External"/><Relationship Id="rId182" Type="http://schemas.openxmlformats.org/officeDocument/2006/relationships/hyperlink" Target="https://en.wikipedia.org/wiki/New_Jersey" TargetMode="External"/><Relationship Id="rId6" Type="http://schemas.openxmlformats.org/officeDocument/2006/relationships/footnotes" Target="footnotes.xml"/><Relationship Id="rId23" Type="http://schemas.openxmlformats.org/officeDocument/2006/relationships/hyperlink" Target="https://en.wikipedia.org/wiki/HCL_Technologies" TargetMode="External"/><Relationship Id="rId119" Type="http://schemas.openxmlformats.org/officeDocument/2006/relationships/hyperlink" Target="https://en.wikipedia.org/wiki/Dutch_government" TargetMode="External"/><Relationship Id="rId44" Type="http://schemas.openxmlformats.org/officeDocument/2006/relationships/hyperlink" Target="https://en.wikipedia.org/wiki/Infosys" TargetMode="External"/><Relationship Id="rId65" Type="http://schemas.openxmlformats.org/officeDocument/2006/relationships/hyperlink" Target="https://en.wikipedia.org/wiki/Standard_Chartered" TargetMode="External"/><Relationship Id="rId86" Type="http://schemas.openxmlformats.org/officeDocument/2006/relationships/hyperlink" Target="https://en.wikipedia.org/wiki/Forbes" TargetMode="External"/><Relationship Id="rId130" Type="http://schemas.openxmlformats.org/officeDocument/2006/relationships/image" Target="media/image14.png"/><Relationship Id="rId151" Type="http://schemas.openxmlformats.org/officeDocument/2006/relationships/hyperlink" Target="https://en.wikipedia.org/wiki/Wipro" TargetMode="External"/><Relationship Id="rId172" Type="http://schemas.openxmlformats.org/officeDocument/2006/relationships/hyperlink" Target="https://en.wikipedia.org/wiki/Tata_Consultancy_Services" TargetMode="External"/><Relationship Id="rId193" Type="http://schemas.openxmlformats.org/officeDocument/2006/relationships/hyperlink" Target="https://en.wikipedia.org/wiki/IT_services" TargetMode="External"/><Relationship Id="rId13" Type="http://schemas.openxmlformats.org/officeDocument/2006/relationships/hyperlink" Target="https://en.wikipedia.org/wiki/Information_technology_consulting" TargetMode="External"/><Relationship Id="rId109" Type="http://schemas.openxmlformats.org/officeDocument/2006/relationships/hyperlink" Target="https://en.wikipedia.org/wiki/Qatar_Holdings" TargetMode="External"/><Relationship Id="rId34" Type="http://schemas.openxmlformats.org/officeDocument/2006/relationships/hyperlink" Target="https://en.wikipedia.org/wiki/Business_consulting" TargetMode="External"/><Relationship Id="rId55" Type="http://schemas.openxmlformats.org/officeDocument/2006/relationships/hyperlink" Target="https://en.wikipedia.org/wiki/Africa" TargetMode="External"/><Relationship Id="rId76" Type="http://schemas.openxmlformats.org/officeDocument/2006/relationships/hyperlink" Target="https://en.wikipedia.org/wiki/The_Hongkong_and_Shanghai_Banking_Corporation" TargetMode="External"/><Relationship Id="rId97" Type="http://schemas.openxmlformats.org/officeDocument/2006/relationships/hyperlink" Target="https://en.wikipedia.org/wiki/Goldsmith" TargetMode="External"/><Relationship Id="rId120" Type="http://schemas.openxmlformats.org/officeDocument/2006/relationships/hyperlink" Target="https://en.wikipedia.org/wiki/Fortis_Bank_Nederland" TargetMode="External"/><Relationship Id="rId141" Type="http://schemas.openxmlformats.org/officeDocument/2006/relationships/hyperlink" Target="https://en.wikipedia.org/wiki/House_of_Hanover" TargetMode="External"/><Relationship Id="rId7" Type="http://schemas.openxmlformats.org/officeDocument/2006/relationships/endnotes" Target="endnotes.xml"/><Relationship Id="rId71" Type="http://schemas.openxmlformats.org/officeDocument/2006/relationships/hyperlink" Target="https://en.wikipedia.org/wiki/Multinational_corporation" TargetMode="External"/><Relationship Id="rId92" Type="http://schemas.openxmlformats.org/officeDocument/2006/relationships/hyperlink" Target="https://en.wikipedia.org/wiki/Multinational_corporation" TargetMode="External"/><Relationship Id="rId162" Type="http://schemas.openxmlformats.org/officeDocument/2006/relationships/hyperlink" Target="https://en.wikipedia.org/wiki/Tata_Consultancy_Services" TargetMode="External"/><Relationship Id="rId183" Type="http://schemas.openxmlformats.org/officeDocument/2006/relationships/hyperlink" Target="https://en.wikipedia.org/wiki/NASDAQ-100" TargetMode="External"/><Relationship Id="rId2" Type="http://schemas.openxmlformats.org/officeDocument/2006/relationships/numbering" Target="numbering.xml"/><Relationship Id="rId29" Type="http://schemas.openxmlformats.org/officeDocument/2006/relationships/hyperlink" Target="https://en.wikipedia.org/wiki/HCL_Technologies" TargetMode="External"/><Relationship Id="rId24" Type="http://schemas.openxmlformats.org/officeDocument/2006/relationships/hyperlink" Target="https://en.wikipedia.org/wiki/HCL_Technologies" TargetMode="External"/><Relationship Id="rId40" Type="http://schemas.openxmlformats.org/officeDocument/2006/relationships/hyperlink" Target="https://en.wikipedia.org/wiki/Market_capitalisation" TargetMode="External"/><Relationship Id="rId45" Type="http://schemas.openxmlformats.org/officeDocument/2006/relationships/image" Target="media/image4.png"/><Relationship Id="rId66" Type="http://schemas.openxmlformats.org/officeDocument/2006/relationships/hyperlink" Target="https://en.wikipedia.org/wiki/Standard_Chartered" TargetMode="External"/><Relationship Id="rId87" Type="http://schemas.openxmlformats.org/officeDocument/2006/relationships/hyperlink" Target="https://en.wikipedia.org/wiki/HSBC" TargetMode="External"/><Relationship Id="rId110" Type="http://schemas.openxmlformats.org/officeDocument/2006/relationships/hyperlink" Target="https://en.wikipedia.org/wiki/State_of_Qatar" TargetMode="External"/><Relationship Id="rId115" Type="http://schemas.openxmlformats.org/officeDocument/2006/relationships/hyperlink" Target="https://en.wikipedia.org/wiki/ABN_AMRO" TargetMode="External"/><Relationship Id="rId131" Type="http://schemas.openxmlformats.org/officeDocument/2006/relationships/hyperlink" Target="https://en.wikipedia.org/wiki/Scottish_Gaelic_language" TargetMode="External"/><Relationship Id="rId136" Type="http://schemas.openxmlformats.org/officeDocument/2006/relationships/hyperlink" Target="https://en.wikipedia.org/wiki/NatWest" TargetMode="External"/><Relationship Id="rId157" Type="http://schemas.openxmlformats.org/officeDocument/2006/relationships/hyperlink" Target="https://en.wikipedia.org/wiki/Service_(economics)" TargetMode="External"/><Relationship Id="rId178" Type="http://schemas.openxmlformats.org/officeDocument/2006/relationships/image" Target="media/image20.png"/><Relationship Id="rId61" Type="http://schemas.openxmlformats.org/officeDocument/2006/relationships/hyperlink" Target="https://en.wikipedia.org/wiki/Hong_Kong_Stock_Exchange" TargetMode="External"/><Relationship Id="rId82" Type="http://schemas.openxmlformats.org/officeDocument/2006/relationships/hyperlink" Target="https://en.wikipedia.org/wiki/HSBC" TargetMode="External"/><Relationship Id="rId152" Type="http://schemas.openxmlformats.org/officeDocument/2006/relationships/hyperlink" Target="https://en.wikipedia.org/wiki/Dow_Jones_Sustainability_Index" TargetMode="External"/><Relationship Id="rId173" Type="http://schemas.openxmlformats.org/officeDocument/2006/relationships/hyperlink" Target="https://en.wikipedia.org/wiki/Forbes" TargetMode="External"/><Relationship Id="rId194" Type="http://schemas.openxmlformats.org/officeDocument/2006/relationships/hyperlink" Target="https://en.wikipedia.org/wiki/Cognizant" TargetMode="External"/><Relationship Id="rId199" Type="http://schemas.openxmlformats.org/officeDocument/2006/relationships/theme" Target="theme/theme1.xml"/><Relationship Id="rId19" Type="http://schemas.openxmlformats.org/officeDocument/2006/relationships/hyperlink" Target="https://en.wikipedia.org/wiki/HCL_Technologies" TargetMode="External"/><Relationship Id="rId14" Type="http://schemas.openxmlformats.org/officeDocument/2006/relationships/hyperlink" Target="https://en.wikipedia.org/wiki/Business_Transformation" TargetMode="External"/><Relationship Id="rId30" Type="http://schemas.openxmlformats.org/officeDocument/2006/relationships/hyperlink" Target="https://en.wikipedia.org/wiki/HCL_Technologies" TargetMode="External"/><Relationship Id="rId35" Type="http://schemas.openxmlformats.org/officeDocument/2006/relationships/hyperlink" Target="https://en.wikipedia.org/wiki/Information_technology" TargetMode="External"/><Relationship Id="rId56" Type="http://schemas.openxmlformats.org/officeDocument/2006/relationships/hyperlink" Target="https://en.wikipedia.org/wiki/Middle_East" TargetMode="External"/><Relationship Id="rId77" Type="http://schemas.openxmlformats.org/officeDocument/2006/relationships/hyperlink" Target="https://en.wikipedia.org/wiki/Holding_company" TargetMode="External"/><Relationship Id="rId100" Type="http://schemas.openxmlformats.org/officeDocument/2006/relationships/hyperlink" Target="https://en.wikipedia.org/wiki/Gurney%27s_Bank" TargetMode="External"/><Relationship Id="rId105" Type="http://schemas.openxmlformats.org/officeDocument/2006/relationships/hyperlink" Target="https://en.wikipedia.org/wiki/Lehman_Brothers" TargetMode="External"/><Relationship Id="rId126" Type="http://schemas.openxmlformats.org/officeDocument/2006/relationships/hyperlink" Target="https://en.wikipedia.org/wiki/The_Banker" TargetMode="External"/><Relationship Id="rId147" Type="http://schemas.openxmlformats.org/officeDocument/2006/relationships/hyperlink" Target="https://en.wikipedia.org/wiki/Bengaluru,_India" TargetMode="External"/><Relationship Id="rId168" Type="http://schemas.openxmlformats.org/officeDocument/2006/relationships/hyperlink" Target="https://en.wikipedia.org/wiki/Tata_Consultancy_Services" TargetMode="External"/><Relationship Id="rId8" Type="http://schemas.openxmlformats.org/officeDocument/2006/relationships/image" Target="media/image1.png"/><Relationship Id="rId51" Type="http://schemas.openxmlformats.org/officeDocument/2006/relationships/hyperlink" Target="https://en.wikipedia.org/wiki/England" TargetMode="External"/><Relationship Id="rId72" Type="http://schemas.openxmlformats.org/officeDocument/2006/relationships/hyperlink" Target="https://en.wikipedia.org/wiki/Holding_company" TargetMode="External"/><Relationship Id="rId93" Type="http://schemas.openxmlformats.org/officeDocument/2006/relationships/hyperlink" Target="https://en.wikipedia.org/wiki/Banking" TargetMode="External"/><Relationship Id="rId98" Type="http://schemas.openxmlformats.org/officeDocument/2006/relationships/hyperlink" Target="https://en.wikipedia.org/wiki/Barclays" TargetMode="External"/><Relationship Id="rId121" Type="http://schemas.openxmlformats.org/officeDocument/2006/relationships/hyperlink" Target="https://en.wikipedia.org/wiki/ABN_AMRO" TargetMode="External"/><Relationship Id="rId142" Type="http://schemas.openxmlformats.org/officeDocument/2006/relationships/hyperlink" Target="https://en.wikipedia.org/wiki/Whig_(British_political_faction)" TargetMode="External"/><Relationship Id="rId163" Type="http://schemas.openxmlformats.org/officeDocument/2006/relationships/hyperlink" Target="https://en.wikipedia.org/wiki/Tata_Consultancy_Services" TargetMode="External"/><Relationship Id="rId184" Type="http://schemas.openxmlformats.org/officeDocument/2006/relationships/hyperlink" Target="https://en.wikipedia.org/wiki/S%26P_500" TargetMode="External"/><Relationship Id="rId189" Type="http://schemas.openxmlformats.org/officeDocument/2006/relationships/hyperlink" Target="https://en.wikipedia.org/wiki/Cognizant" TargetMode="External"/><Relationship Id="rId3" Type="http://schemas.openxmlformats.org/officeDocument/2006/relationships/styles" Target="styles.xml"/><Relationship Id="rId25" Type="http://schemas.openxmlformats.org/officeDocument/2006/relationships/hyperlink" Target="https://en.wikipedia.org/wiki/Forbes_Global_2000" TargetMode="External"/><Relationship Id="rId46" Type="http://schemas.openxmlformats.org/officeDocument/2006/relationships/image" Target="media/image5.png"/><Relationship Id="rId67" Type="http://schemas.openxmlformats.org/officeDocument/2006/relationships/hyperlink" Target="https://en.wikipedia.org/wiki/Standard_Chartered" TargetMode="External"/><Relationship Id="rId116" Type="http://schemas.openxmlformats.org/officeDocument/2006/relationships/hyperlink" Target="https://en.wikipedia.org/wiki/Royal_Bank_of_Scotland_Group" TargetMode="External"/><Relationship Id="rId137" Type="http://schemas.openxmlformats.org/officeDocument/2006/relationships/hyperlink" Target="https://en.wikipedia.org/wiki/Ulster_Bank" TargetMode="External"/><Relationship Id="rId158" Type="http://schemas.openxmlformats.org/officeDocument/2006/relationships/hyperlink" Target="https://en.wikipedia.org/wiki/Information_technology_consulting" TargetMode="External"/><Relationship Id="rId20" Type="http://schemas.openxmlformats.org/officeDocument/2006/relationships/hyperlink" Target="https://en.wikipedia.org/wiki/Cybersecurity" TargetMode="External"/><Relationship Id="rId41" Type="http://schemas.openxmlformats.org/officeDocument/2006/relationships/hyperlink" Target="https://en.wikipedia.org/wiki/Infosys" TargetMode="External"/><Relationship Id="rId62" Type="http://schemas.openxmlformats.org/officeDocument/2006/relationships/hyperlink" Target="https://en.wikipedia.org/wiki/National_Stock_Exchange_of_India" TargetMode="External"/><Relationship Id="rId83" Type="http://schemas.openxmlformats.org/officeDocument/2006/relationships/hyperlink" Target="https://en.wikipedia.org/wiki/HSBC" TargetMode="External"/><Relationship Id="rId88" Type="http://schemas.openxmlformats.org/officeDocument/2006/relationships/hyperlink" Target="https://en.wikipedia.org/wiki/Investment_banking" TargetMode="External"/><Relationship Id="rId111" Type="http://schemas.openxmlformats.org/officeDocument/2006/relationships/image" Target="media/image11.png"/><Relationship Id="rId132" Type="http://schemas.openxmlformats.org/officeDocument/2006/relationships/hyperlink" Target="https://en.wikipedia.org/wiki/Scots_language" TargetMode="External"/><Relationship Id="rId153" Type="http://schemas.openxmlformats.org/officeDocument/2006/relationships/image" Target="media/image17.png"/><Relationship Id="rId174" Type="http://schemas.openxmlformats.org/officeDocument/2006/relationships/hyperlink" Target="https://en.wikipedia.org/wiki/Tata_Consultancy_Services" TargetMode="External"/><Relationship Id="rId179" Type="http://schemas.openxmlformats.org/officeDocument/2006/relationships/hyperlink" Target="https://en.wikipedia.org/wiki/Cognizant" TargetMode="External"/><Relationship Id="rId195" Type="http://schemas.openxmlformats.org/officeDocument/2006/relationships/hyperlink" Target="https://en.wikipedia.org/wiki/Fortune_(magazine)" TargetMode="External"/><Relationship Id="rId190" Type="http://schemas.openxmlformats.org/officeDocument/2006/relationships/hyperlink" Target="https://en.wikipedia.org/wiki/Fortune_500" TargetMode="External"/><Relationship Id="rId15" Type="http://schemas.openxmlformats.org/officeDocument/2006/relationships/hyperlink" Target="https://en.wikipedia.org/wiki/Remote_infrastructure_management" TargetMode="External"/><Relationship Id="rId36" Type="http://schemas.openxmlformats.org/officeDocument/2006/relationships/hyperlink" Target="https://en.wikipedia.org/wiki/Outsourcing" TargetMode="External"/><Relationship Id="rId57" Type="http://schemas.openxmlformats.org/officeDocument/2006/relationships/hyperlink" Target="https://en.wikipedia.org/wiki/London_Stock_Exchange" TargetMode="External"/><Relationship Id="rId106" Type="http://schemas.openxmlformats.org/officeDocument/2006/relationships/hyperlink" Target="https://en.wikipedia.org/wiki/London_Stock_Exchange" TargetMode="External"/><Relationship Id="rId127" Type="http://schemas.openxmlformats.org/officeDocument/2006/relationships/hyperlink" Target="https://en.wikipedia.org/wiki/Fortune_Global_500" TargetMode="External"/><Relationship Id="rId10" Type="http://schemas.openxmlformats.org/officeDocument/2006/relationships/hyperlink" Target="https://en.wikipedia.org/wiki/Research_and_development" TargetMode="External"/><Relationship Id="rId31" Type="http://schemas.openxmlformats.org/officeDocument/2006/relationships/image" Target="media/image2.png"/><Relationship Id="rId52" Type="http://schemas.openxmlformats.org/officeDocument/2006/relationships/hyperlink" Target="https://en.wikipedia.org/wiki/Universal_bank" TargetMode="External"/><Relationship Id="rId73" Type="http://schemas.openxmlformats.org/officeDocument/2006/relationships/hyperlink" Target="https://en.wikipedia.org/wiki/Hong_Kong" TargetMode="External"/><Relationship Id="rId78" Type="http://schemas.openxmlformats.org/officeDocument/2006/relationships/hyperlink" Target="https://en.wikipedia.org/wiki/HSBC" TargetMode="External"/><Relationship Id="rId94" Type="http://schemas.openxmlformats.org/officeDocument/2006/relationships/hyperlink" Target="https://en.wikipedia.org/wiki/Financial_services" TargetMode="External"/><Relationship Id="rId99" Type="http://schemas.openxmlformats.org/officeDocument/2006/relationships/hyperlink" Target="https://en.wikipedia.org/wiki/Backhouse%27s_Bank" TargetMode="External"/><Relationship Id="rId101" Type="http://schemas.openxmlformats.org/officeDocument/2006/relationships/hyperlink" Target="https://en.wikipedia.org/wiki/Joint-stock_company" TargetMode="External"/><Relationship Id="rId122" Type="http://schemas.openxmlformats.org/officeDocument/2006/relationships/hyperlink" Target="https://en.wikipedia.org/wiki/Algemene_Bank_Nederland" TargetMode="External"/><Relationship Id="rId143" Type="http://schemas.openxmlformats.org/officeDocument/2006/relationships/image" Target="media/image15.png"/><Relationship Id="rId148" Type="http://schemas.openxmlformats.org/officeDocument/2006/relationships/hyperlink" Target="https://en.wikipedia.org/wiki/Wipro" TargetMode="External"/><Relationship Id="rId164" Type="http://schemas.openxmlformats.org/officeDocument/2006/relationships/hyperlink" Target="https://en.wikipedia.org/wiki/Tata_Group" TargetMode="External"/><Relationship Id="rId169" Type="http://schemas.openxmlformats.org/officeDocument/2006/relationships/hyperlink" Target="https://en.wikipedia.org/wiki/Tata_Consultancy_Services" TargetMode="External"/><Relationship Id="rId185" Type="http://schemas.openxmlformats.org/officeDocument/2006/relationships/hyperlink" Target="https://en.wikipedia.org/wiki/Dun_%26_Bradstreet" TargetMode="External"/><Relationship Id="rId4" Type="http://schemas.openxmlformats.org/officeDocument/2006/relationships/settings" Target="settings.xml"/><Relationship Id="rId9" Type="http://schemas.openxmlformats.org/officeDocument/2006/relationships/hyperlink" Target="https://en.wikipedia.org/wiki/Noida" TargetMode="External"/><Relationship Id="rId180" Type="http://schemas.openxmlformats.org/officeDocument/2006/relationships/hyperlink" Target="https://en.wikipedia.org/wiki/Multinational_corporation" TargetMode="External"/><Relationship Id="rId26" Type="http://schemas.openxmlformats.org/officeDocument/2006/relationships/hyperlink" Target="https://en.wikipedia.org/wiki/HCL_Technologies" TargetMode="External"/><Relationship Id="rId47" Type="http://schemas.openxmlformats.org/officeDocument/2006/relationships/image" Target="media/image6.png"/><Relationship Id="rId68" Type="http://schemas.openxmlformats.org/officeDocument/2006/relationships/image" Target="media/image7.png"/><Relationship Id="rId89" Type="http://schemas.openxmlformats.org/officeDocument/2006/relationships/image" Target="media/image9.png"/><Relationship Id="rId112" Type="http://schemas.openxmlformats.org/officeDocument/2006/relationships/image" Target="media/image12.png"/><Relationship Id="rId133" Type="http://schemas.openxmlformats.org/officeDocument/2006/relationships/hyperlink" Target="https://en.wikipedia.org/wiki/Welsh_language" TargetMode="External"/><Relationship Id="rId154" Type="http://schemas.openxmlformats.org/officeDocument/2006/relationships/image" Target="media/image18.png"/><Relationship Id="rId175" Type="http://schemas.openxmlformats.org/officeDocument/2006/relationships/hyperlink" Target="https://en.wikipedia.org/wiki/Tata_Consultancy_Services" TargetMode="External"/><Relationship Id="rId196" Type="http://schemas.openxmlformats.org/officeDocument/2006/relationships/image" Target="media/image21.png"/><Relationship Id="rId16" Type="http://schemas.openxmlformats.org/officeDocument/2006/relationships/hyperlink" Target="https://en.wikipedia.org/wiki/Research_and_development" TargetMode="External"/><Relationship Id="rId37" Type="http://schemas.openxmlformats.org/officeDocument/2006/relationships/hyperlink" Target="https://en.wikipedia.org/wiki/Bengaluru" TargetMode="External"/><Relationship Id="rId58" Type="http://schemas.openxmlformats.org/officeDocument/2006/relationships/hyperlink" Target="https://en.wikipedia.org/wiki/FTSE_100_Index" TargetMode="External"/><Relationship Id="rId79" Type="http://schemas.openxmlformats.org/officeDocument/2006/relationships/hyperlink" Target="https://en.wikipedia.org/wiki/HSBC" TargetMode="External"/><Relationship Id="rId102" Type="http://schemas.openxmlformats.org/officeDocument/2006/relationships/hyperlink" Target="https://en.wikipedia.org/wiki/Automated_teller_machine" TargetMode="External"/><Relationship Id="rId123" Type="http://schemas.openxmlformats.org/officeDocument/2006/relationships/hyperlink" Target="https://en.wikipedia.org/wiki/AMRO_Bank" TargetMode="External"/><Relationship Id="rId144" Type="http://schemas.openxmlformats.org/officeDocument/2006/relationships/image" Target="media/image16.png"/><Relationship Id="rId90" Type="http://schemas.openxmlformats.org/officeDocument/2006/relationships/image" Target="media/image10.png"/><Relationship Id="rId165" Type="http://schemas.openxmlformats.org/officeDocument/2006/relationships/hyperlink" Target="https://en.wikipedia.org/wiki/Tata_Consultancy_Services" TargetMode="External"/><Relationship Id="rId186" Type="http://schemas.openxmlformats.org/officeDocument/2006/relationships/hyperlink" Target="https://en.wikipedia.org/wiki/Cognizant" TargetMode="External"/><Relationship Id="rId27" Type="http://schemas.openxmlformats.org/officeDocument/2006/relationships/hyperlink" Target="https://en.wikipedia.org/wiki/HCL_Technologies" TargetMode="External"/><Relationship Id="rId48" Type="http://schemas.openxmlformats.org/officeDocument/2006/relationships/hyperlink" Target="https://en.wikipedia.org/wiki/Multinational_corporation" TargetMode="External"/><Relationship Id="rId69" Type="http://schemas.openxmlformats.org/officeDocument/2006/relationships/image" Target="media/image8.png"/><Relationship Id="rId113" Type="http://schemas.openxmlformats.org/officeDocument/2006/relationships/hyperlink" Target="https://en.wikipedia.org/wiki/Netherlands" TargetMode="External"/><Relationship Id="rId134" Type="http://schemas.openxmlformats.org/officeDocument/2006/relationships/hyperlink" Target="https://en.wikipedia.org/wiki/Royal_Bank_of_Scotland" TargetMode="External"/><Relationship Id="rId80" Type="http://schemas.openxmlformats.org/officeDocument/2006/relationships/hyperlink" Target="https://en.wikipedia.org/wiki/Hong_Kong" TargetMode="External"/><Relationship Id="rId155" Type="http://schemas.openxmlformats.org/officeDocument/2006/relationships/hyperlink" Target="https://en.wikipedia.org/wiki/Multinational_corporation" TargetMode="External"/><Relationship Id="rId176" Type="http://schemas.openxmlformats.org/officeDocument/2006/relationships/hyperlink" Target="https://en.wikipedia.org/wiki/Fortune_India_500" TargetMode="External"/><Relationship Id="rId197" Type="http://schemas.openxmlformats.org/officeDocument/2006/relationships/footer" Target="footer1.xml"/><Relationship Id="rId17" Type="http://schemas.openxmlformats.org/officeDocument/2006/relationships/hyperlink" Target="https://en.wikipedia.org/wiki/Business_process_outsourcing" TargetMode="External"/><Relationship Id="rId38" Type="http://schemas.openxmlformats.org/officeDocument/2006/relationships/hyperlink" Target="https://en.wikipedia.org/wiki/Infosys" TargetMode="External"/><Relationship Id="rId59" Type="http://schemas.openxmlformats.org/officeDocument/2006/relationships/hyperlink" Target="https://en.wikipedia.org/wiki/Market_capitalisation" TargetMode="External"/><Relationship Id="rId103" Type="http://schemas.openxmlformats.org/officeDocument/2006/relationships/hyperlink" Target="https://en.wikipedia.org/wiki/British_Linen_Bank" TargetMode="External"/><Relationship Id="rId124" Type="http://schemas.openxmlformats.org/officeDocument/2006/relationships/hyperlink" Target="https://en.wikipedia.org/wiki/Europe" TargetMode="External"/><Relationship Id="rId70" Type="http://schemas.openxmlformats.org/officeDocument/2006/relationships/hyperlink" Target="https://en.wikipedia.org/wiki/HSBC" TargetMode="External"/><Relationship Id="rId91" Type="http://schemas.openxmlformats.org/officeDocument/2006/relationships/hyperlink" Target="https://en.wikipedia.org/wiki/Help:IPA/English" TargetMode="External"/><Relationship Id="rId145" Type="http://schemas.openxmlformats.org/officeDocument/2006/relationships/hyperlink" Target="https://en.wikipedia.org/wiki/Wipro" TargetMode="External"/><Relationship Id="rId166" Type="http://schemas.openxmlformats.org/officeDocument/2006/relationships/hyperlink" Target="https://en.wikipedia.org/wiki/Market_capitalization" TargetMode="External"/><Relationship Id="rId187" Type="http://schemas.openxmlformats.org/officeDocument/2006/relationships/hyperlink" Target="https://en.wikipedia.org/wiki/Cognizant" TargetMode="External"/><Relationship Id="rId1" Type="http://schemas.openxmlformats.org/officeDocument/2006/relationships/customXml" Target="../customXml/item1.xml"/><Relationship Id="rId28" Type="http://schemas.openxmlformats.org/officeDocument/2006/relationships/hyperlink" Target="https://en.wikipedia.org/wiki/HCL_Technologies" TargetMode="External"/><Relationship Id="rId49" Type="http://schemas.openxmlformats.org/officeDocument/2006/relationships/hyperlink" Target="https://en.wikipedia.org/wiki/Financial_service" TargetMode="External"/><Relationship Id="rId114" Type="http://schemas.openxmlformats.org/officeDocument/2006/relationships/hyperlink" Target="https://en.wikipedia.org/wiki/Amsterdam" TargetMode="External"/><Relationship Id="rId60" Type="http://schemas.openxmlformats.org/officeDocument/2006/relationships/hyperlink" Target="https://en.wikipedia.org/wiki/Standard_Chartered" TargetMode="External"/><Relationship Id="rId81" Type="http://schemas.openxmlformats.org/officeDocument/2006/relationships/hyperlink" Target="https://en.wikipedia.org/wiki/Shanghai" TargetMode="External"/><Relationship Id="rId135" Type="http://schemas.openxmlformats.org/officeDocument/2006/relationships/hyperlink" Target="https://en.wikipedia.org/wiki/The_Royal_Bank_of_Scotland_Group" TargetMode="External"/><Relationship Id="rId156" Type="http://schemas.openxmlformats.org/officeDocument/2006/relationships/hyperlink" Target="https://en.wikipedia.org/wiki/Information_technology" TargetMode="External"/><Relationship Id="rId177" Type="http://schemas.openxmlformats.org/officeDocument/2006/relationships/image" Target="media/image19.jpeg"/><Relationship Id="rId198" Type="http://schemas.openxmlformats.org/officeDocument/2006/relationships/fontTable" Target="fontTable.xml"/><Relationship Id="rId18" Type="http://schemas.openxmlformats.org/officeDocument/2006/relationships/hyperlink" Target="https://en.wikipedia.org/wiki/HCL_Technologies" TargetMode="External"/><Relationship Id="rId39" Type="http://schemas.openxmlformats.org/officeDocument/2006/relationships/hyperlink" Target="https://en.wikipedia.org/wiki/Infosys" TargetMode="External"/><Relationship Id="rId50" Type="http://schemas.openxmlformats.org/officeDocument/2006/relationships/hyperlink" Target="https://en.wikipedia.org/wiki/London" TargetMode="External"/><Relationship Id="rId104" Type="http://schemas.openxmlformats.org/officeDocument/2006/relationships/hyperlink" Target="https://en.wikipedia.org/wiki/The_Woolwich" TargetMode="External"/><Relationship Id="rId125" Type="http://schemas.openxmlformats.org/officeDocument/2006/relationships/hyperlink" Target="https://en.wikipedia.org/wiki/Assets" TargetMode="External"/><Relationship Id="rId146" Type="http://schemas.openxmlformats.org/officeDocument/2006/relationships/hyperlink" Target="https://en.wikipedia.org/wiki/Wipro" TargetMode="External"/><Relationship Id="rId167" Type="http://schemas.openxmlformats.org/officeDocument/2006/relationships/hyperlink" Target="https://en.wikipedia.org/wiki/Tata_Consultancy_Services" TargetMode="External"/><Relationship Id="rId188" Type="http://schemas.openxmlformats.org/officeDocument/2006/relationships/hyperlink" Target="https://en.wikipedia.org/wiki/Initial_public_offering" TargetMode="Externa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349B4-4028-4550-8D3E-7A2EEE961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3867</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Muthiah, Rajkumar</dc:creator>
  <cp:keywords/>
  <dc:description/>
  <cp:lastModifiedBy>Muthiah, Rajkumar</cp:lastModifiedBy>
  <cp:revision>6</cp:revision>
  <cp:lastPrinted>2014-07-03T17:47:00Z</cp:lastPrinted>
  <dcterms:created xsi:type="dcterms:W3CDTF">2018-02-05T07:27:00Z</dcterms:created>
  <dcterms:modified xsi:type="dcterms:W3CDTF">2018-02-09T03:55:00Z</dcterms:modified>
</cp:coreProperties>
</file>