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42A" w:rsidRDefault="003F042A" w:rsidP="00A13B9E">
      <w:pPr>
        <w:spacing w:line="480" w:lineRule="auto"/>
        <w:jc w:val="center"/>
        <w:rPr>
          <w:rFonts w:ascii="Times New Roman" w:hAnsi="Times New Roman" w:cs="Times New Roman"/>
          <w:b/>
          <w:sz w:val="24"/>
        </w:rPr>
      </w:pPr>
      <w:bookmarkStart w:id="0" w:name="_GoBack"/>
      <w:bookmarkEnd w:id="0"/>
    </w:p>
    <w:p w:rsidR="009B3F9E" w:rsidRDefault="003F042A" w:rsidP="00A13B9E">
      <w:pPr>
        <w:spacing w:line="480" w:lineRule="auto"/>
        <w:jc w:val="center"/>
        <w:rPr>
          <w:rFonts w:ascii="Times New Roman" w:hAnsi="Times New Roman" w:cs="Times New Roman"/>
          <w:b/>
          <w:sz w:val="28"/>
        </w:rPr>
      </w:pPr>
      <w:r w:rsidRPr="00383BC5">
        <w:rPr>
          <w:rFonts w:ascii="Times New Roman" w:hAnsi="Times New Roman" w:cs="Times New Roman"/>
          <w:b/>
          <w:sz w:val="28"/>
        </w:rPr>
        <w:t xml:space="preserve">Análisis de la </w:t>
      </w:r>
      <w:r w:rsidR="00A13B9E" w:rsidRPr="00383BC5">
        <w:rPr>
          <w:rFonts w:ascii="Times New Roman" w:hAnsi="Times New Roman" w:cs="Times New Roman"/>
          <w:b/>
          <w:sz w:val="28"/>
        </w:rPr>
        <w:t>Paridad de Poder de Compra</w:t>
      </w:r>
      <w:r w:rsidRPr="00383BC5">
        <w:rPr>
          <w:rFonts w:ascii="Times New Roman" w:hAnsi="Times New Roman" w:cs="Times New Roman"/>
          <w:b/>
          <w:sz w:val="28"/>
        </w:rPr>
        <w:t xml:space="preserve"> entre México, Estados Unidos y Canadá: Una Aproximación Mediante Series de Tiempo</w:t>
      </w:r>
      <w:r w:rsidR="00E65FEF">
        <w:rPr>
          <w:rStyle w:val="Refdenotaalpie"/>
          <w:rFonts w:ascii="Times New Roman" w:hAnsi="Times New Roman" w:cs="Times New Roman"/>
          <w:b/>
          <w:sz w:val="28"/>
        </w:rPr>
        <w:footnoteReference w:id="1"/>
      </w:r>
    </w:p>
    <w:p w:rsidR="003F042A" w:rsidRDefault="003F042A" w:rsidP="00A13B9E">
      <w:pPr>
        <w:spacing w:line="480" w:lineRule="auto"/>
        <w:jc w:val="center"/>
        <w:rPr>
          <w:rFonts w:ascii="Times New Roman" w:hAnsi="Times New Roman" w:cs="Times New Roman"/>
          <w:b/>
          <w:sz w:val="24"/>
        </w:rPr>
      </w:pPr>
    </w:p>
    <w:p w:rsidR="00383BC5" w:rsidRPr="00A57B19" w:rsidRDefault="003F042A" w:rsidP="00A13B9E">
      <w:pPr>
        <w:spacing w:line="480" w:lineRule="auto"/>
        <w:jc w:val="center"/>
        <w:rPr>
          <w:rFonts w:ascii="Times New Roman" w:hAnsi="Times New Roman" w:cs="Times New Roman"/>
          <w:i/>
          <w:sz w:val="28"/>
        </w:rPr>
      </w:pPr>
      <w:r w:rsidRPr="00A57B19">
        <w:rPr>
          <w:rFonts w:ascii="Times New Roman" w:hAnsi="Times New Roman" w:cs="Times New Roman"/>
          <w:i/>
          <w:sz w:val="28"/>
        </w:rPr>
        <w:t xml:space="preserve">Juan Pablo Hernández Reyes y </w:t>
      </w:r>
    </w:p>
    <w:p w:rsidR="003F042A" w:rsidRPr="00A57B19" w:rsidRDefault="003F042A" w:rsidP="00A13B9E">
      <w:pPr>
        <w:spacing w:line="480" w:lineRule="auto"/>
        <w:jc w:val="center"/>
        <w:rPr>
          <w:rFonts w:ascii="Times New Roman" w:hAnsi="Times New Roman" w:cs="Times New Roman"/>
          <w:i/>
          <w:sz w:val="28"/>
        </w:rPr>
      </w:pPr>
      <w:proofErr w:type="spellStart"/>
      <w:r w:rsidRPr="00A57B19">
        <w:rPr>
          <w:rFonts w:ascii="Times New Roman" w:hAnsi="Times New Roman" w:cs="Times New Roman"/>
          <w:i/>
          <w:sz w:val="28"/>
        </w:rPr>
        <w:t>Hairo</w:t>
      </w:r>
      <w:proofErr w:type="spellEnd"/>
      <w:r w:rsidRPr="00A57B19">
        <w:rPr>
          <w:rFonts w:ascii="Times New Roman" w:hAnsi="Times New Roman" w:cs="Times New Roman"/>
          <w:i/>
          <w:sz w:val="28"/>
        </w:rPr>
        <w:t xml:space="preserve"> Ulises Miranda Belmonte</w:t>
      </w:r>
    </w:p>
    <w:p w:rsidR="00A13B9E" w:rsidRDefault="00A13B9E" w:rsidP="00A13B9E">
      <w:pPr>
        <w:spacing w:line="480" w:lineRule="auto"/>
        <w:jc w:val="center"/>
        <w:rPr>
          <w:rFonts w:ascii="Times New Roman" w:hAnsi="Times New Roman" w:cs="Times New Roman"/>
          <w:sz w:val="24"/>
        </w:rPr>
      </w:pPr>
    </w:p>
    <w:p w:rsidR="00383BC5" w:rsidRDefault="00383BC5" w:rsidP="00A13B9E">
      <w:pPr>
        <w:spacing w:line="480" w:lineRule="auto"/>
        <w:jc w:val="center"/>
        <w:rPr>
          <w:rFonts w:ascii="Times New Roman" w:hAnsi="Times New Roman" w:cs="Times New Roman"/>
          <w:sz w:val="24"/>
        </w:rPr>
      </w:pPr>
    </w:p>
    <w:p w:rsidR="003F042A" w:rsidRPr="00383BC5" w:rsidRDefault="003F042A" w:rsidP="00A13B9E">
      <w:pPr>
        <w:spacing w:line="480" w:lineRule="auto"/>
        <w:jc w:val="center"/>
        <w:rPr>
          <w:rFonts w:ascii="Times New Roman" w:hAnsi="Times New Roman" w:cs="Times New Roman"/>
          <w:b/>
          <w:sz w:val="24"/>
        </w:rPr>
      </w:pPr>
      <w:r w:rsidRPr="00383BC5">
        <w:rPr>
          <w:rFonts w:ascii="Times New Roman" w:hAnsi="Times New Roman" w:cs="Times New Roman"/>
          <w:b/>
          <w:sz w:val="24"/>
        </w:rPr>
        <w:t>Resumen</w:t>
      </w:r>
    </w:p>
    <w:p w:rsidR="003F042A" w:rsidRDefault="003F042A" w:rsidP="003F042A">
      <w:pPr>
        <w:spacing w:line="480" w:lineRule="auto"/>
        <w:jc w:val="both"/>
        <w:rPr>
          <w:rFonts w:ascii="Times New Roman" w:hAnsi="Times New Roman" w:cs="Times New Roman"/>
          <w:sz w:val="24"/>
        </w:rPr>
      </w:pPr>
      <w:r>
        <w:rPr>
          <w:rFonts w:ascii="Times New Roman" w:hAnsi="Times New Roman" w:cs="Times New Roman"/>
          <w:sz w:val="24"/>
        </w:rPr>
        <w:t xml:space="preserve">El </w:t>
      </w:r>
      <w:r w:rsidR="00383BC5">
        <w:rPr>
          <w:rFonts w:ascii="Times New Roman" w:hAnsi="Times New Roman" w:cs="Times New Roman"/>
          <w:sz w:val="24"/>
        </w:rPr>
        <w:t>Objetivo</w:t>
      </w:r>
      <w:r>
        <w:rPr>
          <w:rFonts w:ascii="Times New Roman" w:hAnsi="Times New Roman" w:cs="Times New Roman"/>
          <w:sz w:val="24"/>
        </w:rPr>
        <w:t xml:space="preserve"> de este trabajo es probar la validez empírica </w:t>
      </w:r>
      <w:r w:rsidR="00383BC5">
        <w:rPr>
          <w:rFonts w:ascii="Times New Roman" w:hAnsi="Times New Roman" w:cs="Times New Roman"/>
          <w:sz w:val="24"/>
        </w:rPr>
        <w:t>de la teoría de la paridad de poder de c</w:t>
      </w:r>
      <w:r>
        <w:rPr>
          <w:rFonts w:ascii="Times New Roman" w:hAnsi="Times New Roman" w:cs="Times New Roman"/>
          <w:sz w:val="24"/>
        </w:rPr>
        <w:t xml:space="preserve">ompra, mediante un análisis de series temporales. </w:t>
      </w:r>
      <w:r w:rsidR="00383BC5">
        <w:rPr>
          <w:rFonts w:ascii="Times New Roman" w:hAnsi="Times New Roman" w:cs="Times New Roman"/>
          <w:sz w:val="24"/>
        </w:rPr>
        <w:t>Particularmente estudiamos las relaciones: México-Estados Unidos y México-Canadá. Para este propósito utilizamos dos metodologías. Primero calculamos el tipo de cambio real para ambas relaciones, los cuales, según la teoría, deben ser estacionarios. Por otro lado, hacemos un análisis de cointegración utilizando la metodología propuesta po</w:t>
      </w:r>
      <w:r w:rsidR="00AB7B89">
        <w:rPr>
          <w:rFonts w:ascii="Times New Roman" w:hAnsi="Times New Roman" w:cs="Times New Roman"/>
          <w:sz w:val="24"/>
        </w:rPr>
        <w:t>r Engel y Granger</w:t>
      </w:r>
      <w:r w:rsidR="00F658B9">
        <w:rPr>
          <w:rFonts w:ascii="Times New Roman" w:hAnsi="Times New Roman" w:cs="Times New Roman"/>
          <w:sz w:val="24"/>
        </w:rPr>
        <w:t xml:space="preserve"> (1978). Nuestros resultados no encuentran evidencia que valide la teoría mediante ninguna de las dos aproximaciones</w:t>
      </w:r>
      <w:r w:rsidR="00383BC5">
        <w:rPr>
          <w:rFonts w:ascii="Times New Roman" w:hAnsi="Times New Roman" w:cs="Times New Roman"/>
          <w:sz w:val="24"/>
        </w:rPr>
        <w:t xml:space="preserve">. </w:t>
      </w:r>
      <w:r w:rsidR="00F658B9">
        <w:rPr>
          <w:rFonts w:ascii="Times New Roman" w:hAnsi="Times New Roman" w:cs="Times New Roman"/>
          <w:sz w:val="24"/>
        </w:rPr>
        <w:t>Sin embargo, es necesario tomar con precaución estos resultados debido a los numerosos cambios estructurales que tienen las series.</w:t>
      </w:r>
    </w:p>
    <w:p w:rsidR="00E65FEF" w:rsidRDefault="003F042A" w:rsidP="003F042A">
      <w:pPr>
        <w:spacing w:line="480" w:lineRule="auto"/>
        <w:jc w:val="both"/>
        <w:rPr>
          <w:rFonts w:ascii="Times New Roman" w:hAnsi="Times New Roman" w:cs="Times New Roman"/>
          <w:sz w:val="24"/>
        </w:rPr>
      </w:pPr>
      <w:r>
        <w:rPr>
          <w:rFonts w:ascii="Times New Roman" w:hAnsi="Times New Roman" w:cs="Times New Roman"/>
          <w:sz w:val="24"/>
        </w:rPr>
        <w:t xml:space="preserve"> </w:t>
      </w:r>
    </w:p>
    <w:p w:rsidR="001223BF" w:rsidRDefault="00C22D63" w:rsidP="001223BF">
      <w:pPr>
        <w:pStyle w:val="Prrafodelista"/>
        <w:numPr>
          <w:ilvl w:val="0"/>
          <w:numId w:val="1"/>
        </w:numPr>
        <w:spacing w:line="480" w:lineRule="auto"/>
        <w:rPr>
          <w:rFonts w:ascii="Times New Roman" w:hAnsi="Times New Roman" w:cs="Times New Roman"/>
          <w:b/>
          <w:sz w:val="24"/>
        </w:rPr>
      </w:pPr>
      <w:r w:rsidRPr="00A10A74">
        <w:rPr>
          <w:rFonts w:ascii="Times New Roman" w:hAnsi="Times New Roman" w:cs="Times New Roman"/>
          <w:b/>
          <w:sz w:val="24"/>
        </w:rPr>
        <w:lastRenderedPageBreak/>
        <w:t>Introducción</w:t>
      </w:r>
    </w:p>
    <w:p w:rsidR="001223BF" w:rsidRDefault="001223BF" w:rsidP="001223BF">
      <w:pPr>
        <w:spacing w:line="480" w:lineRule="auto"/>
        <w:jc w:val="both"/>
        <w:rPr>
          <w:rFonts w:ascii="Times New Roman" w:hAnsi="Times New Roman" w:cs="Times New Roman"/>
          <w:sz w:val="24"/>
        </w:rPr>
      </w:pPr>
      <w:r w:rsidRPr="001223BF">
        <w:rPr>
          <w:rFonts w:ascii="Times New Roman" w:hAnsi="Times New Roman" w:cs="Times New Roman"/>
          <w:sz w:val="24"/>
        </w:rPr>
        <w:t>El concepto de la paridad del poder de compra</w:t>
      </w:r>
      <w:r w:rsidR="005744C6">
        <w:rPr>
          <w:rFonts w:ascii="Times New Roman" w:hAnsi="Times New Roman" w:cs="Times New Roman"/>
          <w:sz w:val="24"/>
        </w:rPr>
        <w:t xml:space="preserve"> (PPC)</w:t>
      </w:r>
      <w:r w:rsidRPr="001223BF">
        <w:rPr>
          <w:rFonts w:ascii="Times New Roman" w:hAnsi="Times New Roman" w:cs="Times New Roman"/>
          <w:sz w:val="24"/>
        </w:rPr>
        <w:t xml:space="preserve"> es una idea que ha venido evolucionando desde</w:t>
      </w:r>
      <w:r w:rsidR="005744C6">
        <w:rPr>
          <w:rFonts w:ascii="Times New Roman" w:hAnsi="Times New Roman" w:cs="Times New Roman"/>
          <w:sz w:val="24"/>
        </w:rPr>
        <w:t xml:space="preserve"> la época de la escuela de Salamanca, en el </w:t>
      </w:r>
      <w:r w:rsidRPr="001223BF">
        <w:rPr>
          <w:rFonts w:ascii="Times New Roman" w:hAnsi="Times New Roman" w:cs="Times New Roman"/>
          <w:sz w:val="24"/>
        </w:rPr>
        <w:t xml:space="preserve">Siglo XVI. Sin embargo, ésta fue formalizada y </w:t>
      </w:r>
      <w:r w:rsidR="005744C6">
        <w:rPr>
          <w:rFonts w:ascii="Times New Roman" w:hAnsi="Times New Roman" w:cs="Times New Roman"/>
          <w:sz w:val="24"/>
        </w:rPr>
        <w:t>desarrollada</w:t>
      </w:r>
      <w:r w:rsidRPr="001223BF">
        <w:rPr>
          <w:rFonts w:ascii="Times New Roman" w:hAnsi="Times New Roman" w:cs="Times New Roman"/>
          <w:sz w:val="24"/>
        </w:rPr>
        <w:t xml:space="preserve"> tal como la conocemos hoy día por Gustav </w:t>
      </w:r>
      <w:proofErr w:type="spellStart"/>
      <w:r w:rsidRPr="001223BF">
        <w:rPr>
          <w:rFonts w:ascii="Times New Roman" w:hAnsi="Times New Roman" w:cs="Times New Roman"/>
          <w:sz w:val="24"/>
        </w:rPr>
        <w:t>Cassel</w:t>
      </w:r>
      <w:proofErr w:type="spellEnd"/>
      <w:r w:rsidRPr="001223BF">
        <w:rPr>
          <w:rFonts w:ascii="Times New Roman" w:hAnsi="Times New Roman" w:cs="Times New Roman"/>
          <w:sz w:val="24"/>
        </w:rPr>
        <w:t xml:space="preserve"> en 1918 (Murias, 1998). </w:t>
      </w:r>
      <w:r w:rsidR="005744C6">
        <w:rPr>
          <w:rFonts w:ascii="Times New Roman" w:hAnsi="Times New Roman" w:cs="Times New Roman"/>
          <w:sz w:val="24"/>
        </w:rPr>
        <w:t xml:space="preserve">El objetivo de la </w:t>
      </w:r>
      <w:r w:rsidR="001E51FF">
        <w:rPr>
          <w:rFonts w:ascii="Times New Roman" w:hAnsi="Times New Roman" w:cs="Times New Roman"/>
          <w:sz w:val="24"/>
        </w:rPr>
        <w:t>teoría</w:t>
      </w:r>
      <w:r w:rsidR="005744C6">
        <w:rPr>
          <w:rFonts w:ascii="Times New Roman" w:hAnsi="Times New Roman" w:cs="Times New Roman"/>
          <w:sz w:val="24"/>
        </w:rPr>
        <w:t xml:space="preserve"> es explicar el tipo de cambio real en una economía abierta. </w:t>
      </w:r>
      <w:r>
        <w:rPr>
          <w:rFonts w:ascii="Times New Roman" w:hAnsi="Times New Roman" w:cs="Times New Roman"/>
          <w:sz w:val="24"/>
        </w:rPr>
        <w:t>Básicamente, lo</w:t>
      </w:r>
      <w:r w:rsidR="001E51FF">
        <w:rPr>
          <w:rFonts w:ascii="Times New Roman" w:hAnsi="Times New Roman" w:cs="Times New Roman"/>
          <w:sz w:val="24"/>
        </w:rPr>
        <w:t xml:space="preserve"> que nos dice</w:t>
      </w:r>
      <w:r>
        <w:rPr>
          <w:rFonts w:ascii="Times New Roman" w:hAnsi="Times New Roman" w:cs="Times New Roman"/>
          <w:sz w:val="24"/>
        </w:rPr>
        <w:t xml:space="preserve">, en su versión absoluta, es que </w:t>
      </w:r>
      <w:r w:rsidRPr="001223BF">
        <w:rPr>
          <w:rFonts w:ascii="Times New Roman" w:hAnsi="Times New Roman" w:cs="Times New Roman"/>
          <w:sz w:val="24"/>
        </w:rPr>
        <w:t>el precio de una canasta de bienes y servicios es el mismo</w:t>
      </w:r>
      <w:r>
        <w:rPr>
          <w:rFonts w:ascii="Times New Roman" w:hAnsi="Times New Roman" w:cs="Times New Roman"/>
          <w:sz w:val="24"/>
        </w:rPr>
        <w:t>,</w:t>
      </w:r>
      <w:r w:rsidRPr="001223BF">
        <w:rPr>
          <w:rFonts w:ascii="Times New Roman" w:hAnsi="Times New Roman" w:cs="Times New Roman"/>
          <w:sz w:val="24"/>
        </w:rPr>
        <w:t xml:space="preserve"> en todas las ubicaciones</w:t>
      </w:r>
      <w:r>
        <w:rPr>
          <w:rFonts w:ascii="Times New Roman" w:hAnsi="Times New Roman" w:cs="Times New Roman"/>
          <w:sz w:val="24"/>
        </w:rPr>
        <w:t xml:space="preserve"> geográficas</w:t>
      </w:r>
      <w:r w:rsidRPr="001223BF">
        <w:rPr>
          <w:rFonts w:ascii="Times New Roman" w:hAnsi="Times New Roman" w:cs="Times New Roman"/>
          <w:sz w:val="24"/>
        </w:rPr>
        <w:t xml:space="preserve"> </w:t>
      </w:r>
      <w:r>
        <w:rPr>
          <w:rFonts w:ascii="Times New Roman" w:hAnsi="Times New Roman" w:cs="Times New Roman"/>
          <w:sz w:val="24"/>
        </w:rPr>
        <w:t xml:space="preserve">y </w:t>
      </w:r>
      <w:r w:rsidRPr="001223BF">
        <w:rPr>
          <w:rFonts w:ascii="Times New Roman" w:hAnsi="Times New Roman" w:cs="Times New Roman"/>
          <w:sz w:val="24"/>
        </w:rPr>
        <w:t>e</w:t>
      </w:r>
      <w:r>
        <w:rPr>
          <w:rFonts w:ascii="Times New Roman" w:hAnsi="Times New Roman" w:cs="Times New Roman"/>
          <w:sz w:val="24"/>
        </w:rPr>
        <w:t>n términos de una moneda común.</w:t>
      </w:r>
      <w:r w:rsidR="005744C6">
        <w:rPr>
          <w:rFonts w:ascii="Times New Roman" w:hAnsi="Times New Roman" w:cs="Times New Roman"/>
          <w:sz w:val="24"/>
        </w:rPr>
        <w:t xml:space="preserve"> </w:t>
      </w:r>
    </w:p>
    <w:p w:rsidR="001223BF" w:rsidRDefault="005744C6" w:rsidP="001D2540">
      <w:pPr>
        <w:spacing w:line="480" w:lineRule="auto"/>
        <w:ind w:firstLine="360"/>
        <w:jc w:val="both"/>
        <w:rPr>
          <w:rFonts w:ascii="Times New Roman" w:hAnsi="Times New Roman" w:cs="Times New Roman"/>
          <w:sz w:val="24"/>
        </w:rPr>
      </w:pPr>
      <w:r>
        <w:rPr>
          <w:rFonts w:ascii="Times New Roman" w:hAnsi="Times New Roman" w:cs="Times New Roman"/>
          <w:sz w:val="24"/>
        </w:rPr>
        <w:t xml:space="preserve">La relevancia de este concepto se debe a que es una condición de largo plazo </w:t>
      </w:r>
      <w:r w:rsidR="001E51FF">
        <w:rPr>
          <w:rFonts w:ascii="Times New Roman" w:hAnsi="Times New Roman" w:cs="Times New Roman"/>
          <w:sz w:val="24"/>
        </w:rPr>
        <w:t>muy importante</w:t>
      </w:r>
      <w:r>
        <w:rPr>
          <w:rFonts w:ascii="Times New Roman" w:hAnsi="Times New Roman" w:cs="Times New Roman"/>
          <w:sz w:val="24"/>
        </w:rPr>
        <w:t xml:space="preserve"> dentro de las teorías de macroeconomía abierta.</w:t>
      </w:r>
      <w:r w:rsidR="00214760">
        <w:rPr>
          <w:rFonts w:ascii="Times New Roman" w:hAnsi="Times New Roman" w:cs="Times New Roman"/>
          <w:sz w:val="24"/>
        </w:rPr>
        <w:t xml:space="preserve"> Por otro lado, en términos de política cambiaria, se considera que mantener el tipo de cambio fuera de su nivel de equilibrio genera costos significativos en el bienestar. Esto último se debe</w:t>
      </w:r>
      <w:r w:rsidR="001E51FF">
        <w:rPr>
          <w:rFonts w:ascii="Times New Roman" w:hAnsi="Times New Roman" w:cs="Times New Roman"/>
          <w:sz w:val="24"/>
        </w:rPr>
        <w:t>, fundamentalmente, a que se envían</w:t>
      </w:r>
      <w:r w:rsidR="00214760">
        <w:rPr>
          <w:rFonts w:ascii="Times New Roman" w:hAnsi="Times New Roman" w:cs="Times New Roman"/>
          <w:sz w:val="24"/>
        </w:rPr>
        <w:t xml:space="preserve"> señales incor</w:t>
      </w:r>
      <w:r w:rsidR="001E51FF">
        <w:rPr>
          <w:rFonts w:ascii="Times New Roman" w:hAnsi="Times New Roman" w:cs="Times New Roman"/>
          <w:sz w:val="24"/>
        </w:rPr>
        <w:t>rectas a los agentes económicos (Gómez y Rodríguez, 2012).</w:t>
      </w:r>
    </w:p>
    <w:p w:rsidR="00CF0E7A" w:rsidRPr="001D2540" w:rsidRDefault="00CF0E7A" w:rsidP="001D2540">
      <w:pPr>
        <w:spacing w:line="480" w:lineRule="auto"/>
        <w:ind w:firstLine="360"/>
        <w:jc w:val="both"/>
        <w:rPr>
          <w:rFonts w:ascii="Times New Roman" w:hAnsi="Times New Roman" w:cs="Times New Roman"/>
          <w:b/>
          <w:sz w:val="24"/>
        </w:rPr>
      </w:pPr>
      <w:r>
        <w:rPr>
          <w:rFonts w:ascii="Times New Roman" w:hAnsi="Times New Roman" w:cs="Times New Roman"/>
          <w:sz w:val="24"/>
        </w:rPr>
        <w:t>Para nuestro análisis consideramos en primer lugar a México y su relación con los Estados Unidos</w:t>
      </w:r>
      <w:r w:rsidR="00C574CF">
        <w:rPr>
          <w:rFonts w:ascii="Times New Roman" w:hAnsi="Times New Roman" w:cs="Times New Roman"/>
          <w:sz w:val="24"/>
        </w:rPr>
        <w:t>. Esto no</w:t>
      </w:r>
      <w:r w:rsidR="00AB2461">
        <w:rPr>
          <w:rFonts w:ascii="Times New Roman" w:hAnsi="Times New Roman" w:cs="Times New Roman"/>
          <w:sz w:val="24"/>
        </w:rPr>
        <w:t xml:space="preserve"> necesita mucha justificación, es nuestro primer socio comercial por mucho y uno de los tres países que firmamos el Tratado de Libre Comercio de América del Norte (TLCAN). La selección de la relación entre México y Canadá va en el mismo sentido, también es uno de los países firmantes del TLCAN y un socio comercial importante para México. </w:t>
      </w:r>
    </w:p>
    <w:p w:rsidR="001A1BFB" w:rsidRDefault="001A1BFB" w:rsidP="001A1BFB">
      <w:pPr>
        <w:spacing w:line="480" w:lineRule="auto"/>
        <w:ind w:firstLine="360"/>
        <w:jc w:val="both"/>
        <w:rPr>
          <w:rFonts w:ascii="Times New Roman" w:hAnsi="Times New Roman" w:cs="Times New Roman"/>
          <w:sz w:val="24"/>
        </w:rPr>
      </w:pPr>
      <w:r>
        <w:rPr>
          <w:rFonts w:ascii="Times New Roman" w:hAnsi="Times New Roman" w:cs="Times New Roman"/>
          <w:sz w:val="24"/>
        </w:rPr>
        <w:t xml:space="preserve">El presente trabajo se divide en 6 secciones. Después de la introducción, la parte 2 hace una revisión de los trabajos empíricos que se han escrito para el caso de México y que utilizan metodologías similares a las que utilizamos aquí. La sección 3 explica la teoría fundamental de la PPC y plantea las hipótesis de trabajo que derivamos de ella. En </w:t>
      </w:r>
      <w:r>
        <w:rPr>
          <w:rFonts w:ascii="Times New Roman" w:hAnsi="Times New Roman" w:cs="Times New Roman"/>
          <w:sz w:val="24"/>
        </w:rPr>
        <w:lastRenderedPageBreak/>
        <w:t>la sección 4 transformamos el modelo teórico en modelos econométricos con los que buscaremos validar las hipótesis. La sección 5 describe los datos utilizados y presenta los resultados obtenidos. Finalmente, la sección 6 concluye.</w:t>
      </w:r>
    </w:p>
    <w:p w:rsidR="00FB55B1" w:rsidRPr="00C22D63" w:rsidRDefault="00FB55B1" w:rsidP="00C22D63">
      <w:pPr>
        <w:spacing w:line="480" w:lineRule="auto"/>
        <w:rPr>
          <w:rFonts w:ascii="Times New Roman" w:hAnsi="Times New Roman" w:cs="Times New Roman"/>
          <w:sz w:val="24"/>
        </w:rPr>
      </w:pPr>
    </w:p>
    <w:p w:rsidR="00C22D63" w:rsidRDefault="00C22D63" w:rsidP="00C22D63">
      <w:pPr>
        <w:pStyle w:val="Prrafodelista"/>
        <w:numPr>
          <w:ilvl w:val="0"/>
          <w:numId w:val="1"/>
        </w:numPr>
        <w:spacing w:line="480" w:lineRule="auto"/>
        <w:rPr>
          <w:rFonts w:ascii="Times New Roman" w:hAnsi="Times New Roman" w:cs="Times New Roman"/>
          <w:b/>
          <w:sz w:val="24"/>
        </w:rPr>
      </w:pPr>
      <w:r w:rsidRPr="00A10A74">
        <w:rPr>
          <w:rFonts w:ascii="Times New Roman" w:hAnsi="Times New Roman" w:cs="Times New Roman"/>
          <w:b/>
          <w:sz w:val="24"/>
        </w:rPr>
        <w:t>Revisión de la literatura</w:t>
      </w:r>
    </w:p>
    <w:p w:rsidR="006709C1" w:rsidRDefault="006709C1" w:rsidP="001D2540">
      <w:pPr>
        <w:spacing w:line="480" w:lineRule="auto"/>
        <w:jc w:val="both"/>
        <w:rPr>
          <w:rFonts w:ascii="Times New Roman" w:hAnsi="Times New Roman" w:cs="Times New Roman"/>
          <w:sz w:val="24"/>
        </w:rPr>
      </w:pPr>
      <w:r>
        <w:rPr>
          <w:rFonts w:ascii="Times New Roman" w:hAnsi="Times New Roman" w:cs="Times New Roman"/>
          <w:sz w:val="24"/>
        </w:rPr>
        <w:t>Para el caso de México, se han hecho algunos estudios empíricos buscando validar la teoría de la PPC, desde diferentes perspectivas y utilizando diferentes metodologías.</w:t>
      </w:r>
      <w:r w:rsidR="00FA7966">
        <w:rPr>
          <w:rFonts w:ascii="Times New Roman" w:hAnsi="Times New Roman" w:cs="Times New Roman"/>
          <w:sz w:val="24"/>
        </w:rPr>
        <w:t xml:space="preserve"> Prácticamente todos se enfocan en analizar el caso México-EEUU.</w:t>
      </w:r>
      <w:r w:rsidR="00E363CE">
        <w:rPr>
          <w:rFonts w:ascii="Times New Roman" w:hAnsi="Times New Roman" w:cs="Times New Roman"/>
          <w:sz w:val="24"/>
        </w:rPr>
        <w:t xml:space="preserve"> Sin embargo, un vistazo rápido a la literatura escrita al respecto nos permite darnos cuenta que no hay un consenso. </w:t>
      </w:r>
    </w:p>
    <w:p w:rsidR="00E363CE" w:rsidRDefault="00E363CE" w:rsidP="006709C1">
      <w:pPr>
        <w:spacing w:line="480" w:lineRule="auto"/>
        <w:ind w:firstLine="360"/>
        <w:jc w:val="both"/>
        <w:rPr>
          <w:rFonts w:ascii="Times New Roman" w:hAnsi="Times New Roman" w:cs="Times New Roman"/>
          <w:sz w:val="24"/>
        </w:rPr>
      </w:pPr>
      <w:r>
        <w:rPr>
          <w:rFonts w:ascii="Times New Roman" w:hAnsi="Times New Roman" w:cs="Times New Roman"/>
          <w:sz w:val="24"/>
        </w:rPr>
        <w:t>Ávalos y Hernández (1995) centran su trabajo en analizar la relación entre la variabilidad del tipo de cambio real y el desempeño económico en México. Sin embargo, una de sus conclusiones es que no encuentran evidencia empírica que respalde la teoría de la PPC.</w:t>
      </w:r>
      <w:r w:rsidR="00301D8D">
        <w:rPr>
          <w:rFonts w:ascii="Times New Roman" w:hAnsi="Times New Roman" w:cs="Times New Roman"/>
          <w:sz w:val="24"/>
        </w:rPr>
        <w:t xml:space="preserve"> Por su parte </w:t>
      </w:r>
      <w:proofErr w:type="spellStart"/>
      <w:r w:rsidR="00301D8D">
        <w:rPr>
          <w:rFonts w:ascii="Times New Roman" w:hAnsi="Times New Roman" w:cs="Times New Roman"/>
          <w:sz w:val="24"/>
        </w:rPr>
        <w:t>Kildegaard</w:t>
      </w:r>
      <w:proofErr w:type="spellEnd"/>
      <w:r w:rsidR="00301D8D">
        <w:rPr>
          <w:rFonts w:ascii="Times New Roman" w:hAnsi="Times New Roman" w:cs="Times New Roman"/>
          <w:sz w:val="24"/>
        </w:rPr>
        <w:t xml:space="preserve"> (</w:t>
      </w:r>
      <w:r w:rsidR="00BB5144">
        <w:rPr>
          <w:rFonts w:ascii="Times New Roman" w:hAnsi="Times New Roman" w:cs="Times New Roman"/>
          <w:sz w:val="24"/>
        </w:rPr>
        <w:t>2006</w:t>
      </w:r>
      <w:r w:rsidR="00301D8D">
        <w:rPr>
          <w:rFonts w:ascii="Times New Roman" w:hAnsi="Times New Roman" w:cs="Times New Roman"/>
          <w:sz w:val="24"/>
        </w:rPr>
        <w:t>) resalta la importancia de incluir variables como la productividad y los precios del petróleo, entre otros. Sin embargo, aun incorporando estas variables a su análisis no encuentra evidencia que respalde la PPC.</w:t>
      </w:r>
    </w:p>
    <w:p w:rsidR="00E363CE" w:rsidRDefault="00301D8D" w:rsidP="00301D8D">
      <w:pPr>
        <w:spacing w:line="480" w:lineRule="auto"/>
        <w:ind w:firstLine="360"/>
        <w:jc w:val="both"/>
        <w:rPr>
          <w:rFonts w:ascii="Times New Roman" w:hAnsi="Times New Roman" w:cs="Times New Roman"/>
          <w:sz w:val="24"/>
        </w:rPr>
      </w:pPr>
      <w:r>
        <w:rPr>
          <w:rFonts w:ascii="Times New Roman" w:hAnsi="Times New Roman" w:cs="Times New Roman"/>
          <w:sz w:val="24"/>
        </w:rPr>
        <w:t xml:space="preserve">Entre los trabajos que obtienen evidencia en favor de la teoría está el de </w:t>
      </w:r>
      <w:r w:rsidR="001E2E3A">
        <w:rPr>
          <w:rFonts w:ascii="Times New Roman" w:hAnsi="Times New Roman" w:cs="Times New Roman"/>
          <w:sz w:val="24"/>
        </w:rPr>
        <w:t>Gómez y Rodríguez (2012)</w:t>
      </w:r>
      <w:r>
        <w:rPr>
          <w:rFonts w:ascii="Times New Roman" w:hAnsi="Times New Roman" w:cs="Times New Roman"/>
          <w:sz w:val="24"/>
        </w:rPr>
        <w:t>, quienes u</w:t>
      </w:r>
      <w:r w:rsidR="001E2E3A">
        <w:rPr>
          <w:rFonts w:ascii="Times New Roman" w:hAnsi="Times New Roman" w:cs="Times New Roman"/>
          <w:sz w:val="24"/>
        </w:rPr>
        <w:t xml:space="preserve">tilizan diversas pruebas de raíz unitaria sobre el tipo de cambio real entre México y Estados Unidos. </w:t>
      </w:r>
      <w:r>
        <w:rPr>
          <w:rFonts w:ascii="Times New Roman" w:hAnsi="Times New Roman" w:cs="Times New Roman"/>
          <w:sz w:val="24"/>
        </w:rPr>
        <w:t xml:space="preserve">Mejía y González </w:t>
      </w:r>
      <w:r w:rsidR="00331280">
        <w:rPr>
          <w:rFonts w:ascii="Times New Roman" w:hAnsi="Times New Roman" w:cs="Times New Roman"/>
          <w:sz w:val="24"/>
        </w:rPr>
        <w:t>(1996) tienen resultados débiles pero favorables utilizando diversas técnicas.</w:t>
      </w:r>
    </w:p>
    <w:p w:rsidR="006709C1" w:rsidRDefault="00331280" w:rsidP="00AB2461">
      <w:pPr>
        <w:spacing w:line="480" w:lineRule="auto"/>
        <w:ind w:firstLine="360"/>
        <w:jc w:val="both"/>
        <w:rPr>
          <w:rFonts w:ascii="Times New Roman" w:hAnsi="Times New Roman" w:cs="Times New Roman"/>
          <w:sz w:val="24"/>
        </w:rPr>
      </w:pPr>
      <w:r>
        <w:rPr>
          <w:rFonts w:ascii="Times New Roman" w:hAnsi="Times New Roman" w:cs="Times New Roman"/>
          <w:sz w:val="24"/>
        </w:rPr>
        <w:t xml:space="preserve">Wallace, Shelley y Cabrera (2011) utilizan dos pruebas de raíz unitaria: la </w:t>
      </w:r>
      <w:proofErr w:type="spellStart"/>
      <w:r>
        <w:rPr>
          <w:rFonts w:ascii="Times New Roman" w:hAnsi="Times New Roman" w:cs="Times New Roman"/>
          <w:sz w:val="24"/>
        </w:rPr>
        <w:t>Augmented</w:t>
      </w:r>
      <w:proofErr w:type="spellEnd"/>
      <w:r>
        <w:rPr>
          <w:rFonts w:ascii="Times New Roman" w:hAnsi="Times New Roman" w:cs="Times New Roman"/>
          <w:sz w:val="24"/>
        </w:rPr>
        <w:t xml:space="preserve"> </w:t>
      </w:r>
      <w:proofErr w:type="spellStart"/>
      <w:r>
        <w:rPr>
          <w:rFonts w:ascii="Times New Roman" w:hAnsi="Times New Roman" w:cs="Times New Roman"/>
          <w:sz w:val="24"/>
        </w:rPr>
        <w:t>Dickey-Fuller</w:t>
      </w:r>
      <w:proofErr w:type="spellEnd"/>
      <w:r>
        <w:rPr>
          <w:rFonts w:ascii="Times New Roman" w:hAnsi="Times New Roman" w:cs="Times New Roman"/>
          <w:sz w:val="24"/>
        </w:rPr>
        <w:t xml:space="preserve"> (ADF) y la de </w:t>
      </w:r>
      <w:proofErr w:type="spellStart"/>
      <w:r>
        <w:rPr>
          <w:rFonts w:ascii="Times New Roman" w:hAnsi="Times New Roman" w:cs="Times New Roman"/>
          <w:sz w:val="24"/>
        </w:rPr>
        <w:t>Kapetanios</w:t>
      </w:r>
      <w:proofErr w:type="spellEnd"/>
      <w:r>
        <w:rPr>
          <w:rFonts w:ascii="Times New Roman" w:hAnsi="Times New Roman" w:cs="Times New Roman"/>
          <w:sz w:val="24"/>
        </w:rPr>
        <w:t xml:space="preserve">, et. al. (KSS). Obtienen resultados contradictorios según la prueba. Resultados similares son los de Wallace, Lozano y Cabrera (2008), quienes basándose en análisis de cointegración encuentran resultados </w:t>
      </w:r>
      <w:r>
        <w:rPr>
          <w:rFonts w:ascii="Times New Roman" w:hAnsi="Times New Roman" w:cs="Times New Roman"/>
          <w:sz w:val="24"/>
        </w:rPr>
        <w:lastRenderedPageBreak/>
        <w:t>divergentes según la prueba que utilizaron. Aunque un balance general la evidencia es favorable a la PPC.</w:t>
      </w:r>
    </w:p>
    <w:p w:rsidR="00FA7966" w:rsidRDefault="00FA7966" w:rsidP="00AB2461">
      <w:pPr>
        <w:spacing w:line="480" w:lineRule="auto"/>
        <w:ind w:firstLine="360"/>
        <w:jc w:val="both"/>
        <w:rPr>
          <w:rFonts w:ascii="Times New Roman" w:hAnsi="Times New Roman" w:cs="Times New Roman"/>
          <w:sz w:val="24"/>
        </w:rPr>
      </w:pPr>
      <w:r>
        <w:rPr>
          <w:rFonts w:ascii="Times New Roman" w:hAnsi="Times New Roman" w:cs="Times New Roman"/>
          <w:sz w:val="24"/>
        </w:rPr>
        <w:t>En resumen, los resultados de las múltiples investigaciones que se han hecho al respecto de la teoría de la PPC no arrojan resultados concluyentes acerca de si se cumple o no. En la mayoría de los casos, el principal problema al que se enfrentan los investigadores es el manejo de los numerosos cambios estructurales que presentan las series mexicanas.</w:t>
      </w:r>
    </w:p>
    <w:p w:rsidR="00FB55B1" w:rsidRPr="006709C1" w:rsidRDefault="00FB55B1" w:rsidP="006709C1">
      <w:pPr>
        <w:spacing w:line="480" w:lineRule="auto"/>
        <w:jc w:val="both"/>
        <w:rPr>
          <w:rFonts w:ascii="Times New Roman" w:hAnsi="Times New Roman" w:cs="Times New Roman"/>
          <w:sz w:val="24"/>
        </w:rPr>
      </w:pPr>
    </w:p>
    <w:p w:rsidR="001D2540" w:rsidRDefault="00C22D63" w:rsidP="001D2540">
      <w:pPr>
        <w:pStyle w:val="Prrafodelista"/>
        <w:numPr>
          <w:ilvl w:val="0"/>
          <w:numId w:val="1"/>
        </w:numPr>
        <w:spacing w:line="480" w:lineRule="auto"/>
        <w:rPr>
          <w:rFonts w:ascii="Times New Roman" w:hAnsi="Times New Roman" w:cs="Times New Roman"/>
          <w:b/>
          <w:sz w:val="24"/>
        </w:rPr>
      </w:pPr>
      <w:r w:rsidRPr="00A10A74">
        <w:rPr>
          <w:rFonts w:ascii="Times New Roman" w:hAnsi="Times New Roman" w:cs="Times New Roman"/>
          <w:b/>
          <w:sz w:val="24"/>
        </w:rPr>
        <w:t xml:space="preserve">Modelo Teórico e </w:t>
      </w:r>
      <w:r w:rsidR="00A13B9E" w:rsidRPr="00A10A74">
        <w:rPr>
          <w:rFonts w:ascii="Times New Roman" w:hAnsi="Times New Roman" w:cs="Times New Roman"/>
          <w:b/>
          <w:sz w:val="24"/>
        </w:rPr>
        <w:t>Hipótesis</w:t>
      </w:r>
    </w:p>
    <w:p w:rsidR="00FB55B1" w:rsidRDefault="001D2540" w:rsidP="00FB55B1">
      <w:pPr>
        <w:spacing w:line="480" w:lineRule="auto"/>
        <w:jc w:val="both"/>
        <w:rPr>
          <w:rFonts w:ascii="Times New Roman" w:hAnsi="Times New Roman" w:cs="Times New Roman"/>
          <w:sz w:val="24"/>
        </w:rPr>
      </w:pPr>
      <w:r w:rsidRPr="001D2540">
        <w:rPr>
          <w:rFonts w:ascii="Times New Roman" w:hAnsi="Times New Roman" w:cs="Times New Roman"/>
          <w:sz w:val="24"/>
        </w:rPr>
        <w:t>La teoría de paridad del poder de compra intenta</w:t>
      </w:r>
      <w:r>
        <w:rPr>
          <w:rFonts w:ascii="Times New Roman" w:hAnsi="Times New Roman" w:cs="Times New Roman"/>
          <w:sz w:val="24"/>
        </w:rPr>
        <w:t>,</w:t>
      </w:r>
      <w:r w:rsidRPr="001D2540">
        <w:rPr>
          <w:rFonts w:ascii="Times New Roman" w:hAnsi="Times New Roman" w:cs="Times New Roman"/>
          <w:sz w:val="24"/>
        </w:rPr>
        <w:t xml:space="preserve"> por medio de los índices de precios de dos países</w:t>
      </w:r>
      <w:r>
        <w:rPr>
          <w:rFonts w:ascii="Times New Roman" w:hAnsi="Times New Roman" w:cs="Times New Roman"/>
          <w:sz w:val="24"/>
        </w:rPr>
        <w:t>,</w:t>
      </w:r>
      <w:r w:rsidRPr="001D2540">
        <w:rPr>
          <w:rFonts w:ascii="Times New Roman" w:hAnsi="Times New Roman" w:cs="Times New Roman"/>
          <w:sz w:val="24"/>
        </w:rPr>
        <w:t xml:space="preserve"> determinar un tipo de cambio de equilibrio teniendo en cuenta sus variaciones </w:t>
      </w:r>
      <w:r w:rsidR="00A57B19">
        <w:rPr>
          <w:rFonts w:ascii="Times New Roman" w:hAnsi="Times New Roman" w:cs="Times New Roman"/>
          <w:sz w:val="24"/>
        </w:rPr>
        <w:t>a través</w:t>
      </w:r>
      <w:r w:rsidRPr="001D2540">
        <w:rPr>
          <w:rFonts w:ascii="Times New Roman" w:hAnsi="Times New Roman" w:cs="Times New Roman"/>
          <w:sz w:val="24"/>
        </w:rPr>
        <w:t xml:space="preserve"> del tiempo. Esta teoría</w:t>
      </w:r>
      <w:r w:rsidR="00A57B19">
        <w:rPr>
          <w:rFonts w:ascii="Times New Roman" w:hAnsi="Times New Roman" w:cs="Times New Roman"/>
          <w:sz w:val="24"/>
        </w:rPr>
        <w:t xml:space="preserve"> se</w:t>
      </w:r>
      <w:r w:rsidRPr="001D2540">
        <w:rPr>
          <w:rFonts w:ascii="Times New Roman" w:hAnsi="Times New Roman" w:cs="Times New Roman"/>
          <w:sz w:val="24"/>
        </w:rPr>
        <w:t xml:space="preserve"> asocia</w:t>
      </w:r>
      <w:r w:rsidR="00A57B19">
        <w:rPr>
          <w:rFonts w:ascii="Times New Roman" w:hAnsi="Times New Roman" w:cs="Times New Roman"/>
          <w:sz w:val="24"/>
        </w:rPr>
        <w:t xml:space="preserve"> a</w:t>
      </w:r>
      <w:r w:rsidRPr="001D2540">
        <w:rPr>
          <w:rFonts w:ascii="Times New Roman" w:hAnsi="Times New Roman" w:cs="Times New Roman"/>
          <w:sz w:val="24"/>
        </w:rPr>
        <w:t xml:space="preserve"> la idea </w:t>
      </w:r>
      <w:r w:rsidR="00A57B19">
        <w:rPr>
          <w:rFonts w:ascii="Times New Roman" w:hAnsi="Times New Roman" w:cs="Times New Roman"/>
          <w:sz w:val="24"/>
        </w:rPr>
        <w:t xml:space="preserve">de </w:t>
      </w:r>
      <w:r w:rsidRPr="001D2540">
        <w:rPr>
          <w:rFonts w:ascii="Times New Roman" w:hAnsi="Times New Roman" w:cs="Times New Roman"/>
          <w:sz w:val="24"/>
        </w:rPr>
        <w:t>que una cierta cantidad de dinero en un país debería comprar la misma canasta de bienes que es representativa en distintos países.</w:t>
      </w:r>
    </w:p>
    <w:p w:rsidR="001D2540" w:rsidRPr="001D2540" w:rsidRDefault="001D2540" w:rsidP="00A57B19">
      <w:pPr>
        <w:spacing w:line="480" w:lineRule="auto"/>
        <w:ind w:firstLine="708"/>
        <w:jc w:val="both"/>
        <w:rPr>
          <w:rFonts w:ascii="Times New Roman" w:hAnsi="Times New Roman" w:cs="Times New Roman"/>
          <w:sz w:val="24"/>
        </w:rPr>
      </w:pPr>
      <w:r w:rsidRPr="001D2540">
        <w:rPr>
          <w:rFonts w:ascii="Times New Roman" w:hAnsi="Times New Roman" w:cs="Times New Roman"/>
          <w:sz w:val="24"/>
        </w:rPr>
        <w:t>Para est</w:t>
      </w:r>
      <w:r>
        <w:rPr>
          <w:rFonts w:ascii="Times New Roman" w:hAnsi="Times New Roman" w:cs="Times New Roman"/>
          <w:sz w:val="24"/>
        </w:rPr>
        <w:t>a teoría existen dos versiones. U</w:t>
      </w:r>
      <w:r w:rsidRPr="001D2540">
        <w:rPr>
          <w:rFonts w:ascii="Times New Roman" w:hAnsi="Times New Roman" w:cs="Times New Roman"/>
          <w:sz w:val="24"/>
        </w:rPr>
        <w:t>na de ellas es la versión relativa la cual se relaciona con los efectos inflacionarios sobre una tasa de cambio inicial de equilibrio</w:t>
      </w:r>
      <w:r>
        <w:rPr>
          <w:rFonts w:ascii="Times New Roman" w:hAnsi="Times New Roman" w:cs="Times New Roman"/>
          <w:sz w:val="24"/>
        </w:rPr>
        <w:t>. L</w:t>
      </w:r>
      <w:r w:rsidRPr="001D2540">
        <w:rPr>
          <w:rFonts w:ascii="Times New Roman" w:hAnsi="Times New Roman" w:cs="Times New Roman"/>
          <w:sz w:val="24"/>
        </w:rPr>
        <w:t>a otra es la versión absoluta</w:t>
      </w:r>
      <w:r>
        <w:rPr>
          <w:rFonts w:ascii="Times New Roman" w:hAnsi="Times New Roman" w:cs="Times New Roman"/>
          <w:sz w:val="24"/>
        </w:rPr>
        <w:t>, la cual</w:t>
      </w:r>
      <w:r w:rsidRPr="001D2540">
        <w:rPr>
          <w:rFonts w:ascii="Times New Roman" w:hAnsi="Times New Roman" w:cs="Times New Roman"/>
          <w:sz w:val="24"/>
        </w:rPr>
        <w:t xml:space="preserve"> establece una igualdad entre la razón de precios de dos países expresada en una misma moneda y el tipo de cambio real</w:t>
      </w:r>
      <w:r>
        <w:rPr>
          <w:rFonts w:ascii="Times New Roman" w:hAnsi="Times New Roman" w:cs="Times New Roman"/>
          <w:sz w:val="24"/>
        </w:rPr>
        <w:t>, con</w:t>
      </w:r>
      <w:r w:rsidRPr="001D2540">
        <w:rPr>
          <w:rFonts w:ascii="Times New Roman" w:hAnsi="Times New Roman" w:cs="Times New Roman"/>
          <w:sz w:val="24"/>
        </w:rPr>
        <w:t xml:space="preserve"> la implicación de una serie de supuestos</w:t>
      </w:r>
      <w:r>
        <w:rPr>
          <w:rFonts w:ascii="Times New Roman" w:hAnsi="Times New Roman" w:cs="Times New Roman"/>
          <w:sz w:val="24"/>
        </w:rPr>
        <w:t>,</w:t>
      </w:r>
      <w:r w:rsidRPr="001D2540">
        <w:rPr>
          <w:rFonts w:ascii="Times New Roman" w:hAnsi="Times New Roman" w:cs="Times New Roman"/>
          <w:sz w:val="24"/>
        </w:rPr>
        <w:t xml:space="preserve"> para determinar el cumplimiento de la PPC</w:t>
      </w:r>
      <w:r>
        <w:rPr>
          <w:rFonts w:ascii="Times New Roman" w:hAnsi="Times New Roman" w:cs="Times New Roman"/>
          <w:sz w:val="24"/>
        </w:rPr>
        <w:t>.</w:t>
      </w:r>
      <w:r w:rsidR="00A57B19">
        <w:rPr>
          <w:rFonts w:ascii="Times New Roman" w:hAnsi="Times New Roman" w:cs="Times New Roman"/>
          <w:sz w:val="24"/>
        </w:rPr>
        <w:t xml:space="preserve"> </w:t>
      </w:r>
      <w:r>
        <w:rPr>
          <w:rFonts w:ascii="Times New Roman" w:hAnsi="Times New Roman" w:cs="Times New Roman"/>
          <w:sz w:val="24"/>
        </w:rPr>
        <w:t>Para nuestro análisis</w:t>
      </w:r>
      <w:r w:rsidRPr="001D2540">
        <w:rPr>
          <w:rFonts w:ascii="Times New Roman" w:hAnsi="Times New Roman" w:cs="Times New Roman"/>
          <w:sz w:val="24"/>
        </w:rPr>
        <w:t xml:space="preserve"> se utilizó la versión </w:t>
      </w:r>
      <w:r w:rsidR="006C4434" w:rsidRPr="006C4434">
        <w:rPr>
          <w:rFonts w:ascii="Times New Roman" w:hAnsi="Times New Roman" w:cs="Times New Roman"/>
          <w:sz w:val="24"/>
        </w:rPr>
        <w:t>absoluta</w:t>
      </w:r>
      <w:r w:rsidRPr="001D2540">
        <w:rPr>
          <w:rFonts w:ascii="Times New Roman" w:hAnsi="Times New Roman" w:cs="Times New Roman"/>
          <w:sz w:val="24"/>
        </w:rPr>
        <w:t xml:space="preserve"> la cual implica los supuestos de ausencia de costes de transporte, impedimentos al comercio (los aranceles o las cuotas al comercio) y existencia de arbitraje.</w:t>
      </w:r>
    </w:p>
    <w:p w:rsidR="001D2540" w:rsidRPr="001D2540" w:rsidRDefault="001D2540" w:rsidP="00940DD4">
      <w:pPr>
        <w:spacing w:line="480" w:lineRule="auto"/>
        <w:ind w:firstLine="708"/>
        <w:jc w:val="both"/>
        <w:rPr>
          <w:rFonts w:ascii="Times New Roman" w:hAnsi="Times New Roman" w:cs="Times New Roman"/>
          <w:sz w:val="24"/>
        </w:rPr>
      </w:pPr>
      <w:r w:rsidRPr="001D2540">
        <w:rPr>
          <w:rFonts w:ascii="Times New Roman" w:hAnsi="Times New Roman" w:cs="Times New Roman"/>
          <w:sz w:val="24"/>
        </w:rPr>
        <w:t>Parte importante que trata de validar y defenderla versión relativa de PPC es la ley de un solo precio</w:t>
      </w:r>
      <w:r>
        <w:rPr>
          <w:rFonts w:ascii="Times New Roman" w:hAnsi="Times New Roman" w:cs="Times New Roman"/>
          <w:sz w:val="24"/>
        </w:rPr>
        <w:t>,</w:t>
      </w:r>
      <w:r w:rsidRPr="001D2540">
        <w:rPr>
          <w:rFonts w:ascii="Times New Roman" w:hAnsi="Times New Roman" w:cs="Times New Roman"/>
          <w:sz w:val="24"/>
        </w:rPr>
        <w:t xml:space="preserve"> que establece que la </w:t>
      </w:r>
      <w:r>
        <w:rPr>
          <w:rFonts w:ascii="Times New Roman" w:hAnsi="Times New Roman" w:cs="Times New Roman"/>
          <w:sz w:val="24"/>
        </w:rPr>
        <w:t>economía mundial está integrada. P</w:t>
      </w:r>
      <w:r w:rsidRPr="001D2540">
        <w:rPr>
          <w:rFonts w:ascii="Times New Roman" w:hAnsi="Times New Roman" w:cs="Times New Roman"/>
          <w:sz w:val="24"/>
        </w:rPr>
        <w:t>or lo tanto</w:t>
      </w:r>
      <w:r>
        <w:rPr>
          <w:rFonts w:ascii="Times New Roman" w:hAnsi="Times New Roman" w:cs="Times New Roman"/>
          <w:sz w:val="24"/>
        </w:rPr>
        <w:t>,</w:t>
      </w:r>
      <w:r w:rsidRPr="001D2540">
        <w:rPr>
          <w:rFonts w:ascii="Times New Roman" w:hAnsi="Times New Roman" w:cs="Times New Roman"/>
          <w:sz w:val="24"/>
        </w:rPr>
        <w:t xml:space="preserve"> los </w:t>
      </w:r>
      <w:r w:rsidRPr="001D2540">
        <w:rPr>
          <w:rFonts w:ascii="Times New Roman" w:hAnsi="Times New Roman" w:cs="Times New Roman"/>
          <w:sz w:val="24"/>
        </w:rPr>
        <w:lastRenderedPageBreak/>
        <w:t>bienes elaborados tanto en el extranjero como en la nación se comportan como bienes sustitutos perfectos y sus precios serán igualados bajo la existencia del supuesto de arbitraje.</w:t>
      </w:r>
    </w:p>
    <w:p w:rsidR="001D2540" w:rsidRDefault="001D2540" w:rsidP="00AB2461">
      <w:pPr>
        <w:spacing w:line="480" w:lineRule="auto"/>
        <w:ind w:firstLine="708"/>
        <w:jc w:val="both"/>
        <w:rPr>
          <w:rFonts w:ascii="Times New Roman" w:hAnsi="Times New Roman" w:cs="Times New Roman"/>
          <w:sz w:val="24"/>
        </w:rPr>
      </w:pPr>
      <w:r w:rsidRPr="001D2540">
        <w:rPr>
          <w:rFonts w:ascii="Times New Roman" w:hAnsi="Times New Roman" w:cs="Times New Roman"/>
          <w:sz w:val="24"/>
        </w:rPr>
        <w:t>Por lo tanto</w:t>
      </w:r>
      <w:r>
        <w:rPr>
          <w:rFonts w:ascii="Times New Roman" w:hAnsi="Times New Roman" w:cs="Times New Roman"/>
          <w:sz w:val="24"/>
        </w:rPr>
        <w:t>,</w:t>
      </w:r>
      <w:r w:rsidRPr="001D2540">
        <w:rPr>
          <w:rFonts w:ascii="Times New Roman" w:hAnsi="Times New Roman" w:cs="Times New Roman"/>
          <w:sz w:val="24"/>
        </w:rPr>
        <w:t xml:space="preserve"> la teoría del poder de paridad de compra en su versión absoluta se representa por medio de la determinación del tipo de cambio real que es la razón del nivel de precios nacional entre el nivel de precios extranjero multiplicado por el tipo de cambio extranjero</w:t>
      </w:r>
      <w:r w:rsidR="00DA5A04">
        <w:rPr>
          <w:rFonts w:ascii="Times New Roman" w:hAnsi="Times New Roman" w:cs="Times New Roman"/>
          <w:sz w:val="24"/>
        </w:rPr>
        <w:t>, lo cual se puede observar en la ecuación (1)</w:t>
      </w:r>
      <w:r w:rsidRPr="001D2540">
        <w:rPr>
          <w:rFonts w:ascii="Times New Roman" w:hAnsi="Times New Roman" w:cs="Times New Roman"/>
          <w:sz w:val="24"/>
        </w:rPr>
        <w:t>.</w:t>
      </w:r>
    </w:p>
    <w:p w:rsidR="00AB2461" w:rsidRDefault="00AB2461" w:rsidP="00AB2461">
      <w:pPr>
        <w:spacing w:line="480" w:lineRule="auto"/>
        <w:ind w:firstLine="708"/>
        <w:jc w:val="both"/>
        <w:rPr>
          <w:rFonts w:ascii="Times New Roman" w:hAnsi="Times New Roman" w:cs="Times New Roman"/>
          <w:sz w:val="24"/>
        </w:rPr>
      </w:pPr>
    </w:p>
    <w:p w:rsidR="00631116" w:rsidRPr="00DC068A" w:rsidRDefault="00DC068A" w:rsidP="001D2540">
      <w:pPr>
        <w:spacing w:line="480" w:lineRule="auto"/>
        <w:jc w:val="both"/>
        <w:rPr>
          <w:rFonts w:ascii="Times New Roman" w:hAnsi="Times New Roman" w:cs="Times New Roman"/>
          <w:sz w:val="24"/>
        </w:rPr>
      </w:pPr>
      <m:oMathPara>
        <m:oMathParaPr>
          <m:jc m:val="right"/>
        </m:oMathParaPr>
        <m:oMath>
          <m:r>
            <w:rPr>
              <w:rFonts w:ascii="Cambria Math" w:hAnsi="Cambria Math" w:cs="Times New Roman"/>
              <w:sz w:val="28"/>
            </w:rPr>
            <m:t>R=</m:t>
          </m:r>
          <m:f>
            <m:fPr>
              <m:ctrlPr>
                <w:rPr>
                  <w:rFonts w:ascii="Cambria Math" w:hAnsi="Cambria Math" w:cs="Times New Roman"/>
                  <w:i/>
                  <w:sz w:val="28"/>
                </w:rPr>
              </m:ctrlPr>
            </m:fPr>
            <m:num>
              <m:r>
                <w:rPr>
                  <w:rFonts w:ascii="Cambria Math" w:hAnsi="Cambria Math" w:cs="Times New Roman"/>
                  <w:sz w:val="28"/>
                </w:rPr>
                <m:t>P</m:t>
              </m:r>
            </m:num>
            <m:den>
              <m:sSup>
                <m:sSupPr>
                  <m:ctrlPr>
                    <w:rPr>
                      <w:rFonts w:ascii="Cambria Math" w:hAnsi="Cambria Math" w:cs="Times New Roman"/>
                      <w:i/>
                      <w:sz w:val="28"/>
                    </w:rPr>
                  </m:ctrlPr>
                </m:sSupPr>
                <m:e>
                  <m:r>
                    <w:rPr>
                      <w:rFonts w:ascii="Cambria Math" w:hAnsi="Cambria Math" w:cs="Times New Roman"/>
                      <w:sz w:val="28"/>
                    </w:rPr>
                    <m:t>P</m:t>
                  </m:r>
                </m:e>
                <m:sup>
                  <m:r>
                    <w:rPr>
                      <w:rFonts w:ascii="Cambria Math" w:hAnsi="Cambria Math" w:cs="Times New Roman"/>
                      <w:sz w:val="28"/>
                    </w:rPr>
                    <m:t>*</m:t>
                  </m:r>
                </m:sup>
              </m:sSup>
            </m:den>
          </m:f>
          <m:r>
            <w:rPr>
              <w:rFonts w:ascii="Cambria Math" w:hAnsi="Cambria Math" w:cs="Times New Roman"/>
              <w:sz w:val="28"/>
            </w:rPr>
            <m:t xml:space="preserve">                                                            (1)</m:t>
          </m:r>
        </m:oMath>
      </m:oMathPara>
    </w:p>
    <w:p w:rsidR="00AB2461" w:rsidRDefault="00AB2461" w:rsidP="00DA5A04">
      <w:pPr>
        <w:spacing w:line="480" w:lineRule="auto"/>
        <w:ind w:firstLine="708"/>
        <w:jc w:val="both"/>
        <w:rPr>
          <w:rFonts w:ascii="Times New Roman" w:hAnsi="Times New Roman" w:cs="Times New Roman"/>
          <w:sz w:val="24"/>
        </w:rPr>
      </w:pPr>
    </w:p>
    <w:p w:rsidR="001D2540" w:rsidRPr="001D2540" w:rsidRDefault="00DA5A04" w:rsidP="00DA5A04">
      <w:pPr>
        <w:spacing w:line="480" w:lineRule="auto"/>
        <w:ind w:firstLine="708"/>
        <w:jc w:val="both"/>
        <w:rPr>
          <w:rFonts w:ascii="Times New Roman" w:hAnsi="Times New Roman" w:cs="Times New Roman"/>
          <w:sz w:val="24"/>
        </w:rPr>
      </w:pPr>
      <w:r>
        <w:rPr>
          <w:rFonts w:ascii="Times New Roman" w:hAnsi="Times New Roman" w:cs="Times New Roman"/>
          <w:sz w:val="24"/>
        </w:rPr>
        <w:t xml:space="preserve">Donde R representa el tipo de cambio real, P son los precios en algún país y P* representa a los precios extranjeros expresados en la misma moneda que P. En otras palabras, </w:t>
      </w:r>
      <w:r w:rsidRPr="00DA5A04">
        <w:rPr>
          <w:rFonts w:ascii="Times New Roman" w:hAnsi="Times New Roman" w:cs="Times New Roman"/>
          <w:b/>
          <w:sz w:val="24"/>
        </w:rPr>
        <w:t>P</w:t>
      </w:r>
      <w:r w:rsidRPr="00DA5A04">
        <w:rPr>
          <w:rFonts w:ascii="Times New Roman" w:hAnsi="Times New Roman" w:cs="Times New Roman"/>
          <w:b/>
          <w:sz w:val="24"/>
          <w:vertAlign w:val="superscript"/>
        </w:rPr>
        <w:t>*</w:t>
      </w:r>
      <w:r w:rsidRPr="00DA5A04">
        <w:rPr>
          <w:rFonts w:ascii="Times New Roman" w:hAnsi="Times New Roman" w:cs="Times New Roman"/>
          <w:b/>
          <w:sz w:val="24"/>
        </w:rPr>
        <w:t>=</w:t>
      </w:r>
      <w:proofErr w:type="spellStart"/>
      <w:r w:rsidRPr="00DA5A04">
        <w:rPr>
          <w:rFonts w:ascii="Times New Roman" w:hAnsi="Times New Roman" w:cs="Times New Roman"/>
          <w:b/>
          <w:sz w:val="24"/>
        </w:rPr>
        <w:t>P</w:t>
      </w:r>
      <w:r w:rsidRPr="00DA5A04">
        <w:rPr>
          <w:rFonts w:ascii="Times New Roman" w:hAnsi="Times New Roman" w:cs="Times New Roman"/>
          <w:b/>
          <w:sz w:val="24"/>
          <w:vertAlign w:val="subscript"/>
        </w:rPr>
        <w:t>f</w:t>
      </w:r>
      <w:proofErr w:type="spellEnd"/>
      <w:r w:rsidRPr="00DA5A04">
        <w:rPr>
          <w:rFonts w:ascii="Times New Roman" w:hAnsi="Times New Roman" w:cs="Times New Roman"/>
          <w:b/>
          <w:sz w:val="24"/>
        </w:rPr>
        <w:t>(e)</w:t>
      </w:r>
      <w:r>
        <w:rPr>
          <w:rFonts w:ascii="Times New Roman" w:hAnsi="Times New Roman" w:cs="Times New Roman"/>
          <w:b/>
          <w:sz w:val="24"/>
        </w:rPr>
        <w:t>.</w:t>
      </w:r>
      <w:r>
        <w:rPr>
          <w:rFonts w:ascii="Times New Roman" w:hAnsi="Times New Roman" w:cs="Times New Roman"/>
          <w:sz w:val="24"/>
        </w:rPr>
        <w:t xml:space="preserve"> Es decir, el nivel de precios del país extranjero multiplicado por el tipo de cambio nominal. Esto último se denomina</w:t>
      </w:r>
      <w:r w:rsidR="001D2540" w:rsidRPr="001D2540">
        <w:rPr>
          <w:rFonts w:ascii="Times New Roman" w:hAnsi="Times New Roman" w:cs="Times New Roman"/>
          <w:sz w:val="24"/>
        </w:rPr>
        <w:t xml:space="preserve"> la ley se un solo precio el cual nos indica la relación de largo plazo entre el nivel de precio nacional y el nivel de precios extranjero representado en una misma moneda.</w:t>
      </w:r>
    </w:p>
    <w:p w:rsidR="00F658B9" w:rsidRPr="001D2540" w:rsidRDefault="001D2540" w:rsidP="00F658B9">
      <w:pPr>
        <w:spacing w:line="480" w:lineRule="auto"/>
        <w:ind w:firstLine="360"/>
        <w:jc w:val="both"/>
        <w:rPr>
          <w:rFonts w:ascii="Times New Roman" w:hAnsi="Times New Roman" w:cs="Times New Roman"/>
          <w:sz w:val="24"/>
        </w:rPr>
      </w:pPr>
      <w:r w:rsidRPr="001D2540">
        <w:rPr>
          <w:rFonts w:ascii="Times New Roman" w:hAnsi="Times New Roman" w:cs="Times New Roman"/>
          <w:sz w:val="24"/>
        </w:rPr>
        <w:t xml:space="preserve">La PPC sugiere que para la ecuación </w:t>
      </w:r>
      <w:r w:rsidR="00DA5A04">
        <w:rPr>
          <w:rFonts w:ascii="Times New Roman" w:hAnsi="Times New Roman" w:cs="Times New Roman"/>
          <w:sz w:val="24"/>
        </w:rPr>
        <w:t>(1)</w:t>
      </w:r>
      <w:r w:rsidRPr="001D2540">
        <w:rPr>
          <w:rFonts w:ascii="Times New Roman" w:hAnsi="Times New Roman" w:cs="Times New Roman"/>
          <w:sz w:val="24"/>
        </w:rPr>
        <w:t xml:space="preserve"> el tipo de cambio no sufrirá </w:t>
      </w:r>
      <w:r w:rsidR="00DA5A04">
        <w:rPr>
          <w:rFonts w:ascii="Times New Roman" w:hAnsi="Times New Roman" w:cs="Times New Roman"/>
          <w:sz w:val="24"/>
        </w:rPr>
        <w:t>variaciones</w:t>
      </w:r>
      <w:r w:rsidRPr="001D2540">
        <w:rPr>
          <w:rFonts w:ascii="Times New Roman" w:hAnsi="Times New Roman" w:cs="Times New Roman"/>
          <w:sz w:val="24"/>
        </w:rPr>
        <w:t xml:space="preserve"> en el tiempo </w:t>
      </w:r>
      <w:r w:rsidR="00DA5A04">
        <w:rPr>
          <w:rFonts w:ascii="Times New Roman" w:hAnsi="Times New Roman" w:cs="Times New Roman"/>
          <w:sz w:val="24"/>
        </w:rPr>
        <w:t>por lo cual debería ser</w:t>
      </w:r>
      <w:r w:rsidRPr="001D2540">
        <w:rPr>
          <w:rFonts w:ascii="Times New Roman" w:hAnsi="Times New Roman" w:cs="Times New Roman"/>
          <w:sz w:val="24"/>
        </w:rPr>
        <w:t xml:space="preserve"> estacionario</w:t>
      </w:r>
      <w:r w:rsidR="00DA5A04">
        <w:rPr>
          <w:rFonts w:ascii="Times New Roman" w:hAnsi="Times New Roman" w:cs="Times New Roman"/>
          <w:sz w:val="24"/>
        </w:rPr>
        <w:t>, lo cual se probará mediante una prueba de raíz unitaria. Por otro lado, la misma ecuación sugiere una relación de largo pla</w:t>
      </w:r>
      <w:r w:rsidR="007B67F5">
        <w:rPr>
          <w:rFonts w:ascii="Times New Roman" w:hAnsi="Times New Roman" w:cs="Times New Roman"/>
          <w:sz w:val="24"/>
        </w:rPr>
        <w:t>zo entre los niveles de precios de ambos países y su tipo de cambio nominal. Esto último nos lleva a plantearnos las siguientes preguntas: para las relaciones entre México-EEUU y México-Can</w:t>
      </w:r>
      <w:r w:rsidR="00A26ADB">
        <w:rPr>
          <w:rFonts w:ascii="Times New Roman" w:hAnsi="Times New Roman" w:cs="Times New Roman"/>
          <w:sz w:val="24"/>
        </w:rPr>
        <w:t>a</w:t>
      </w:r>
      <w:r w:rsidR="007B67F5">
        <w:rPr>
          <w:rFonts w:ascii="Times New Roman" w:hAnsi="Times New Roman" w:cs="Times New Roman"/>
          <w:sz w:val="24"/>
        </w:rPr>
        <w:t>dá, ¿El tipo de cambio real, es estacionario? Y</w:t>
      </w:r>
      <w:r w:rsidR="00A26ADB">
        <w:rPr>
          <w:rFonts w:ascii="Times New Roman" w:hAnsi="Times New Roman" w:cs="Times New Roman"/>
          <w:sz w:val="24"/>
        </w:rPr>
        <w:t xml:space="preserve"> ¿</w:t>
      </w:r>
      <w:r w:rsidR="007B67F5">
        <w:rPr>
          <w:rFonts w:ascii="Times New Roman" w:hAnsi="Times New Roman" w:cs="Times New Roman"/>
          <w:sz w:val="24"/>
        </w:rPr>
        <w:t>Existe una relación de largo plazo entre las variables antes mencionadas?</w:t>
      </w:r>
    </w:p>
    <w:p w:rsidR="00A13B9E" w:rsidRDefault="00A13B9E" w:rsidP="001D2540">
      <w:pPr>
        <w:pStyle w:val="Prrafodelista"/>
        <w:numPr>
          <w:ilvl w:val="0"/>
          <w:numId w:val="1"/>
        </w:numPr>
        <w:spacing w:line="480" w:lineRule="auto"/>
        <w:jc w:val="both"/>
        <w:rPr>
          <w:rFonts w:ascii="Times New Roman" w:hAnsi="Times New Roman" w:cs="Times New Roman"/>
          <w:b/>
          <w:sz w:val="24"/>
        </w:rPr>
      </w:pPr>
      <w:r w:rsidRPr="00A10A74">
        <w:rPr>
          <w:rFonts w:ascii="Times New Roman" w:hAnsi="Times New Roman" w:cs="Times New Roman"/>
          <w:b/>
          <w:sz w:val="24"/>
        </w:rPr>
        <w:lastRenderedPageBreak/>
        <w:t xml:space="preserve">Modelo Econométrico </w:t>
      </w:r>
      <w:r w:rsidR="00C22D63" w:rsidRPr="00A10A74">
        <w:rPr>
          <w:rFonts w:ascii="Times New Roman" w:hAnsi="Times New Roman" w:cs="Times New Roman"/>
          <w:b/>
          <w:sz w:val="24"/>
        </w:rPr>
        <w:t>(Metodología)</w:t>
      </w:r>
    </w:p>
    <w:p w:rsidR="006864F0" w:rsidRPr="006864F0" w:rsidRDefault="006864F0" w:rsidP="006864F0">
      <w:pPr>
        <w:spacing w:line="480" w:lineRule="auto"/>
        <w:jc w:val="both"/>
        <w:rPr>
          <w:rFonts w:ascii="Times New Roman" w:hAnsi="Times New Roman" w:cs="Times New Roman"/>
          <w:sz w:val="24"/>
        </w:rPr>
      </w:pPr>
      <w:r w:rsidRPr="006864F0">
        <w:rPr>
          <w:rFonts w:ascii="Times New Roman" w:hAnsi="Times New Roman" w:cs="Times New Roman"/>
          <w:sz w:val="24"/>
        </w:rPr>
        <w:t>En esta sección se presentan los modelos q</w:t>
      </w:r>
      <w:r w:rsidR="00A57B19">
        <w:rPr>
          <w:rFonts w:ascii="Times New Roman" w:hAnsi="Times New Roman" w:cs="Times New Roman"/>
          <w:sz w:val="24"/>
        </w:rPr>
        <w:t>ue se utilizaron para la validez</w:t>
      </w:r>
      <w:r w:rsidRPr="006864F0">
        <w:rPr>
          <w:rFonts w:ascii="Times New Roman" w:hAnsi="Times New Roman" w:cs="Times New Roman"/>
          <w:sz w:val="24"/>
        </w:rPr>
        <w:t xml:space="preserve"> de la PPC para México-USA y México-Canadá, se utilizan dos métodos para</w:t>
      </w:r>
      <w:r w:rsidR="00A57B19">
        <w:rPr>
          <w:rFonts w:ascii="Times New Roman" w:hAnsi="Times New Roman" w:cs="Times New Roman"/>
          <w:sz w:val="24"/>
        </w:rPr>
        <w:t xml:space="preserve"> probar</w:t>
      </w:r>
      <w:r w:rsidRPr="006864F0">
        <w:rPr>
          <w:rFonts w:ascii="Times New Roman" w:hAnsi="Times New Roman" w:cs="Times New Roman"/>
          <w:sz w:val="24"/>
        </w:rPr>
        <w:t xml:space="preserve"> la validez</w:t>
      </w:r>
      <w:r w:rsidR="00A57B19">
        <w:rPr>
          <w:rFonts w:ascii="Times New Roman" w:hAnsi="Times New Roman" w:cs="Times New Roman"/>
          <w:sz w:val="24"/>
        </w:rPr>
        <w:t xml:space="preserve"> de la teoría: </w:t>
      </w:r>
      <w:r w:rsidRPr="006864F0">
        <w:rPr>
          <w:rFonts w:ascii="Times New Roman" w:hAnsi="Times New Roman" w:cs="Times New Roman"/>
          <w:sz w:val="24"/>
        </w:rPr>
        <w:t xml:space="preserve"> por medio del cálculo del tipo cambio real y </w:t>
      </w:r>
      <w:r w:rsidR="00A57B19">
        <w:rPr>
          <w:rFonts w:ascii="Times New Roman" w:hAnsi="Times New Roman" w:cs="Times New Roman"/>
          <w:sz w:val="24"/>
        </w:rPr>
        <w:t xml:space="preserve">mediante el análisis de </w:t>
      </w:r>
      <w:r w:rsidRPr="006864F0">
        <w:rPr>
          <w:rFonts w:ascii="Times New Roman" w:hAnsi="Times New Roman" w:cs="Times New Roman"/>
          <w:sz w:val="24"/>
        </w:rPr>
        <w:t>la relación lineal</w:t>
      </w:r>
      <w:r w:rsidR="00A57B19">
        <w:rPr>
          <w:rFonts w:ascii="Times New Roman" w:hAnsi="Times New Roman" w:cs="Times New Roman"/>
          <w:sz w:val="24"/>
        </w:rPr>
        <w:t xml:space="preserve"> entre los niveles de precios y</w:t>
      </w:r>
      <w:r w:rsidRPr="006864F0">
        <w:rPr>
          <w:rFonts w:ascii="Times New Roman" w:hAnsi="Times New Roman" w:cs="Times New Roman"/>
          <w:sz w:val="24"/>
        </w:rPr>
        <w:t xml:space="preserve"> tipo de cambio nominal.</w:t>
      </w:r>
    </w:p>
    <w:p w:rsidR="007B67F5" w:rsidRDefault="006864F0" w:rsidP="006012AC">
      <w:pPr>
        <w:spacing w:line="480" w:lineRule="auto"/>
        <w:ind w:firstLine="708"/>
        <w:jc w:val="both"/>
        <w:rPr>
          <w:rFonts w:ascii="Times New Roman" w:hAnsi="Times New Roman" w:cs="Times New Roman"/>
          <w:sz w:val="24"/>
        </w:rPr>
      </w:pPr>
      <w:r w:rsidRPr="006864F0">
        <w:rPr>
          <w:rFonts w:ascii="Times New Roman" w:hAnsi="Times New Roman" w:cs="Times New Roman"/>
          <w:sz w:val="24"/>
        </w:rPr>
        <w:t>Para determinar el tipo de cambio real se presen</w:t>
      </w:r>
      <w:r w:rsidR="006C4434">
        <w:rPr>
          <w:rFonts w:ascii="Times New Roman" w:hAnsi="Times New Roman" w:cs="Times New Roman"/>
          <w:sz w:val="24"/>
        </w:rPr>
        <w:t>ta</w:t>
      </w:r>
      <w:r w:rsidR="007B67F5">
        <w:rPr>
          <w:rFonts w:ascii="Times New Roman" w:hAnsi="Times New Roman" w:cs="Times New Roman"/>
          <w:sz w:val="24"/>
        </w:rPr>
        <w:t>n las ecuaciones (2) y (3)</w:t>
      </w:r>
      <w:r w:rsidR="006C4434">
        <w:rPr>
          <w:rFonts w:ascii="Times New Roman" w:hAnsi="Times New Roman" w:cs="Times New Roman"/>
          <w:sz w:val="24"/>
        </w:rPr>
        <w:t xml:space="preserve"> </w:t>
      </w:r>
      <w:r w:rsidR="007B67F5">
        <w:rPr>
          <w:rFonts w:ascii="Times New Roman" w:hAnsi="Times New Roman" w:cs="Times New Roman"/>
          <w:sz w:val="24"/>
        </w:rPr>
        <w:t>las cuales se basan en la ecuación (1) y las utilizamos aquí para calcular el tipo de cambio real para los dos casos que buscamos analizar.</w:t>
      </w:r>
      <w:r w:rsidRPr="006864F0">
        <w:rPr>
          <w:rFonts w:ascii="Times New Roman" w:hAnsi="Times New Roman" w:cs="Times New Roman"/>
          <w:sz w:val="24"/>
        </w:rPr>
        <w:t xml:space="preserve"> </w:t>
      </w:r>
      <w:r w:rsidR="007B67F5">
        <w:rPr>
          <w:rFonts w:ascii="Times New Roman" w:hAnsi="Times New Roman" w:cs="Times New Roman"/>
          <w:sz w:val="24"/>
        </w:rPr>
        <w:t>Las ecuaciones se ven de la siguiente manera:</w:t>
      </w:r>
    </w:p>
    <w:p w:rsidR="00AB2461" w:rsidRPr="006012AC" w:rsidRDefault="00AB2461" w:rsidP="006012AC">
      <w:pPr>
        <w:spacing w:line="480" w:lineRule="auto"/>
        <w:ind w:firstLine="708"/>
        <w:jc w:val="both"/>
        <w:rPr>
          <w:rFonts w:ascii="Times New Roman" w:hAnsi="Times New Roman" w:cs="Times New Roman"/>
          <w:sz w:val="24"/>
        </w:rPr>
      </w:pPr>
    </w:p>
    <w:p w:rsidR="007B67F5" w:rsidRPr="007B67F5" w:rsidRDefault="00362FD1" w:rsidP="00FB55B1">
      <w:pPr>
        <w:spacing w:line="480" w:lineRule="auto"/>
        <w:ind w:firstLine="708"/>
        <w:jc w:val="both"/>
        <w:rPr>
          <w:rFonts w:ascii="Times New Roman" w:hAnsi="Times New Roman" w:cs="Times New Roman"/>
          <w:sz w:val="24"/>
        </w:rPr>
      </w:pPr>
      <m:oMathPara>
        <m:oMathParaPr>
          <m:jc m:val="right"/>
        </m:oMathParaP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US</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US</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da</m:t>
              </m:r>
            </m:sub>
          </m:sSub>
          <m:r>
            <w:rPr>
              <w:rFonts w:ascii="Cambria Math" w:hAnsi="Cambria Math" w:cs="Times New Roman"/>
              <w:sz w:val="24"/>
            </w:rPr>
            <m:t xml:space="preserve">                                                  (2)</m:t>
          </m:r>
        </m:oMath>
      </m:oMathPara>
    </w:p>
    <w:p w:rsidR="006864F0" w:rsidRPr="007B67F5" w:rsidRDefault="00362FD1" w:rsidP="006864F0">
      <w:pPr>
        <w:spacing w:line="480" w:lineRule="auto"/>
        <w:jc w:val="both"/>
        <w:rPr>
          <w:rFonts w:ascii="Times New Roman" w:hAnsi="Times New Roman" w:cs="Times New Roman"/>
          <w:sz w:val="24"/>
        </w:rPr>
      </w:pPr>
      <m:oMathPara>
        <m:oMathParaPr>
          <m:jc m:val="right"/>
        </m:oMathParaP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CAN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CAN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8"/>
                </w:rPr>
                <m:t>dc</m:t>
              </m:r>
            </m:sub>
          </m:sSub>
          <m:r>
            <w:rPr>
              <w:rFonts w:ascii="Cambria Math" w:hAnsi="Cambria Math" w:cs="Times New Roman"/>
              <w:sz w:val="24"/>
            </w:rPr>
            <m:t xml:space="preserve">                                               (3)</m:t>
          </m:r>
        </m:oMath>
      </m:oMathPara>
    </w:p>
    <w:p w:rsidR="006864F0" w:rsidRPr="006864F0" w:rsidRDefault="006864F0" w:rsidP="006864F0">
      <w:pPr>
        <w:spacing w:line="480" w:lineRule="auto"/>
        <w:jc w:val="both"/>
        <w:rPr>
          <w:rFonts w:ascii="Times New Roman" w:hAnsi="Times New Roman" w:cs="Times New Roman"/>
          <w:sz w:val="24"/>
        </w:rPr>
      </w:pPr>
    </w:p>
    <w:p w:rsidR="006864F0" w:rsidRPr="006864F0" w:rsidRDefault="006012AC" w:rsidP="006012AC">
      <w:pPr>
        <w:spacing w:line="480" w:lineRule="auto"/>
        <w:ind w:firstLine="708"/>
        <w:jc w:val="both"/>
        <w:rPr>
          <w:rFonts w:ascii="Times New Roman" w:hAnsi="Times New Roman" w:cs="Times New Roman"/>
          <w:sz w:val="24"/>
        </w:rPr>
      </w:pPr>
      <w:r>
        <w:rPr>
          <w:rFonts w:ascii="Times New Roman" w:hAnsi="Times New Roman" w:cs="Times New Roman"/>
          <w:sz w:val="24"/>
        </w:rPr>
        <w:t xml:space="preserve">En donde </w:t>
      </w:r>
      <w:r w:rsidRPr="006012AC">
        <w:rPr>
          <w:rFonts w:ascii="Times New Roman" w:hAnsi="Times New Roman" w:cs="Times New Roman"/>
          <w:b/>
          <w:i/>
          <w:sz w:val="24"/>
        </w:rPr>
        <w:t>r</w:t>
      </w:r>
      <w:r>
        <w:rPr>
          <w:rFonts w:ascii="Times New Roman" w:hAnsi="Times New Roman" w:cs="Times New Roman"/>
          <w:sz w:val="24"/>
        </w:rPr>
        <w:t xml:space="preserve"> representa el tipo de cambio real para cada caso</w:t>
      </w:r>
      <w:r w:rsidRPr="006012AC">
        <w:rPr>
          <w:rFonts w:ascii="Times New Roman" w:hAnsi="Times New Roman" w:cs="Times New Roman"/>
          <w:b/>
          <w:sz w:val="24"/>
        </w:rPr>
        <w:t xml:space="preserve">. </w:t>
      </w:r>
      <w:r w:rsidRPr="006012AC">
        <w:rPr>
          <w:rFonts w:ascii="Times New Roman" w:hAnsi="Times New Roman" w:cs="Times New Roman"/>
          <w:b/>
          <w:i/>
          <w:sz w:val="24"/>
        </w:rPr>
        <w:t>p</w:t>
      </w:r>
      <w:r>
        <w:rPr>
          <w:rFonts w:ascii="Times New Roman" w:hAnsi="Times New Roman" w:cs="Times New Roman"/>
          <w:sz w:val="24"/>
        </w:rPr>
        <w:t xml:space="preserve"> indica el nivel de precios en los países marcados en los subíndices y </w:t>
      </w:r>
      <w:r w:rsidRPr="006012AC">
        <w:rPr>
          <w:rFonts w:ascii="Times New Roman" w:hAnsi="Times New Roman" w:cs="Times New Roman"/>
          <w:b/>
          <w:i/>
          <w:sz w:val="24"/>
        </w:rPr>
        <w:t>e</w:t>
      </w:r>
      <w:r>
        <w:rPr>
          <w:rFonts w:ascii="Times New Roman" w:hAnsi="Times New Roman" w:cs="Times New Roman"/>
          <w:sz w:val="24"/>
        </w:rPr>
        <w:t xml:space="preserve"> representa el tipo de cambio para cada caso, expresado en pesos por divisa</w:t>
      </w:r>
      <w:r w:rsidR="005809DF">
        <w:rPr>
          <w:rFonts w:ascii="Times New Roman" w:hAnsi="Times New Roman" w:cs="Times New Roman"/>
          <w:sz w:val="24"/>
        </w:rPr>
        <w:t>, todo en logaritmos</w:t>
      </w:r>
      <w:r>
        <w:rPr>
          <w:rFonts w:ascii="Times New Roman" w:hAnsi="Times New Roman" w:cs="Times New Roman"/>
          <w:sz w:val="24"/>
        </w:rPr>
        <w:t xml:space="preserve">. </w:t>
      </w:r>
      <w:r w:rsidR="006864F0" w:rsidRPr="006864F0">
        <w:rPr>
          <w:rFonts w:ascii="Times New Roman" w:hAnsi="Times New Roman" w:cs="Times New Roman"/>
          <w:sz w:val="24"/>
        </w:rPr>
        <w:t>Para validar la PPC se utilizan pruebas de Raíz Unitaria para determinar si</w:t>
      </w:r>
      <w:r>
        <w:rPr>
          <w:rFonts w:ascii="Times New Roman" w:hAnsi="Times New Roman" w:cs="Times New Roman"/>
          <w:sz w:val="24"/>
        </w:rPr>
        <w:t xml:space="preserve"> la serie calculada tiene una tendencia estocástica, lo cual significaría que el tipo de cambio real no tiene por qué regresar a su valor de equilibrio</w:t>
      </w:r>
      <w:r w:rsidR="00FB55B1">
        <w:rPr>
          <w:rFonts w:ascii="Times New Roman" w:hAnsi="Times New Roman" w:cs="Times New Roman"/>
          <w:sz w:val="24"/>
        </w:rPr>
        <w:t>,</w:t>
      </w:r>
      <w:r>
        <w:rPr>
          <w:rFonts w:ascii="Times New Roman" w:hAnsi="Times New Roman" w:cs="Times New Roman"/>
          <w:sz w:val="24"/>
        </w:rPr>
        <w:t xml:space="preserve"> lo cual iría en contra de la teoría. L</w:t>
      </w:r>
      <w:r w:rsidR="00FB55B1">
        <w:rPr>
          <w:rFonts w:ascii="Times New Roman" w:hAnsi="Times New Roman" w:cs="Times New Roman"/>
          <w:sz w:val="24"/>
        </w:rPr>
        <w:t xml:space="preserve">a prueba </w:t>
      </w:r>
      <w:proofErr w:type="spellStart"/>
      <w:r w:rsidR="00FB55B1">
        <w:rPr>
          <w:rFonts w:ascii="Times New Roman" w:hAnsi="Times New Roman" w:cs="Times New Roman"/>
          <w:sz w:val="24"/>
        </w:rPr>
        <w:t>Dickey-</w:t>
      </w:r>
      <w:r w:rsidR="006864F0" w:rsidRPr="006864F0">
        <w:rPr>
          <w:rFonts w:ascii="Times New Roman" w:hAnsi="Times New Roman" w:cs="Times New Roman"/>
          <w:sz w:val="24"/>
        </w:rPr>
        <w:t>Fuller</w:t>
      </w:r>
      <w:proofErr w:type="spellEnd"/>
      <w:r w:rsidR="006864F0" w:rsidRPr="006864F0">
        <w:rPr>
          <w:rFonts w:ascii="Times New Roman" w:hAnsi="Times New Roman" w:cs="Times New Roman"/>
          <w:sz w:val="24"/>
        </w:rPr>
        <w:t xml:space="preserve"> Aumentada nos deter</w:t>
      </w:r>
      <w:r>
        <w:rPr>
          <w:rFonts w:ascii="Times New Roman" w:hAnsi="Times New Roman" w:cs="Times New Roman"/>
          <w:sz w:val="24"/>
        </w:rPr>
        <w:t xml:space="preserve">mina si el tipo de cambio real </w:t>
      </w:r>
      <w:r w:rsidR="006864F0" w:rsidRPr="006864F0">
        <w:rPr>
          <w:rFonts w:ascii="Times New Roman" w:hAnsi="Times New Roman" w:cs="Times New Roman"/>
          <w:sz w:val="24"/>
        </w:rPr>
        <w:t>presenta Raíz unitaria o si el tipo de ca</w:t>
      </w:r>
      <w:r>
        <w:rPr>
          <w:rFonts w:ascii="Times New Roman" w:hAnsi="Times New Roman" w:cs="Times New Roman"/>
          <w:sz w:val="24"/>
        </w:rPr>
        <w:t>mbio real es</w:t>
      </w:r>
      <w:r w:rsidR="006864F0" w:rsidRPr="006864F0">
        <w:rPr>
          <w:rFonts w:ascii="Times New Roman" w:hAnsi="Times New Roman" w:cs="Times New Roman"/>
          <w:sz w:val="24"/>
        </w:rPr>
        <w:t xml:space="preserve"> proceso estacionario.</w:t>
      </w:r>
    </w:p>
    <w:p w:rsidR="006864F0" w:rsidRPr="006864F0" w:rsidRDefault="006864F0" w:rsidP="00386B5C">
      <w:pPr>
        <w:spacing w:line="480" w:lineRule="auto"/>
        <w:ind w:firstLine="708"/>
        <w:jc w:val="both"/>
        <w:rPr>
          <w:rFonts w:ascii="Times New Roman" w:hAnsi="Times New Roman" w:cs="Times New Roman"/>
          <w:sz w:val="24"/>
        </w:rPr>
      </w:pPr>
      <w:r w:rsidRPr="006864F0">
        <w:rPr>
          <w:rFonts w:ascii="Times New Roman" w:hAnsi="Times New Roman" w:cs="Times New Roman"/>
          <w:sz w:val="24"/>
        </w:rPr>
        <w:t xml:space="preserve">Dado a los posibles cambios estructurales en la serie del tipo de cambio real para determinar si sigue o no sigue un proceso de caminata aleatoria se le </w:t>
      </w:r>
      <w:r w:rsidR="00386B5C" w:rsidRPr="006864F0">
        <w:rPr>
          <w:rFonts w:ascii="Times New Roman" w:hAnsi="Times New Roman" w:cs="Times New Roman"/>
          <w:sz w:val="24"/>
        </w:rPr>
        <w:t>aplica</w:t>
      </w:r>
      <w:r w:rsidR="00386B5C">
        <w:rPr>
          <w:rFonts w:ascii="Times New Roman" w:hAnsi="Times New Roman" w:cs="Times New Roman"/>
          <w:sz w:val="24"/>
        </w:rPr>
        <w:t>ría</w:t>
      </w:r>
      <w:r w:rsidRPr="006864F0">
        <w:rPr>
          <w:rFonts w:ascii="Times New Roman" w:hAnsi="Times New Roman" w:cs="Times New Roman"/>
          <w:sz w:val="24"/>
        </w:rPr>
        <w:t xml:space="preserve"> la prueba </w:t>
      </w:r>
      <w:proofErr w:type="spellStart"/>
      <w:r w:rsidRPr="006864F0">
        <w:rPr>
          <w:rFonts w:ascii="Times New Roman" w:hAnsi="Times New Roman" w:cs="Times New Roman"/>
          <w:sz w:val="24"/>
        </w:rPr>
        <w:lastRenderedPageBreak/>
        <w:t>Ziv</w:t>
      </w:r>
      <w:r w:rsidR="00FB55B1">
        <w:rPr>
          <w:rFonts w:ascii="Times New Roman" w:hAnsi="Times New Roman" w:cs="Times New Roman"/>
          <w:sz w:val="24"/>
        </w:rPr>
        <w:t>ot</w:t>
      </w:r>
      <w:proofErr w:type="spellEnd"/>
      <w:r w:rsidRPr="006864F0">
        <w:rPr>
          <w:rFonts w:ascii="Times New Roman" w:hAnsi="Times New Roman" w:cs="Times New Roman"/>
          <w:sz w:val="24"/>
        </w:rPr>
        <w:t xml:space="preserve">-Andrews la cual determina si la serie tiene o no </w:t>
      </w:r>
      <w:r w:rsidR="006012AC">
        <w:rPr>
          <w:rFonts w:ascii="Times New Roman" w:hAnsi="Times New Roman" w:cs="Times New Roman"/>
          <w:sz w:val="24"/>
        </w:rPr>
        <w:t>una raíz unitaria considerando un cambio</w:t>
      </w:r>
      <w:r w:rsidRPr="006864F0">
        <w:rPr>
          <w:rFonts w:ascii="Times New Roman" w:hAnsi="Times New Roman" w:cs="Times New Roman"/>
          <w:sz w:val="24"/>
        </w:rPr>
        <w:t xml:space="preserve"> estructural a través del tiempo.</w:t>
      </w:r>
      <w:r w:rsidR="006012AC">
        <w:rPr>
          <w:rFonts w:ascii="Times New Roman" w:hAnsi="Times New Roman" w:cs="Times New Roman"/>
          <w:sz w:val="24"/>
        </w:rPr>
        <w:t xml:space="preserve"> </w:t>
      </w:r>
      <w:r w:rsidR="00386B5C">
        <w:rPr>
          <w:rFonts w:ascii="Times New Roman" w:hAnsi="Times New Roman" w:cs="Times New Roman"/>
          <w:sz w:val="24"/>
        </w:rPr>
        <w:t>Si la serie tuviera cambios estructurales y estos no fueran considerados en el análisis, existe una amplia posibilidad de obtener resultados espurios.</w:t>
      </w:r>
    </w:p>
    <w:p w:rsidR="006864F0" w:rsidRDefault="005809DF" w:rsidP="00F43838">
      <w:pPr>
        <w:spacing w:line="480" w:lineRule="auto"/>
        <w:ind w:firstLine="708"/>
        <w:jc w:val="both"/>
        <w:rPr>
          <w:rFonts w:ascii="Times New Roman" w:hAnsi="Times New Roman" w:cs="Times New Roman"/>
          <w:sz w:val="24"/>
        </w:rPr>
      </w:pPr>
      <w:r>
        <w:rPr>
          <w:rFonts w:ascii="Times New Roman" w:hAnsi="Times New Roman" w:cs="Times New Roman"/>
          <w:sz w:val="24"/>
        </w:rPr>
        <w:t>Una</w:t>
      </w:r>
      <w:r w:rsidR="008F7CC5">
        <w:rPr>
          <w:rFonts w:ascii="Times New Roman" w:hAnsi="Times New Roman" w:cs="Times New Roman"/>
          <w:sz w:val="24"/>
        </w:rPr>
        <w:t xml:space="preserve"> metodología </w:t>
      </w:r>
      <w:r>
        <w:rPr>
          <w:rFonts w:ascii="Times New Roman" w:hAnsi="Times New Roman" w:cs="Times New Roman"/>
          <w:sz w:val="24"/>
        </w:rPr>
        <w:t>alternativa</w:t>
      </w:r>
      <w:r w:rsidR="008F7CC5">
        <w:rPr>
          <w:rFonts w:ascii="Times New Roman" w:hAnsi="Times New Roman" w:cs="Times New Roman"/>
          <w:sz w:val="24"/>
        </w:rPr>
        <w:t xml:space="preserve"> </w:t>
      </w:r>
      <w:r w:rsidR="006864F0" w:rsidRPr="006864F0">
        <w:rPr>
          <w:rFonts w:ascii="Times New Roman" w:hAnsi="Times New Roman" w:cs="Times New Roman"/>
          <w:sz w:val="24"/>
        </w:rPr>
        <w:t xml:space="preserve">que se presenta para la validación de la PPC es por medio de la </w:t>
      </w:r>
      <w:r>
        <w:rPr>
          <w:rFonts w:ascii="Times New Roman" w:hAnsi="Times New Roman" w:cs="Times New Roman"/>
          <w:sz w:val="24"/>
        </w:rPr>
        <w:t>cointegración. En este caso utilizamos</w:t>
      </w:r>
      <w:r w:rsidR="00F43838">
        <w:rPr>
          <w:rFonts w:ascii="Times New Roman" w:hAnsi="Times New Roman" w:cs="Times New Roman"/>
          <w:sz w:val="24"/>
        </w:rPr>
        <w:t xml:space="preserve"> la metodología de</w:t>
      </w:r>
      <w:r>
        <w:rPr>
          <w:rFonts w:ascii="Times New Roman" w:hAnsi="Times New Roman" w:cs="Times New Roman"/>
          <w:sz w:val="24"/>
        </w:rPr>
        <w:t xml:space="preserve"> Engel-Granger (</w:t>
      </w:r>
      <w:r w:rsidR="00AB5F75">
        <w:rPr>
          <w:rFonts w:ascii="Times New Roman" w:hAnsi="Times New Roman" w:cs="Times New Roman"/>
          <w:sz w:val="24"/>
        </w:rPr>
        <w:t>1978</w:t>
      </w:r>
      <w:r>
        <w:rPr>
          <w:rFonts w:ascii="Times New Roman" w:hAnsi="Times New Roman" w:cs="Times New Roman"/>
          <w:sz w:val="24"/>
        </w:rPr>
        <w:t xml:space="preserve">) </w:t>
      </w:r>
      <w:r w:rsidR="00F43838">
        <w:rPr>
          <w:rFonts w:ascii="Times New Roman" w:hAnsi="Times New Roman" w:cs="Times New Roman"/>
          <w:sz w:val="24"/>
        </w:rPr>
        <w:t xml:space="preserve">de 3 pasos </w:t>
      </w:r>
      <w:r>
        <w:rPr>
          <w:rFonts w:ascii="Times New Roman" w:hAnsi="Times New Roman" w:cs="Times New Roman"/>
          <w:sz w:val="24"/>
        </w:rPr>
        <w:t xml:space="preserve">para buscar una relación de largo plazo </w:t>
      </w:r>
      <w:r w:rsidR="006864F0" w:rsidRPr="006864F0">
        <w:rPr>
          <w:rFonts w:ascii="Times New Roman" w:hAnsi="Times New Roman" w:cs="Times New Roman"/>
          <w:sz w:val="24"/>
        </w:rPr>
        <w:t>entre el nivel de precio</w:t>
      </w:r>
      <w:r>
        <w:rPr>
          <w:rFonts w:ascii="Times New Roman" w:hAnsi="Times New Roman" w:cs="Times New Roman"/>
          <w:sz w:val="24"/>
        </w:rPr>
        <w:t>s</w:t>
      </w:r>
      <w:r w:rsidR="006864F0" w:rsidRPr="006864F0">
        <w:rPr>
          <w:rFonts w:ascii="Times New Roman" w:hAnsi="Times New Roman" w:cs="Times New Roman"/>
          <w:sz w:val="24"/>
        </w:rPr>
        <w:t xml:space="preserve"> nacional, el nivel de precios extranjero y el tipo de cambio nominal</w:t>
      </w:r>
      <w:r>
        <w:rPr>
          <w:rFonts w:ascii="Times New Roman" w:hAnsi="Times New Roman" w:cs="Times New Roman"/>
          <w:sz w:val="24"/>
        </w:rPr>
        <w:t>.</w:t>
      </w:r>
      <w:r w:rsidR="00F43838">
        <w:rPr>
          <w:rFonts w:ascii="Times New Roman" w:hAnsi="Times New Roman" w:cs="Times New Roman"/>
          <w:sz w:val="24"/>
        </w:rPr>
        <w:t xml:space="preserve"> En el primer paso se busca el orden de integración de las series que se van a utilizar para el análisis. En el segundo paso utilizamos las siguientes ecuaciones para el caso de México-EEUU:</w:t>
      </w:r>
    </w:p>
    <w:p w:rsidR="00AB2461" w:rsidRPr="006864F0" w:rsidRDefault="00AB2461" w:rsidP="00F43838">
      <w:pPr>
        <w:spacing w:line="480" w:lineRule="auto"/>
        <w:ind w:firstLine="708"/>
        <w:jc w:val="both"/>
        <w:rPr>
          <w:rFonts w:ascii="Times New Roman" w:hAnsi="Times New Roman" w:cs="Times New Roman"/>
          <w:sz w:val="24"/>
        </w:rPr>
      </w:pPr>
    </w:p>
    <w:p w:rsidR="006864F0" w:rsidRPr="00306398" w:rsidRDefault="00362FD1" w:rsidP="006864F0">
      <w:pPr>
        <w:spacing w:line="480" w:lineRule="auto"/>
        <w:jc w:val="both"/>
        <w:rPr>
          <w:rFonts w:ascii="Times New Roman" w:eastAsiaTheme="minorEastAsia" w:hAnsi="Times New Roman" w:cs="Times New Roman"/>
          <w:sz w:val="24"/>
        </w:rPr>
      </w:pPr>
      <m:oMathPara>
        <m:oMathParaPr>
          <m:jc m:val="right"/>
        </m:oMathPara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11</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US</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12</m:t>
              </m:r>
            </m:sub>
          </m:sSub>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da</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1</m:t>
              </m:r>
            </m:sub>
          </m:sSub>
          <m:r>
            <w:rPr>
              <w:rFonts w:ascii="Cambria Math" w:hAnsi="Cambria Math" w:cs="Times New Roman"/>
              <w:sz w:val="24"/>
            </w:rPr>
            <m:t xml:space="preserve">                                       (4)</m:t>
          </m:r>
        </m:oMath>
      </m:oMathPara>
    </w:p>
    <w:p w:rsidR="00306398" w:rsidRPr="00306398" w:rsidRDefault="00362FD1" w:rsidP="006864F0">
      <w:pPr>
        <w:spacing w:line="480" w:lineRule="auto"/>
        <w:jc w:val="both"/>
        <w:rPr>
          <w:rFonts w:ascii="Times New Roman" w:eastAsiaTheme="minorEastAsia" w:hAnsi="Times New Roman" w:cs="Times New Roman"/>
          <w:sz w:val="24"/>
        </w:rPr>
      </w:pPr>
      <m:oMathPara>
        <m:oMathParaPr>
          <m:jc m:val="right"/>
        </m:oMathPara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US</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21</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22</m:t>
              </m:r>
            </m:sub>
          </m:sSub>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da</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2</m:t>
              </m:r>
            </m:sub>
          </m:sSub>
          <m:r>
            <w:rPr>
              <w:rFonts w:ascii="Cambria Math" w:hAnsi="Cambria Math" w:cs="Times New Roman"/>
              <w:sz w:val="24"/>
            </w:rPr>
            <m:t xml:space="preserve">                                       (5)</m:t>
          </m:r>
        </m:oMath>
      </m:oMathPara>
    </w:p>
    <w:p w:rsidR="00306398" w:rsidRPr="00AB2461" w:rsidRDefault="00362FD1" w:rsidP="006864F0">
      <w:pPr>
        <w:spacing w:line="480" w:lineRule="auto"/>
        <w:jc w:val="both"/>
        <w:rPr>
          <w:rFonts w:ascii="Times New Roman" w:eastAsiaTheme="minorEastAsia" w:hAnsi="Times New Roman" w:cs="Times New Roman"/>
          <w:sz w:val="24"/>
        </w:rPr>
      </w:pPr>
      <m:oMathPara>
        <m:oMathParaPr>
          <m:jc m:val="right"/>
        </m:oMathParaP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da</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3+</m:t>
              </m:r>
            </m:sub>
          </m:sSub>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31</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32</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US</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3</m:t>
              </m:r>
            </m:sub>
          </m:sSub>
          <m:r>
            <w:rPr>
              <w:rFonts w:ascii="Cambria Math" w:hAnsi="Cambria Math" w:cs="Times New Roman"/>
              <w:sz w:val="24"/>
            </w:rPr>
            <m:t xml:space="preserve">                                       (6)</m:t>
          </m:r>
        </m:oMath>
      </m:oMathPara>
    </w:p>
    <w:p w:rsidR="00AB2461" w:rsidRPr="00306398" w:rsidRDefault="00AB2461" w:rsidP="006864F0">
      <w:pPr>
        <w:spacing w:line="480" w:lineRule="auto"/>
        <w:jc w:val="both"/>
        <w:rPr>
          <w:rFonts w:ascii="Times New Roman" w:hAnsi="Times New Roman" w:cs="Times New Roman"/>
          <w:sz w:val="24"/>
        </w:rPr>
      </w:pPr>
    </w:p>
    <w:p w:rsidR="006864F0" w:rsidRDefault="00F43838" w:rsidP="006864F0">
      <w:pPr>
        <w:spacing w:line="480" w:lineRule="auto"/>
        <w:jc w:val="both"/>
        <w:rPr>
          <w:rFonts w:ascii="Times New Roman" w:hAnsi="Times New Roman" w:cs="Times New Roman"/>
          <w:sz w:val="24"/>
        </w:rPr>
      </w:pPr>
      <w:r>
        <w:rPr>
          <w:rFonts w:ascii="Times New Roman" w:hAnsi="Times New Roman" w:cs="Times New Roman"/>
          <w:sz w:val="24"/>
        </w:rPr>
        <w:t>Y para el caso México-Canadá:</w:t>
      </w:r>
    </w:p>
    <w:p w:rsidR="00AB2461" w:rsidRDefault="00AB2461" w:rsidP="006864F0">
      <w:pPr>
        <w:spacing w:line="480" w:lineRule="auto"/>
        <w:jc w:val="both"/>
        <w:rPr>
          <w:rFonts w:ascii="Times New Roman" w:hAnsi="Times New Roman" w:cs="Times New Roman"/>
          <w:sz w:val="24"/>
        </w:rPr>
      </w:pPr>
    </w:p>
    <w:p w:rsidR="00306398" w:rsidRPr="00E30B5C" w:rsidRDefault="00362FD1" w:rsidP="006864F0">
      <w:pPr>
        <w:spacing w:line="480" w:lineRule="auto"/>
        <w:jc w:val="both"/>
        <w:rPr>
          <w:rFonts w:ascii="Times New Roman" w:eastAsiaTheme="minorEastAsia" w:hAnsi="Times New Roman" w:cs="Times New Roman"/>
          <w:sz w:val="24"/>
        </w:rPr>
      </w:pPr>
      <m:oMathPara>
        <m:oMathParaPr>
          <m:jc m:val="right"/>
        </m:oMathPara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δ</m:t>
              </m:r>
            </m:e>
            <m:sub>
              <m:r>
                <w:rPr>
                  <w:rFonts w:ascii="Cambria Math" w:hAnsi="Cambria Math" w:cs="Times New Roman"/>
                  <w:sz w:val="24"/>
                </w:rPr>
                <m:t>11</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CAN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δ</m:t>
              </m:r>
            </m:e>
            <m:sub>
              <m:r>
                <w:rPr>
                  <w:rFonts w:ascii="Cambria Math" w:hAnsi="Cambria Math" w:cs="Times New Roman"/>
                  <w:sz w:val="24"/>
                </w:rPr>
                <m:t>12</m:t>
              </m:r>
            </m:sub>
          </m:sSub>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dc</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 xml:space="preserve">                                       (7)</m:t>
          </m:r>
        </m:oMath>
      </m:oMathPara>
    </w:p>
    <w:p w:rsidR="00306398" w:rsidRPr="00E30B5C" w:rsidRDefault="00362FD1" w:rsidP="006864F0">
      <w:pPr>
        <w:spacing w:line="480" w:lineRule="auto"/>
        <w:jc w:val="both"/>
        <w:rPr>
          <w:rFonts w:ascii="Times New Roman" w:eastAsiaTheme="minorEastAsia" w:hAnsi="Times New Roman" w:cs="Times New Roman"/>
          <w:sz w:val="24"/>
        </w:rPr>
      </w:pPr>
      <m:oMathPara>
        <m:oMathParaPr>
          <m:jc m:val="right"/>
        </m:oMathPara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CAN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δ</m:t>
              </m:r>
            </m:e>
            <m:sub>
              <m:r>
                <w:rPr>
                  <w:rFonts w:ascii="Cambria Math" w:hAnsi="Cambria Math" w:cs="Times New Roman"/>
                  <w:sz w:val="24"/>
                </w:rPr>
                <m:t>21</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δ</m:t>
              </m:r>
            </m:e>
            <m:sub>
              <m:r>
                <w:rPr>
                  <w:rFonts w:ascii="Cambria Math" w:hAnsi="Cambria Math" w:cs="Times New Roman"/>
                  <w:sz w:val="24"/>
                </w:rPr>
                <m:t>22</m:t>
              </m:r>
            </m:sub>
          </m:sSub>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dc</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r>
            <w:rPr>
              <w:rFonts w:ascii="Cambria Math" w:hAnsi="Cambria Math" w:cs="Times New Roman"/>
              <w:sz w:val="24"/>
            </w:rPr>
            <m:t xml:space="preserve">                                       (8)</m:t>
          </m:r>
        </m:oMath>
      </m:oMathPara>
    </w:p>
    <w:p w:rsidR="00306398" w:rsidRPr="00AB2461" w:rsidRDefault="00362FD1" w:rsidP="006864F0">
      <w:pPr>
        <w:spacing w:line="480" w:lineRule="auto"/>
        <w:jc w:val="both"/>
        <w:rPr>
          <w:rFonts w:ascii="Times New Roman" w:eastAsiaTheme="minorEastAsia" w:hAnsi="Times New Roman" w:cs="Times New Roman"/>
          <w:sz w:val="24"/>
        </w:rPr>
      </w:pPr>
      <m:oMathPara>
        <m:oMathParaPr>
          <m:jc m:val="right"/>
        </m:oMathParaP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dc</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δ</m:t>
              </m:r>
            </m:e>
            <m:sub>
              <m:r>
                <w:rPr>
                  <w:rFonts w:ascii="Cambria Math" w:hAnsi="Cambria Math" w:cs="Times New Roman"/>
                  <w:sz w:val="24"/>
                </w:rPr>
                <m:t>31</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δ</m:t>
              </m:r>
            </m:e>
            <m:sub>
              <m:r>
                <w:rPr>
                  <w:rFonts w:ascii="Cambria Math" w:hAnsi="Cambria Math" w:cs="Times New Roman"/>
                  <w:sz w:val="24"/>
                </w:rPr>
                <m:t>32</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CAN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r>
            <w:rPr>
              <w:rFonts w:ascii="Cambria Math" w:hAnsi="Cambria Math" w:cs="Times New Roman"/>
              <w:sz w:val="24"/>
            </w:rPr>
            <m:t xml:space="preserve">                                       (9)</m:t>
          </m:r>
        </m:oMath>
      </m:oMathPara>
    </w:p>
    <w:p w:rsidR="00AB2461" w:rsidRPr="00E30B5C" w:rsidRDefault="00AB2461" w:rsidP="006864F0">
      <w:pPr>
        <w:spacing w:line="480" w:lineRule="auto"/>
        <w:jc w:val="both"/>
        <w:rPr>
          <w:rFonts w:ascii="Times New Roman" w:hAnsi="Times New Roman" w:cs="Times New Roman"/>
          <w:sz w:val="24"/>
        </w:rPr>
      </w:pPr>
    </w:p>
    <w:p w:rsidR="006864F0" w:rsidRDefault="00F43838" w:rsidP="00F43838">
      <w:pPr>
        <w:spacing w:line="480" w:lineRule="auto"/>
        <w:ind w:firstLine="360"/>
        <w:jc w:val="both"/>
        <w:rPr>
          <w:rFonts w:ascii="Times New Roman" w:hAnsi="Times New Roman" w:cs="Times New Roman"/>
          <w:sz w:val="24"/>
        </w:rPr>
      </w:pPr>
      <w:r>
        <w:rPr>
          <w:rFonts w:ascii="Times New Roman" w:hAnsi="Times New Roman" w:cs="Times New Roman"/>
          <w:sz w:val="24"/>
        </w:rPr>
        <w:lastRenderedPageBreak/>
        <w:t xml:space="preserve">Se efectúan las regresiones anteriores para estimar las relaciones de largo plazo y se busca que los residuales de cada ecuación sean integrados de orden cero. En caso de que no lo sean, es decir que los residuales tengan una raíz unitaria, entonces se rechazaría la cointegración. </w:t>
      </w:r>
      <w:r w:rsidR="00EC044C">
        <w:rPr>
          <w:rFonts w:ascii="Times New Roman" w:hAnsi="Times New Roman" w:cs="Times New Roman"/>
          <w:sz w:val="24"/>
        </w:rPr>
        <w:t>En caso de que esto último no suceda así, es decir, que los residuales sean integrados de orden cero, e</w:t>
      </w:r>
      <w:r>
        <w:rPr>
          <w:rFonts w:ascii="Times New Roman" w:hAnsi="Times New Roman" w:cs="Times New Roman"/>
          <w:sz w:val="24"/>
        </w:rPr>
        <w:t xml:space="preserve">l tercer paso es encontrar el modelo de corrección de errores (MSE), el cual sería similar a las ecuaciones de arriba, pero en primeras diferencias y con cierto número de rezagos, el suficiente para que los residuales sean ruido blanco. </w:t>
      </w:r>
    </w:p>
    <w:p w:rsidR="00FB55B1" w:rsidRPr="006864F0" w:rsidRDefault="00FB55B1" w:rsidP="006864F0">
      <w:pPr>
        <w:spacing w:line="480" w:lineRule="auto"/>
        <w:jc w:val="both"/>
        <w:rPr>
          <w:rFonts w:ascii="Times New Roman" w:hAnsi="Times New Roman" w:cs="Times New Roman"/>
          <w:sz w:val="24"/>
        </w:rPr>
      </w:pPr>
    </w:p>
    <w:p w:rsidR="00A13B9E" w:rsidRDefault="00A13B9E" w:rsidP="001D2540">
      <w:pPr>
        <w:pStyle w:val="Prrafodelista"/>
        <w:numPr>
          <w:ilvl w:val="0"/>
          <w:numId w:val="1"/>
        </w:numPr>
        <w:spacing w:line="480" w:lineRule="auto"/>
        <w:jc w:val="both"/>
        <w:rPr>
          <w:rFonts w:ascii="Times New Roman" w:hAnsi="Times New Roman" w:cs="Times New Roman"/>
          <w:b/>
          <w:sz w:val="24"/>
        </w:rPr>
      </w:pPr>
      <w:r w:rsidRPr="00A10A74">
        <w:rPr>
          <w:rFonts w:ascii="Times New Roman" w:hAnsi="Times New Roman" w:cs="Times New Roman"/>
          <w:b/>
          <w:sz w:val="24"/>
        </w:rPr>
        <w:t>Análisis Empírico</w:t>
      </w:r>
    </w:p>
    <w:p w:rsidR="00B5305F" w:rsidRDefault="000D3462" w:rsidP="001D2540">
      <w:pPr>
        <w:spacing w:line="480" w:lineRule="auto"/>
        <w:jc w:val="both"/>
        <w:rPr>
          <w:rFonts w:ascii="Times New Roman" w:hAnsi="Times New Roman" w:cs="Times New Roman"/>
          <w:sz w:val="24"/>
        </w:rPr>
      </w:pPr>
      <w:r>
        <w:rPr>
          <w:rFonts w:ascii="Times New Roman" w:hAnsi="Times New Roman" w:cs="Times New Roman"/>
          <w:sz w:val="24"/>
        </w:rPr>
        <w:t xml:space="preserve">Como se mencionó anteriormente, en este trabajo utilizamos dos metodologías para </w:t>
      </w:r>
      <w:r w:rsidR="00B5305F">
        <w:rPr>
          <w:rFonts w:ascii="Times New Roman" w:hAnsi="Times New Roman" w:cs="Times New Roman"/>
          <w:sz w:val="24"/>
        </w:rPr>
        <w:t>verificar la validez de la teoría de la PPC para los casos de México-EEUU y México-Canadá. La primera metodología consta de calcular el tipo de cambio real conforme a las ecuaciones (</w:t>
      </w:r>
      <w:r w:rsidR="00E30B5C">
        <w:rPr>
          <w:rFonts w:ascii="Times New Roman" w:hAnsi="Times New Roman" w:cs="Times New Roman"/>
          <w:sz w:val="24"/>
        </w:rPr>
        <w:t>2</w:t>
      </w:r>
      <w:r w:rsidR="00B5305F">
        <w:rPr>
          <w:rFonts w:ascii="Times New Roman" w:hAnsi="Times New Roman" w:cs="Times New Roman"/>
          <w:sz w:val="24"/>
        </w:rPr>
        <w:t>) y (</w:t>
      </w:r>
      <w:r w:rsidR="00E30B5C">
        <w:rPr>
          <w:rFonts w:ascii="Times New Roman" w:hAnsi="Times New Roman" w:cs="Times New Roman"/>
          <w:sz w:val="24"/>
        </w:rPr>
        <w:t>3</w:t>
      </w:r>
      <w:r w:rsidR="00B5305F">
        <w:rPr>
          <w:rFonts w:ascii="Times New Roman" w:hAnsi="Times New Roman" w:cs="Times New Roman"/>
          <w:sz w:val="24"/>
        </w:rPr>
        <w:t>). Basados en la teoría, este tipo de cambio real debería ser estacionario, por lo</w:t>
      </w:r>
      <w:r w:rsidR="002C2A2E">
        <w:rPr>
          <w:rFonts w:ascii="Times New Roman" w:hAnsi="Times New Roman" w:cs="Times New Roman"/>
          <w:sz w:val="24"/>
        </w:rPr>
        <w:t xml:space="preserve"> que verificamos la </w:t>
      </w:r>
      <w:proofErr w:type="spellStart"/>
      <w:r w:rsidR="002C2A2E">
        <w:rPr>
          <w:rFonts w:ascii="Times New Roman" w:hAnsi="Times New Roman" w:cs="Times New Roman"/>
          <w:sz w:val="24"/>
        </w:rPr>
        <w:t>estacionarei</w:t>
      </w:r>
      <w:r w:rsidR="00B5305F">
        <w:rPr>
          <w:rFonts w:ascii="Times New Roman" w:hAnsi="Times New Roman" w:cs="Times New Roman"/>
          <w:sz w:val="24"/>
        </w:rPr>
        <w:t>dad</w:t>
      </w:r>
      <w:proofErr w:type="spellEnd"/>
      <w:r w:rsidR="00B5305F">
        <w:rPr>
          <w:rFonts w:ascii="Times New Roman" w:hAnsi="Times New Roman" w:cs="Times New Roman"/>
          <w:sz w:val="24"/>
        </w:rPr>
        <w:t xml:space="preserve"> de las series calculadas mediante pruebas de raíz unitaria. En la segunda metodología buscamos verificar si existe una relación de largo plazo entre el nivel de precios en México, los niveles de precios extranjeros (EEUU y Canadá) y sus correspondientes tipos de cambio.</w:t>
      </w:r>
    </w:p>
    <w:p w:rsidR="00A038B7" w:rsidRDefault="00A038B7" w:rsidP="001D2540">
      <w:pPr>
        <w:spacing w:line="480" w:lineRule="auto"/>
        <w:jc w:val="both"/>
        <w:rPr>
          <w:rFonts w:ascii="Times New Roman" w:hAnsi="Times New Roman" w:cs="Times New Roman"/>
          <w:sz w:val="24"/>
        </w:rPr>
      </w:pPr>
      <w:r>
        <w:rPr>
          <w:rFonts w:ascii="Times New Roman" w:hAnsi="Times New Roman" w:cs="Times New Roman"/>
          <w:sz w:val="24"/>
        </w:rPr>
        <w:tab/>
        <w:t xml:space="preserve">Se utilizaron datos del International </w:t>
      </w:r>
      <w:proofErr w:type="spellStart"/>
      <w:r>
        <w:rPr>
          <w:rFonts w:ascii="Times New Roman" w:hAnsi="Times New Roman" w:cs="Times New Roman"/>
          <w:sz w:val="24"/>
        </w:rPr>
        <w:t>Financial</w:t>
      </w:r>
      <w:proofErr w:type="spellEnd"/>
      <w:r>
        <w:rPr>
          <w:rFonts w:ascii="Times New Roman" w:hAnsi="Times New Roman" w:cs="Times New Roman"/>
          <w:sz w:val="24"/>
        </w:rPr>
        <w:t xml:space="preserve"> </w:t>
      </w:r>
      <w:proofErr w:type="spellStart"/>
      <w:r>
        <w:rPr>
          <w:rFonts w:ascii="Times New Roman" w:hAnsi="Times New Roman" w:cs="Times New Roman"/>
          <w:sz w:val="24"/>
        </w:rPr>
        <w:t>Statistics</w:t>
      </w:r>
      <w:proofErr w:type="spellEnd"/>
      <w:r>
        <w:rPr>
          <w:rFonts w:ascii="Times New Roman" w:hAnsi="Times New Roman" w:cs="Times New Roman"/>
          <w:sz w:val="24"/>
        </w:rPr>
        <w:t xml:space="preserve"> del Fondo Monetario Internacional. Todas las series son para el periodo</w:t>
      </w:r>
      <w:r w:rsidR="006C1784">
        <w:rPr>
          <w:rFonts w:ascii="Times New Roman" w:hAnsi="Times New Roman" w:cs="Times New Roman"/>
          <w:sz w:val="24"/>
        </w:rPr>
        <w:t>: enero 1963 – febrero 2016. Las series de precios se utilizaron en números índice y todas las variables fueron desestacionalizadas por el método de promedios móviles.</w:t>
      </w:r>
    </w:p>
    <w:p w:rsidR="00CF0E7A" w:rsidRDefault="00CF0E7A" w:rsidP="001D2540">
      <w:pPr>
        <w:spacing w:line="480" w:lineRule="auto"/>
        <w:jc w:val="both"/>
        <w:rPr>
          <w:rFonts w:ascii="Times New Roman" w:hAnsi="Times New Roman" w:cs="Times New Roman"/>
          <w:sz w:val="24"/>
        </w:rPr>
      </w:pPr>
    </w:p>
    <w:p w:rsidR="00EC044C" w:rsidRPr="001223BF" w:rsidRDefault="00EC044C" w:rsidP="001D2540">
      <w:pPr>
        <w:spacing w:line="480" w:lineRule="auto"/>
        <w:jc w:val="both"/>
        <w:rPr>
          <w:rFonts w:ascii="Times New Roman" w:hAnsi="Times New Roman" w:cs="Times New Roman"/>
          <w:sz w:val="24"/>
        </w:rPr>
      </w:pPr>
    </w:p>
    <w:p w:rsidR="001223BF" w:rsidRDefault="001223BF" w:rsidP="001D2540">
      <w:pPr>
        <w:spacing w:line="480" w:lineRule="auto"/>
        <w:jc w:val="both"/>
        <w:rPr>
          <w:rFonts w:ascii="Times New Roman" w:hAnsi="Times New Roman" w:cs="Times New Roman"/>
          <w:i/>
          <w:sz w:val="24"/>
        </w:rPr>
      </w:pPr>
      <w:r w:rsidRPr="001223BF">
        <w:rPr>
          <w:rFonts w:ascii="Times New Roman" w:hAnsi="Times New Roman" w:cs="Times New Roman"/>
          <w:i/>
          <w:sz w:val="24"/>
        </w:rPr>
        <w:lastRenderedPageBreak/>
        <w:t>Pruebas de Raíz Unitaria</w:t>
      </w:r>
    </w:p>
    <w:p w:rsidR="00B5305F" w:rsidRDefault="00B5305F" w:rsidP="001D2540">
      <w:pPr>
        <w:spacing w:line="480" w:lineRule="auto"/>
        <w:jc w:val="both"/>
        <w:rPr>
          <w:rFonts w:ascii="Times New Roman" w:hAnsi="Times New Roman" w:cs="Times New Roman"/>
          <w:sz w:val="24"/>
        </w:rPr>
      </w:pPr>
      <w:r>
        <w:rPr>
          <w:rFonts w:ascii="Times New Roman" w:hAnsi="Times New Roman" w:cs="Times New Roman"/>
          <w:sz w:val="24"/>
        </w:rPr>
        <w:t>En esta parte calculamos el tipo de cambio real</w:t>
      </w:r>
      <w:r w:rsidR="00847697">
        <w:rPr>
          <w:rFonts w:ascii="Times New Roman" w:hAnsi="Times New Roman" w:cs="Times New Roman"/>
          <w:sz w:val="24"/>
        </w:rPr>
        <w:t xml:space="preserve"> basados en</w:t>
      </w:r>
      <w:r>
        <w:rPr>
          <w:rFonts w:ascii="Times New Roman" w:hAnsi="Times New Roman" w:cs="Times New Roman"/>
          <w:sz w:val="24"/>
        </w:rPr>
        <w:t xml:space="preserve"> la</w:t>
      </w:r>
      <w:r w:rsidR="00F43838">
        <w:rPr>
          <w:rFonts w:ascii="Times New Roman" w:hAnsi="Times New Roman" w:cs="Times New Roman"/>
          <w:sz w:val="24"/>
        </w:rPr>
        <w:t>s ecuaciones</w:t>
      </w:r>
      <w:r>
        <w:rPr>
          <w:rFonts w:ascii="Times New Roman" w:hAnsi="Times New Roman" w:cs="Times New Roman"/>
          <w:sz w:val="24"/>
        </w:rPr>
        <w:t xml:space="preserve"> (</w:t>
      </w:r>
      <w:r w:rsidR="00F43838">
        <w:rPr>
          <w:rFonts w:ascii="Times New Roman" w:hAnsi="Times New Roman" w:cs="Times New Roman"/>
          <w:sz w:val="24"/>
        </w:rPr>
        <w:t>2) y (3</w:t>
      </w:r>
      <w:r>
        <w:rPr>
          <w:rFonts w:ascii="Times New Roman" w:hAnsi="Times New Roman" w:cs="Times New Roman"/>
          <w:sz w:val="24"/>
        </w:rPr>
        <w:t>). Esta</w:t>
      </w:r>
      <w:r w:rsidR="00F43838">
        <w:rPr>
          <w:rFonts w:ascii="Times New Roman" w:hAnsi="Times New Roman" w:cs="Times New Roman"/>
          <w:sz w:val="24"/>
        </w:rPr>
        <w:t>s</w:t>
      </w:r>
      <w:r>
        <w:rPr>
          <w:rFonts w:ascii="Times New Roman" w:hAnsi="Times New Roman" w:cs="Times New Roman"/>
          <w:sz w:val="24"/>
        </w:rPr>
        <w:t xml:space="preserve"> </w:t>
      </w:r>
      <w:r w:rsidR="00F43838">
        <w:rPr>
          <w:rFonts w:ascii="Times New Roman" w:hAnsi="Times New Roman" w:cs="Times New Roman"/>
          <w:sz w:val="24"/>
        </w:rPr>
        <w:t>ecuaciones</w:t>
      </w:r>
      <w:r>
        <w:rPr>
          <w:rFonts w:ascii="Times New Roman" w:hAnsi="Times New Roman" w:cs="Times New Roman"/>
          <w:sz w:val="24"/>
        </w:rPr>
        <w:t xml:space="preserve"> nos dice</w:t>
      </w:r>
      <w:r w:rsidR="00F43838">
        <w:rPr>
          <w:rFonts w:ascii="Times New Roman" w:hAnsi="Times New Roman" w:cs="Times New Roman"/>
          <w:sz w:val="24"/>
        </w:rPr>
        <w:t>n</w:t>
      </w:r>
      <w:r>
        <w:rPr>
          <w:rFonts w:ascii="Times New Roman" w:hAnsi="Times New Roman" w:cs="Times New Roman"/>
          <w:sz w:val="24"/>
        </w:rPr>
        <w:t xml:space="preserve"> que el tipo de cambio real de equilibrio debe ser igual al cociente entre los precios internos de un país y los precios externos de otro país medidos en la misma moneda. </w:t>
      </w:r>
    </w:p>
    <w:p w:rsidR="00EC044C" w:rsidRPr="00B5305F" w:rsidRDefault="00EC044C" w:rsidP="001D2540">
      <w:pPr>
        <w:spacing w:line="480" w:lineRule="auto"/>
        <w:jc w:val="both"/>
        <w:rPr>
          <w:rFonts w:ascii="Times New Roman" w:hAnsi="Times New Roman" w:cs="Times New Roman"/>
          <w:sz w:val="24"/>
        </w:rPr>
      </w:pPr>
    </w:p>
    <w:p w:rsidR="00252FEC" w:rsidRDefault="000D3462" w:rsidP="000D3462">
      <w:pPr>
        <w:spacing w:line="480" w:lineRule="auto"/>
        <w:jc w:val="center"/>
        <w:rPr>
          <w:rFonts w:ascii="Times New Roman" w:hAnsi="Times New Roman" w:cs="Times New Roman"/>
          <w:sz w:val="24"/>
        </w:rPr>
      </w:pPr>
      <w:r>
        <w:rPr>
          <w:rFonts w:ascii="Times New Roman" w:hAnsi="Times New Roman" w:cs="Times New Roman"/>
          <w:noProof/>
          <w:sz w:val="24"/>
          <w:lang w:eastAsia="es-419"/>
        </w:rPr>
        <w:drawing>
          <wp:inline distT="0" distB="0" distL="0" distR="0">
            <wp:extent cx="4320000" cy="3145004"/>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png"/>
                    <pic:cNvPicPr/>
                  </pic:nvPicPr>
                  <pic:blipFill>
                    <a:blip r:embed="rId8">
                      <a:extLst>
                        <a:ext uri="{28A0092B-C50C-407E-A947-70E740481C1C}">
                          <a14:useLocalDpi xmlns:a14="http://schemas.microsoft.com/office/drawing/2010/main" val="0"/>
                        </a:ext>
                      </a:extLst>
                    </a:blip>
                    <a:stretch>
                      <a:fillRect/>
                    </a:stretch>
                  </pic:blipFill>
                  <pic:spPr>
                    <a:xfrm>
                      <a:off x="0" y="0"/>
                      <a:ext cx="4320000" cy="3145004"/>
                    </a:xfrm>
                    <a:prstGeom prst="rect">
                      <a:avLst/>
                    </a:prstGeom>
                  </pic:spPr>
                </pic:pic>
              </a:graphicData>
            </a:graphic>
          </wp:inline>
        </w:drawing>
      </w:r>
    </w:p>
    <w:p w:rsidR="000D3462" w:rsidRDefault="000D3462" w:rsidP="000D3462">
      <w:pPr>
        <w:spacing w:line="480" w:lineRule="auto"/>
        <w:jc w:val="center"/>
        <w:rPr>
          <w:rFonts w:ascii="Times New Roman" w:hAnsi="Times New Roman" w:cs="Times New Roman"/>
          <w:sz w:val="24"/>
        </w:rPr>
      </w:pPr>
      <w:r>
        <w:rPr>
          <w:rFonts w:ascii="Times New Roman" w:hAnsi="Times New Roman" w:cs="Times New Roman"/>
          <w:noProof/>
          <w:sz w:val="24"/>
          <w:lang w:eastAsia="es-419"/>
        </w:rPr>
        <w:lastRenderedPageBreak/>
        <w:drawing>
          <wp:inline distT="0" distB="0" distL="0" distR="0">
            <wp:extent cx="4320000" cy="3145005"/>
            <wp:effectExtent l="0" t="0" r="444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2.png"/>
                    <pic:cNvPicPr/>
                  </pic:nvPicPr>
                  <pic:blipFill>
                    <a:blip r:embed="rId9">
                      <a:extLst>
                        <a:ext uri="{28A0092B-C50C-407E-A947-70E740481C1C}">
                          <a14:useLocalDpi xmlns:a14="http://schemas.microsoft.com/office/drawing/2010/main" val="0"/>
                        </a:ext>
                      </a:extLst>
                    </a:blip>
                    <a:stretch>
                      <a:fillRect/>
                    </a:stretch>
                  </pic:blipFill>
                  <pic:spPr>
                    <a:xfrm>
                      <a:off x="0" y="0"/>
                      <a:ext cx="4320000" cy="3145005"/>
                    </a:xfrm>
                    <a:prstGeom prst="rect">
                      <a:avLst/>
                    </a:prstGeom>
                  </pic:spPr>
                </pic:pic>
              </a:graphicData>
            </a:graphic>
          </wp:inline>
        </w:drawing>
      </w:r>
    </w:p>
    <w:p w:rsidR="000934A5" w:rsidRDefault="000934A5" w:rsidP="000D3462">
      <w:pPr>
        <w:spacing w:line="480" w:lineRule="auto"/>
        <w:jc w:val="center"/>
        <w:rPr>
          <w:rFonts w:ascii="Times New Roman" w:hAnsi="Times New Roman" w:cs="Times New Roman"/>
          <w:sz w:val="24"/>
        </w:rPr>
      </w:pPr>
    </w:p>
    <w:p w:rsidR="000934A5" w:rsidRDefault="000934A5" w:rsidP="000934A5">
      <w:pPr>
        <w:spacing w:line="480" w:lineRule="auto"/>
        <w:ind w:firstLine="708"/>
        <w:jc w:val="both"/>
        <w:rPr>
          <w:rFonts w:ascii="Times New Roman" w:hAnsi="Times New Roman" w:cs="Times New Roman"/>
          <w:sz w:val="24"/>
        </w:rPr>
      </w:pPr>
      <w:r>
        <w:rPr>
          <w:rFonts w:ascii="Times New Roman" w:hAnsi="Times New Roman" w:cs="Times New Roman"/>
          <w:sz w:val="24"/>
        </w:rPr>
        <w:t xml:space="preserve">Como podemos apreciar en las gráficas 1 y 2, el tipo de cambio real en pesos por dólar americano y canadiense, parece converger en un valor de equilibrio, por lo que, al menos de vista, parecería que ambas series son estacionarias. Otra cosa que se puede apreciar claramente son los cambios estructurales en varios periodos de la serie. Considerando esto, utilizamos la prueba de raíz unitaria propuesta por </w:t>
      </w:r>
      <w:proofErr w:type="spellStart"/>
      <w:r>
        <w:rPr>
          <w:rFonts w:ascii="Times New Roman" w:hAnsi="Times New Roman" w:cs="Times New Roman"/>
          <w:sz w:val="24"/>
        </w:rPr>
        <w:t>Zivot</w:t>
      </w:r>
      <w:proofErr w:type="spellEnd"/>
      <w:r>
        <w:rPr>
          <w:rFonts w:ascii="Times New Roman" w:hAnsi="Times New Roman" w:cs="Times New Roman"/>
          <w:sz w:val="24"/>
        </w:rPr>
        <w:t xml:space="preserve"> y Andrews (</w:t>
      </w:r>
      <w:r w:rsidR="00AB5F75">
        <w:rPr>
          <w:rFonts w:ascii="Times New Roman" w:hAnsi="Times New Roman" w:cs="Times New Roman"/>
          <w:sz w:val="24"/>
        </w:rPr>
        <w:t>1992</w:t>
      </w:r>
      <w:r>
        <w:rPr>
          <w:rFonts w:ascii="Times New Roman" w:hAnsi="Times New Roman" w:cs="Times New Roman"/>
          <w:sz w:val="24"/>
        </w:rPr>
        <w:t xml:space="preserve">), la cual es muy similar a la prueba desarrollada por </w:t>
      </w:r>
      <w:proofErr w:type="spellStart"/>
      <w:r>
        <w:rPr>
          <w:rFonts w:ascii="Times New Roman" w:hAnsi="Times New Roman" w:cs="Times New Roman"/>
          <w:sz w:val="24"/>
        </w:rPr>
        <w:t>Dickey</w:t>
      </w:r>
      <w:proofErr w:type="spellEnd"/>
      <w:r>
        <w:rPr>
          <w:rFonts w:ascii="Times New Roman" w:hAnsi="Times New Roman" w:cs="Times New Roman"/>
          <w:sz w:val="24"/>
        </w:rPr>
        <w:t xml:space="preserve"> y </w:t>
      </w:r>
      <w:proofErr w:type="spellStart"/>
      <w:r>
        <w:rPr>
          <w:rFonts w:ascii="Times New Roman" w:hAnsi="Times New Roman" w:cs="Times New Roman"/>
          <w:sz w:val="24"/>
        </w:rPr>
        <w:t>Fuller</w:t>
      </w:r>
      <w:proofErr w:type="spellEnd"/>
      <w:r>
        <w:rPr>
          <w:rFonts w:ascii="Times New Roman" w:hAnsi="Times New Roman" w:cs="Times New Roman"/>
          <w:sz w:val="24"/>
        </w:rPr>
        <w:t xml:space="preserve"> (</w:t>
      </w:r>
      <w:r w:rsidR="00AB5F75">
        <w:rPr>
          <w:rFonts w:ascii="Times New Roman" w:hAnsi="Times New Roman" w:cs="Times New Roman"/>
          <w:sz w:val="24"/>
        </w:rPr>
        <w:t>1978</w:t>
      </w:r>
      <w:r>
        <w:rPr>
          <w:rFonts w:ascii="Times New Roman" w:hAnsi="Times New Roman" w:cs="Times New Roman"/>
          <w:sz w:val="24"/>
        </w:rPr>
        <w:t xml:space="preserve">), pero que toma en cuenta cambios estructurales. </w:t>
      </w:r>
      <w:r w:rsidR="00B83E53">
        <w:rPr>
          <w:rFonts w:ascii="Times New Roman" w:hAnsi="Times New Roman" w:cs="Times New Roman"/>
          <w:sz w:val="24"/>
        </w:rPr>
        <w:t xml:space="preserve">Los cambios en el intercepto son innegables, pero un cambio </w:t>
      </w:r>
      <w:r w:rsidR="00153389">
        <w:rPr>
          <w:rFonts w:ascii="Times New Roman" w:hAnsi="Times New Roman" w:cs="Times New Roman"/>
          <w:sz w:val="24"/>
        </w:rPr>
        <w:t>en la tendencia no es muy claro. P</w:t>
      </w:r>
      <w:r w:rsidR="00B83E53">
        <w:rPr>
          <w:rFonts w:ascii="Times New Roman" w:hAnsi="Times New Roman" w:cs="Times New Roman"/>
          <w:sz w:val="24"/>
        </w:rPr>
        <w:t>or lo tanto</w:t>
      </w:r>
      <w:r w:rsidR="00153389">
        <w:rPr>
          <w:rFonts w:ascii="Times New Roman" w:hAnsi="Times New Roman" w:cs="Times New Roman"/>
          <w:sz w:val="24"/>
        </w:rPr>
        <w:t>,</w:t>
      </w:r>
      <w:r w:rsidR="00B83E53">
        <w:rPr>
          <w:rFonts w:ascii="Times New Roman" w:hAnsi="Times New Roman" w:cs="Times New Roman"/>
          <w:sz w:val="24"/>
        </w:rPr>
        <w:t xml:space="preserve"> utilizamos dos versiones de la prueba </w:t>
      </w:r>
      <w:proofErr w:type="spellStart"/>
      <w:r w:rsidR="00B83E53">
        <w:rPr>
          <w:rFonts w:ascii="Times New Roman" w:hAnsi="Times New Roman" w:cs="Times New Roman"/>
          <w:sz w:val="24"/>
        </w:rPr>
        <w:t>Zivot</w:t>
      </w:r>
      <w:proofErr w:type="spellEnd"/>
      <w:r w:rsidR="00B83E53">
        <w:rPr>
          <w:rFonts w:ascii="Times New Roman" w:hAnsi="Times New Roman" w:cs="Times New Roman"/>
          <w:sz w:val="24"/>
        </w:rPr>
        <w:t xml:space="preserve">-Andrews. Una considera el cambio solamente en el intercepto y la otra </w:t>
      </w:r>
      <w:r w:rsidR="00153389">
        <w:rPr>
          <w:rFonts w:ascii="Times New Roman" w:hAnsi="Times New Roman" w:cs="Times New Roman"/>
          <w:sz w:val="24"/>
        </w:rPr>
        <w:t>toma en cuenta el cambio tanto en el intercepto como en la tendencia.</w:t>
      </w:r>
    </w:p>
    <w:p w:rsidR="00153389" w:rsidRPr="00252FEC" w:rsidRDefault="00153389" w:rsidP="000934A5">
      <w:pPr>
        <w:spacing w:line="480" w:lineRule="auto"/>
        <w:ind w:firstLine="708"/>
        <w:jc w:val="both"/>
        <w:rPr>
          <w:rFonts w:ascii="Times New Roman" w:hAnsi="Times New Roman" w:cs="Times New Roman"/>
          <w:sz w:val="24"/>
        </w:rPr>
      </w:pPr>
    </w:p>
    <w:p w:rsidR="00874594" w:rsidRDefault="00E75C17" w:rsidP="001D2540">
      <w:pPr>
        <w:spacing w:line="480" w:lineRule="auto"/>
        <w:jc w:val="both"/>
        <w:rPr>
          <w:rFonts w:ascii="Times New Roman" w:hAnsi="Times New Roman" w:cs="Times New Roman"/>
          <w:sz w:val="24"/>
        </w:rPr>
      </w:pPr>
      <w:r w:rsidRPr="00E75C17">
        <w:rPr>
          <w:noProof/>
          <w:lang w:eastAsia="es-419"/>
        </w:rPr>
        <w:lastRenderedPageBreak/>
        <w:drawing>
          <wp:inline distT="0" distB="0" distL="0" distR="0">
            <wp:extent cx="5400040" cy="198826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88267"/>
                    </a:xfrm>
                    <a:prstGeom prst="rect">
                      <a:avLst/>
                    </a:prstGeom>
                    <a:noFill/>
                    <a:ln>
                      <a:noFill/>
                    </a:ln>
                  </pic:spPr>
                </pic:pic>
              </a:graphicData>
            </a:graphic>
          </wp:inline>
        </w:drawing>
      </w:r>
    </w:p>
    <w:p w:rsidR="00153389" w:rsidRDefault="00153389" w:rsidP="00B83E53">
      <w:pPr>
        <w:spacing w:line="480" w:lineRule="auto"/>
        <w:ind w:firstLine="708"/>
        <w:jc w:val="both"/>
        <w:rPr>
          <w:rFonts w:ascii="Times New Roman" w:hAnsi="Times New Roman" w:cs="Times New Roman"/>
          <w:sz w:val="24"/>
        </w:rPr>
      </w:pPr>
    </w:p>
    <w:p w:rsidR="00B83E53" w:rsidRDefault="000934A5" w:rsidP="00153389">
      <w:pPr>
        <w:spacing w:line="480" w:lineRule="auto"/>
        <w:ind w:firstLine="708"/>
        <w:jc w:val="both"/>
        <w:rPr>
          <w:rFonts w:ascii="Times New Roman" w:hAnsi="Times New Roman" w:cs="Times New Roman"/>
          <w:sz w:val="24"/>
        </w:rPr>
      </w:pPr>
      <w:r>
        <w:rPr>
          <w:rFonts w:ascii="Times New Roman" w:hAnsi="Times New Roman" w:cs="Times New Roman"/>
          <w:sz w:val="24"/>
        </w:rPr>
        <w:t xml:space="preserve">Como se puede observar en el Cuadro 1, </w:t>
      </w:r>
      <w:r w:rsidR="00B83E53">
        <w:rPr>
          <w:rFonts w:ascii="Times New Roman" w:hAnsi="Times New Roman" w:cs="Times New Roman"/>
          <w:sz w:val="24"/>
        </w:rPr>
        <w:t xml:space="preserve">los estadísticos caen dentro del área </w:t>
      </w:r>
      <w:r w:rsidR="00290149">
        <w:rPr>
          <w:rFonts w:ascii="Times New Roman" w:hAnsi="Times New Roman" w:cs="Times New Roman"/>
          <w:sz w:val="24"/>
        </w:rPr>
        <w:t>de no rechazo</w:t>
      </w:r>
      <w:r w:rsidR="00B83E53">
        <w:rPr>
          <w:rFonts w:ascii="Times New Roman" w:hAnsi="Times New Roman" w:cs="Times New Roman"/>
          <w:sz w:val="24"/>
        </w:rPr>
        <w:t xml:space="preserve">, por lo tanto, </w:t>
      </w:r>
      <w:r>
        <w:rPr>
          <w:rFonts w:ascii="Times New Roman" w:hAnsi="Times New Roman" w:cs="Times New Roman"/>
          <w:sz w:val="24"/>
        </w:rPr>
        <w:t>no es posible rechazar la hipótesis nula</w:t>
      </w:r>
      <w:r w:rsidR="00B83E53">
        <w:rPr>
          <w:rFonts w:ascii="Times New Roman" w:hAnsi="Times New Roman" w:cs="Times New Roman"/>
          <w:sz w:val="24"/>
        </w:rPr>
        <w:t xml:space="preserve"> de raíz unitaria,</w:t>
      </w:r>
      <w:r>
        <w:rPr>
          <w:rFonts w:ascii="Times New Roman" w:hAnsi="Times New Roman" w:cs="Times New Roman"/>
          <w:sz w:val="24"/>
        </w:rPr>
        <w:t xml:space="preserve"> considerando las diferentes versiones de la prueba </w:t>
      </w:r>
      <w:proofErr w:type="spellStart"/>
      <w:r>
        <w:rPr>
          <w:rFonts w:ascii="Times New Roman" w:hAnsi="Times New Roman" w:cs="Times New Roman"/>
          <w:sz w:val="24"/>
        </w:rPr>
        <w:t>Zivot</w:t>
      </w:r>
      <w:proofErr w:type="spellEnd"/>
      <w:r>
        <w:rPr>
          <w:rFonts w:ascii="Times New Roman" w:hAnsi="Times New Roman" w:cs="Times New Roman"/>
          <w:sz w:val="24"/>
        </w:rPr>
        <w:t>-Andrews</w:t>
      </w:r>
      <w:r w:rsidR="00B83E53">
        <w:rPr>
          <w:rFonts w:ascii="Times New Roman" w:hAnsi="Times New Roman" w:cs="Times New Roman"/>
          <w:sz w:val="24"/>
        </w:rPr>
        <w:t>, para ninguna de las variables analizadas. Sin Embargo, es necesario advertir que el resultado de esta prueba podría ser de naturaleza espuria. Esto debido a que la prueba utilizada solamente considera un cambio estructural, mientras que en la serie podemos ver varios. Si se utilizara una prueba de raíz unitaria que considere más de un cambio estructural, es probable que los resultados sean diferentes a los que encontramos. Por lo tanto, este resultado debe tomarse con mucha precaución.</w:t>
      </w:r>
    </w:p>
    <w:p w:rsidR="00A038B7" w:rsidRDefault="00A038B7" w:rsidP="00153389">
      <w:pPr>
        <w:spacing w:line="480" w:lineRule="auto"/>
        <w:ind w:firstLine="708"/>
        <w:jc w:val="both"/>
        <w:rPr>
          <w:rFonts w:ascii="Times New Roman" w:hAnsi="Times New Roman" w:cs="Times New Roman"/>
          <w:sz w:val="24"/>
        </w:rPr>
      </w:pPr>
    </w:p>
    <w:p w:rsidR="001223BF" w:rsidRPr="001223BF" w:rsidRDefault="001223BF" w:rsidP="001D2540">
      <w:pPr>
        <w:spacing w:line="480" w:lineRule="auto"/>
        <w:jc w:val="both"/>
        <w:rPr>
          <w:rFonts w:ascii="Times New Roman" w:hAnsi="Times New Roman" w:cs="Times New Roman"/>
          <w:i/>
          <w:sz w:val="24"/>
        </w:rPr>
      </w:pPr>
      <w:r w:rsidRPr="001223BF">
        <w:rPr>
          <w:rFonts w:ascii="Times New Roman" w:hAnsi="Times New Roman" w:cs="Times New Roman"/>
          <w:i/>
          <w:sz w:val="24"/>
        </w:rPr>
        <w:t>Cointegración</w:t>
      </w:r>
    </w:p>
    <w:p w:rsidR="001223BF" w:rsidRDefault="001601BC" w:rsidP="00AB5F75">
      <w:pPr>
        <w:spacing w:line="480" w:lineRule="auto"/>
        <w:jc w:val="both"/>
        <w:rPr>
          <w:rFonts w:ascii="Times New Roman" w:hAnsi="Times New Roman" w:cs="Times New Roman"/>
          <w:sz w:val="24"/>
        </w:rPr>
      </w:pPr>
      <w:r>
        <w:rPr>
          <w:rFonts w:ascii="Times New Roman" w:hAnsi="Times New Roman" w:cs="Times New Roman"/>
          <w:sz w:val="24"/>
        </w:rPr>
        <w:t xml:space="preserve">Un análisis de cointegración nos ofrece una manera alternativa para evaluar la teoría de la PPC. </w:t>
      </w:r>
      <w:r w:rsidR="00D51DA0">
        <w:rPr>
          <w:rFonts w:ascii="Times New Roman" w:hAnsi="Times New Roman" w:cs="Times New Roman"/>
          <w:sz w:val="24"/>
        </w:rPr>
        <w:t xml:space="preserve">El objetivo de la cointegración es buscar relaciones de largo plazo en series temporales, a pesar de que estas sean caminatas aleatorias. Para nuestro análisis utilizamos el método de Engel-Granger (1978) de tres pasos para evaluar la cointegración entre </w:t>
      </w:r>
      <w:r w:rsidR="0093395F">
        <w:rPr>
          <w:rFonts w:ascii="Times New Roman" w:hAnsi="Times New Roman" w:cs="Times New Roman"/>
          <w:sz w:val="24"/>
        </w:rPr>
        <w:t>tres variables que, según la teoría del PPC, deben estar relacionadas en el largo plazo: los precios locales, los precios extranjeros y el tipo de cambio nominal.</w:t>
      </w:r>
      <w:r w:rsidR="00AB5F75">
        <w:rPr>
          <w:rFonts w:ascii="Times New Roman" w:hAnsi="Times New Roman" w:cs="Times New Roman"/>
          <w:sz w:val="24"/>
        </w:rPr>
        <w:t xml:space="preserve"> </w:t>
      </w:r>
    </w:p>
    <w:p w:rsidR="00577A59" w:rsidRDefault="00AB5F75" w:rsidP="00AB5F75">
      <w:pPr>
        <w:spacing w:line="480" w:lineRule="auto"/>
        <w:jc w:val="both"/>
        <w:rPr>
          <w:rFonts w:ascii="Times New Roman" w:hAnsi="Times New Roman" w:cs="Times New Roman"/>
          <w:sz w:val="24"/>
        </w:rPr>
      </w:pPr>
      <w:r>
        <w:rPr>
          <w:rFonts w:ascii="Times New Roman" w:hAnsi="Times New Roman" w:cs="Times New Roman"/>
          <w:sz w:val="24"/>
        </w:rPr>
        <w:lastRenderedPageBreak/>
        <w:tab/>
        <w:t>El primer paso del método Engel-Granger es determinar en orden de integración de las series a ut</w:t>
      </w:r>
      <w:r w:rsidR="008904F5">
        <w:rPr>
          <w:rFonts w:ascii="Times New Roman" w:hAnsi="Times New Roman" w:cs="Times New Roman"/>
          <w:sz w:val="24"/>
        </w:rPr>
        <w:t xml:space="preserve">ilizar. </w:t>
      </w:r>
      <w:r w:rsidR="00144E40">
        <w:rPr>
          <w:rFonts w:ascii="Times New Roman" w:hAnsi="Times New Roman" w:cs="Times New Roman"/>
          <w:sz w:val="24"/>
        </w:rPr>
        <w:t>Los resultados de nuestro análisis en ese sentido se resumen en el Cuadro 2.</w:t>
      </w:r>
      <w:r w:rsidR="00FA7966" w:rsidRPr="00FA7966">
        <w:rPr>
          <w:rFonts w:ascii="Times New Roman" w:hAnsi="Times New Roman" w:cs="Times New Roman"/>
          <w:sz w:val="24"/>
        </w:rPr>
        <w:t xml:space="preserve"> </w:t>
      </w:r>
      <w:r w:rsidR="00FA7966">
        <w:rPr>
          <w:rFonts w:ascii="Times New Roman" w:hAnsi="Times New Roman" w:cs="Times New Roman"/>
          <w:sz w:val="24"/>
        </w:rPr>
        <w:t>El asterisco junto al orden de integración indica que el resultado se obtuvo mediante una prueba con cambio estructural.</w:t>
      </w:r>
    </w:p>
    <w:p w:rsidR="00FA7966" w:rsidRPr="00144E40" w:rsidRDefault="00FA7966" w:rsidP="00AB5F75">
      <w:pPr>
        <w:spacing w:line="480" w:lineRule="auto"/>
        <w:jc w:val="both"/>
        <w:rPr>
          <w:rFonts w:ascii="Times New Roman" w:hAnsi="Times New Roman" w:cs="Times New Roman"/>
          <w:sz w:val="24"/>
        </w:rPr>
      </w:pPr>
    </w:p>
    <w:tbl>
      <w:tblPr>
        <w:tblStyle w:val="Tablaconcuadrcula"/>
        <w:tblW w:w="0" w:type="auto"/>
        <w:jc w:val="center"/>
        <w:tblLook w:val="04A0" w:firstRow="1" w:lastRow="0" w:firstColumn="1" w:lastColumn="0" w:noHBand="0" w:noVBand="1"/>
      </w:tblPr>
      <w:tblGrid>
        <w:gridCol w:w="3919"/>
      </w:tblGrid>
      <w:tr w:rsidR="008904F5" w:rsidTr="008904F5">
        <w:trPr>
          <w:trHeight w:val="452"/>
          <w:jc w:val="center"/>
        </w:trPr>
        <w:tc>
          <w:tcPr>
            <w:tcW w:w="3919" w:type="dxa"/>
          </w:tcPr>
          <w:p w:rsidR="008904F5" w:rsidRPr="008904F5" w:rsidRDefault="008904F5" w:rsidP="008904F5">
            <w:pPr>
              <w:spacing w:line="276" w:lineRule="auto"/>
              <w:jc w:val="center"/>
              <w:rPr>
                <w:rFonts w:ascii="Times New Roman" w:hAnsi="Times New Roman" w:cs="Times New Roman"/>
                <w:b/>
                <w:sz w:val="24"/>
              </w:rPr>
            </w:pPr>
            <w:r w:rsidRPr="008904F5">
              <w:rPr>
                <w:rFonts w:ascii="Times New Roman" w:hAnsi="Times New Roman" w:cs="Times New Roman"/>
                <w:b/>
                <w:sz w:val="24"/>
              </w:rPr>
              <w:t>Cuadro 2. Resumen del orden de Integración de las Series</w:t>
            </w:r>
          </w:p>
        </w:tc>
      </w:tr>
      <w:tr w:rsidR="008904F5" w:rsidTr="008904F5">
        <w:trPr>
          <w:trHeight w:val="438"/>
          <w:jc w:val="center"/>
        </w:trPr>
        <w:tc>
          <w:tcPr>
            <w:tcW w:w="3919" w:type="dxa"/>
          </w:tcPr>
          <w:p w:rsidR="008904F5" w:rsidRDefault="00362FD1" w:rsidP="008904F5">
            <w:pPr>
              <w:spacing w:line="480" w:lineRule="auto"/>
              <w:jc w:val="both"/>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MX</m:t>
                    </m:r>
                  </m:sub>
                </m:sSub>
                <m:r>
                  <w:rPr>
                    <w:rFonts w:ascii="Cambria Math" w:hAnsi="Cambria Math" w:cs="Times New Roman"/>
                    <w:sz w:val="24"/>
                  </w:rPr>
                  <m:t>~I</m:t>
                </m:r>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m:t>
                    </m:r>
                  </m:sup>
                </m:sSup>
              </m:oMath>
            </m:oMathPara>
          </w:p>
        </w:tc>
      </w:tr>
      <w:tr w:rsidR="008904F5" w:rsidTr="008904F5">
        <w:trPr>
          <w:trHeight w:val="452"/>
          <w:jc w:val="center"/>
        </w:trPr>
        <w:tc>
          <w:tcPr>
            <w:tcW w:w="3919" w:type="dxa"/>
          </w:tcPr>
          <w:p w:rsidR="008904F5" w:rsidRDefault="00362FD1" w:rsidP="008904F5">
            <w:pPr>
              <w:spacing w:line="480" w:lineRule="auto"/>
              <w:jc w:val="both"/>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US</m:t>
                    </m:r>
                  </m:sub>
                </m:sSub>
                <m:r>
                  <w:rPr>
                    <w:rFonts w:ascii="Cambria Math" w:hAnsi="Cambria Math" w:cs="Times New Roman"/>
                    <w:sz w:val="24"/>
                  </w:rPr>
                  <m:t>~I(1)</m:t>
                </m:r>
              </m:oMath>
            </m:oMathPara>
          </w:p>
        </w:tc>
      </w:tr>
      <w:tr w:rsidR="008904F5" w:rsidTr="008904F5">
        <w:trPr>
          <w:trHeight w:val="438"/>
          <w:jc w:val="center"/>
        </w:trPr>
        <w:tc>
          <w:tcPr>
            <w:tcW w:w="3919" w:type="dxa"/>
          </w:tcPr>
          <w:p w:rsidR="008904F5" w:rsidRDefault="00362FD1" w:rsidP="008904F5">
            <w:pPr>
              <w:spacing w:line="480" w:lineRule="auto"/>
              <w:jc w:val="both"/>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CAN</m:t>
                    </m:r>
                  </m:sub>
                </m:sSub>
                <m:r>
                  <w:rPr>
                    <w:rFonts w:ascii="Cambria Math" w:hAnsi="Cambria Math" w:cs="Times New Roman"/>
                    <w:sz w:val="24"/>
                  </w:rPr>
                  <m:t>~I(1)</m:t>
                </m:r>
              </m:oMath>
            </m:oMathPara>
          </w:p>
        </w:tc>
      </w:tr>
      <w:tr w:rsidR="008904F5" w:rsidTr="008904F5">
        <w:trPr>
          <w:trHeight w:val="452"/>
          <w:jc w:val="center"/>
        </w:trPr>
        <w:tc>
          <w:tcPr>
            <w:tcW w:w="3919" w:type="dxa"/>
          </w:tcPr>
          <w:p w:rsidR="008904F5" w:rsidRDefault="00362FD1" w:rsidP="00AB5F75">
            <w:pPr>
              <w:spacing w:line="480" w:lineRule="auto"/>
              <w:jc w:val="both"/>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da</m:t>
                    </m:r>
                  </m:sub>
                </m:sSub>
                <m:r>
                  <w:rPr>
                    <w:rFonts w:ascii="Cambria Math" w:hAnsi="Cambria Math" w:cs="Times New Roman"/>
                    <w:sz w:val="24"/>
                  </w:rPr>
                  <m:t>~I</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0</m:t>
                        </m:r>
                      </m:e>
                    </m:d>
                  </m:e>
                  <m:sup>
                    <m:r>
                      <w:rPr>
                        <w:rFonts w:ascii="Cambria Math" w:hAnsi="Cambria Math" w:cs="Times New Roman"/>
                        <w:sz w:val="24"/>
                      </w:rPr>
                      <m:t>*</m:t>
                    </m:r>
                  </m:sup>
                </m:sSup>
              </m:oMath>
            </m:oMathPara>
          </w:p>
        </w:tc>
      </w:tr>
      <w:tr w:rsidR="008904F5" w:rsidTr="008904F5">
        <w:trPr>
          <w:trHeight w:val="438"/>
          <w:jc w:val="center"/>
        </w:trPr>
        <w:tc>
          <w:tcPr>
            <w:tcW w:w="3919" w:type="dxa"/>
          </w:tcPr>
          <w:p w:rsidR="008904F5" w:rsidRPr="008904F5" w:rsidRDefault="00362FD1" w:rsidP="00AB5F75">
            <w:pPr>
              <w:spacing w:line="480" w:lineRule="auto"/>
              <w:jc w:val="both"/>
              <w:rPr>
                <w:rFonts w:ascii="Times New Roman" w:hAnsi="Times New Roman" w:cs="Times New Roman"/>
                <w:sz w:val="24"/>
              </w:rPr>
            </w:pPr>
            <m:oMathPara>
              <m:oMathParaPr>
                <m:jc m:val="center"/>
              </m:oMathParaP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dc</m:t>
                    </m:r>
                  </m:sub>
                </m:sSub>
                <m:r>
                  <w:rPr>
                    <w:rFonts w:ascii="Cambria Math" w:hAnsi="Cambria Math" w:cs="Times New Roman"/>
                    <w:sz w:val="24"/>
                  </w:rPr>
                  <m:t>~I</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0</m:t>
                        </m:r>
                      </m:e>
                    </m:d>
                  </m:e>
                  <m:sup>
                    <m:r>
                      <w:rPr>
                        <w:rFonts w:ascii="Cambria Math" w:hAnsi="Cambria Math" w:cs="Times New Roman"/>
                        <w:sz w:val="24"/>
                      </w:rPr>
                      <m:t>*</m:t>
                    </m:r>
                  </m:sup>
                </m:sSup>
              </m:oMath>
            </m:oMathPara>
          </w:p>
        </w:tc>
      </w:tr>
    </w:tbl>
    <w:p w:rsidR="008904F5" w:rsidRDefault="008904F5" w:rsidP="00AB5F75">
      <w:pPr>
        <w:spacing w:line="480" w:lineRule="auto"/>
        <w:jc w:val="both"/>
        <w:rPr>
          <w:rFonts w:ascii="Times New Roman" w:hAnsi="Times New Roman" w:cs="Times New Roman"/>
          <w:sz w:val="24"/>
        </w:rPr>
      </w:pPr>
    </w:p>
    <w:p w:rsidR="00FA7966" w:rsidRDefault="00FA7966" w:rsidP="00AB5F75">
      <w:pPr>
        <w:spacing w:line="480" w:lineRule="auto"/>
        <w:jc w:val="both"/>
        <w:rPr>
          <w:rFonts w:ascii="Times New Roman" w:hAnsi="Times New Roman" w:cs="Times New Roman"/>
          <w:sz w:val="24"/>
        </w:rPr>
      </w:pPr>
    </w:p>
    <w:p w:rsidR="008904F5" w:rsidRDefault="008904F5" w:rsidP="00AB5F75">
      <w:pPr>
        <w:spacing w:line="480" w:lineRule="auto"/>
        <w:jc w:val="both"/>
        <w:rPr>
          <w:rFonts w:ascii="Times New Roman" w:hAnsi="Times New Roman" w:cs="Times New Roman"/>
          <w:sz w:val="24"/>
        </w:rPr>
      </w:pPr>
      <w:r>
        <w:rPr>
          <w:rFonts w:ascii="Times New Roman" w:hAnsi="Times New Roman" w:cs="Times New Roman"/>
          <w:sz w:val="24"/>
        </w:rPr>
        <w:tab/>
      </w:r>
      <w:r w:rsidR="00FA7966">
        <w:rPr>
          <w:rFonts w:ascii="Times New Roman" w:hAnsi="Times New Roman" w:cs="Times New Roman"/>
          <w:sz w:val="24"/>
        </w:rPr>
        <w:t xml:space="preserve">Como se puede observar, los niveles de precios en los tres países tienen un </w:t>
      </w:r>
      <w:r w:rsidR="00EC044C">
        <w:rPr>
          <w:rFonts w:ascii="Times New Roman" w:hAnsi="Times New Roman" w:cs="Times New Roman"/>
          <w:sz w:val="24"/>
        </w:rPr>
        <w:t>comportamiento</w:t>
      </w:r>
      <w:r w:rsidR="00FA7966">
        <w:rPr>
          <w:rFonts w:ascii="Times New Roman" w:hAnsi="Times New Roman" w:cs="Times New Roman"/>
          <w:sz w:val="24"/>
        </w:rPr>
        <w:t xml:space="preserve"> de caminata aleatoria, mientras que los tipos de cambio, tanto para el dólar americano como para el dólar canadiense </w:t>
      </w:r>
      <w:r w:rsidR="00EC044C">
        <w:rPr>
          <w:rFonts w:ascii="Times New Roman" w:hAnsi="Times New Roman" w:cs="Times New Roman"/>
          <w:sz w:val="24"/>
        </w:rPr>
        <w:t xml:space="preserve">son estacionarios. Vale la pena recordar que todas las series están desestacionalizadas y expresadas en logaritmos. </w:t>
      </w:r>
      <w:r>
        <w:rPr>
          <w:rFonts w:ascii="Times New Roman" w:hAnsi="Times New Roman" w:cs="Times New Roman"/>
          <w:sz w:val="24"/>
        </w:rPr>
        <w:t>A primera vista puede parecer contra intuitivo qu</w:t>
      </w:r>
      <w:r w:rsidR="00144E40">
        <w:rPr>
          <w:rFonts w:ascii="Times New Roman" w:hAnsi="Times New Roman" w:cs="Times New Roman"/>
          <w:sz w:val="24"/>
        </w:rPr>
        <w:t xml:space="preserve">e el tipo de cambio nominal en México sea estacionario, sin embargo, una prueba </w:t>
      </w:r>
      <w:proofErr w:type="spellStart"/>
      <w:r w:rsidR="00144E40">
        <w:rPr>
          <w:rFonts w:ascii="Times New Roman" w:hAnsi="Times New Roman" w:cs="Times New Roman"/>
          <w:sz w:val="24"/>
        </w:rPr>
        <w:t>Zivot</w:t>
      </w:r>
      <w:proofErr w:type="spellEnd"/>
      <w:r w:rsidR="00144E40">
        <w:rPr>
          <w:rFonts w:ascii="Times New Roman" w:hAnsi="Times New Roman" w:cs="Times New Roman"/>
          <w:sz w:val="24"/>
        </w:rPr>
        <w:t>-Andrews con cambio estructural en constante y tendencia rechaza la hipótesis nula incluso al 1% de significancia. Los resultados a mayor detalle se presentan en el Apéndice II.</w:t>
      </w:r>
    </w:p>
    <w:p w:rsidR="0095363A" w:rsidRDefault="0095363A" w:rsidP="00AB5F75">
      <w:pPr>
        <w:spacing w:line="480" w:lineRule="auto"/>
        <w:jc w:val="both"/>
        <w:rPr>
          <w:rFonts w:ascii="Times New Roman" w:hAnsi="Times New Roman" w:cs="Times New Roman"/>
          <w:sz w:val="24"/>
        </w:rPr>
      </w:pPr>
      <w:r>
        <w:rPr>
          <w:rFonts w:ascii="Times New Roman" w:hAnsi="Times New Roman" w:cs="Times New Roman"/>
          <w:sz w:val="24"/>
        </w:rPr>
        <w:tab/>
        <w:t>Posteriormente, conforme al segundo paso de la metodología Engel-Granger, se estimaron las relaciones de largo plazo para las ecuaciones (4) (5) y (6) en el caso México-</w:t>
      </w:r>
      <w:r>
        <w:rPr>
          <w:rFonts w:ascii="Times New Roman" w:hAnsi="Times New Roman" w:cs="Times New Roman"/>
          <w:sz w:val="24"/>
        </w:rPr>
        <w:lastRenderedPageBreak/>
        <w:t>EEUU y las</w:t>
      </w:r>
      <w:r w:rsidR="00380617">
        <w:rPr>
          <w:rFonts w:ascii="Times New Roman" w:hAnsi="Times New Roman" w:cs="Times New Roman"/>
          <w:sz w:val="24"/>
        </w:rPr>
        <w:t xml:space="preserve"> ecuaciones</w:t>
      </w:r>
      <w:r>
        <w:rPr>
          <w:rFonts w:ascii="Times New Roman" w:hAnsi="Times New Roman" w:cs="Times New Roman"/>
          <w:sz w:val="24"/>
        </w:rPr>
        <w:t xml:space="preserve"> (7) (8) y (9</w:t>
      </w:r>
      <w:r w:rsidR="00380617">
        <w:rPr>
          <w:rFonts w:ascii="Times New Roman" w:hAnsi="Times New Roman" w:cs="Times New Roman"/>
          <w:sz w:val="24"/>
        </w:rPr>
        <w:t>) para el caso México-</w:t>
      </w:r>
      <w:r>
        <w:rPr>
          <w:rFonts w:ascii="Times New Roman" w:hAnsi="Times New Roman" w:cs="Times New Roman"/>
          <w:sz w:val="24"/>
        </w:rPr>
        <w:t>Canadá. Los residuales de cada una de las ecuaciones se pueden ver en las gráficas 3 y 4.</w:t>
      </w:r>
    </w:p>
    <w:p w:rsidR="00AB2461" w:rsidRDefault="00AB2461" w:rsidP="00AB5F75">
      <w:pPr>
        <w:spacing w:line="480" w:lineRule="auto"/>
        <w:jc w:val="both"/>
        <w:rPr>
          <w:rFonts w:ascii="Times New Roman" w:hAnsi="Times New Roman" w:cs="Times New Roman"/>
          <w:sz w:val="24"/>
        </w:rPr>
      </w:pPr>
    </w:p>
    <w:p w:rsidR="00FA7966" w:rsidRDefault="00FA7966" w:rsidP="00AB5F75">
      <w:pPr>
        <w:spacing w:line="480" w:lineRule="auto"/>
        <w:jc w:val="both"/>
        <w:rPr>
          <w:rFonts w:ascii="Times New Roman" w:hAnsi="Times New Roman" w:cs="Times New Roman"/>
          <w:sz w:val="24"/>
        </w:rPr>
      </w:pPr>
    </w:p>
    <w:p w:rsidR="00333B7F" w:rsidRDefault="00333B7F" w:rsidP="00333B7F">
      <w:pPr>
        <w:spacing w:line="480" w:lineRule="auto"/>
        <w:jc w:val="center"/>
        <w:rPr>
          <w:rFonts w:ascii="Times New Roman" w:hAnsi="Times New Roman" w:cs="Times New Roman"/>
          <w:sz w:val="24"/>
        </w:rPr>
      </w:pPr>
      <w:r>
        <w:rPr>
          <w:rFonts w:ascii="Times New Roman" w:hAnsi="Times New Roman" w:cs="Times New Roman"/>
          <w:noProof/>
          <w:sz w:val="24"/>
          <w:lang w:eastAsia="es-419"/>
        </w:rPr>
        <w:drawing>
          <wp:inline distT="0" distB="0" distL="0" distR="0">
            <wp:extent cx="4320000" cy="314500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5.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3145005"/>
                    </a:xfrm>
                    <a:prstGeom prst="rect">
                      <a:avLst/>
                    </a:prstGeom>
                  </pic:spPr>
                </pic:pic>
              </a:graphicData>
            </a:graphic>
          </wp:inline>
        </w:drawing>
      </w:r>
    </w:p>
    <w:p w:rsidR="00CD6B70" w:rsidRDefault="00CD6B70" w:rsidP="00333B7F">
      <w:pPr>
        <w:spacing w:line="480" w:lineRule="auto"/>
        <w:jc w:val="center"/>
        <w:rPr>
          <w:rFonts w:ascii="Times New Roman" w:hAnsi="Times New Roman" w:cs="Times New Roman"/>
          <w:sz w:val="24"/>
        </w:rPr>
      </w:pPr>
    </w:p>
    <w:p w:rsidR="00333B7F" w:rsidRDefault="00333B7F" w:rsidP="00333B7F">
      <w:pPr>
        <w:spacing w:line="480" w:lineRule="auto"/>
        <w:jc w:val="center"/>
        <w:rPr>
          <w:rFonts w:ascii="Times New Roman" w:hAnsi="Times New Roman" w:cs="Times New Roman"/>
          <w:sz w:val="24"/>
        </w:rPr>
      </w:pPr>
      <w:r>
        <w:rPr>
          <w:rFonts w:ascii="Times New Roman" w:hAnsi="Times New Roman" w:cs="Times New Roman"/>
          <w:noProof/>
          <w:sz w:val="24"/>
          <w:lang w:eastAsia="es-419"/>
        </w:rPr>
        <w:drawing>
          <wp:inline distT="0" distB="0" distL="0" distR="0">
            <wp:extent cx="4320000" cy="3145005"/>
            <wp:effectExtent l="0" t="0" r="444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6.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3145005"/>
                    </a:xfrm>
                    <a:prstGeom prst="rect">
                      <a:avLst/>
                    </a:prstGeom>
                  </pic:spPr>
                </pic:pic>
              </a:graphicData>
            </a:graphic>
          </wp:inline>
        </w:drawing>
      </w:r>
    </w:p>
    <w:p w:rsidR="00AB2461" w:rsidRDefault="00AB2461" w:rsidP="00333B7F">
      <w:pPr>
        <w:spacing w:line="480" w:lineRule="auto"/>
        <w:jc w:val="center"/>
        <w:rPr>
          <w:rFonts w:ascii="Times New Roman" w:hAnsi="Times New Roman" w:cs="Times New Roman"/>
          <w:sz w:val="24"/>
        </w:rPr>
      </w:pPr>
    </w:p>
    <w:p w:rsidR="006C1784" w:rsidRDefault="0095363A" w:rsidP="00577A59">
      <w:pPr>
        <w:spacing w:line="480" w:lineRule="auto"/>
        <w:rPr>
          <w:rFonts w:ascii="Times New Roman" w:hAnsi="Times New Roman" w:cs="Times New Roman"/>
          <w:sz w:val="24"/>
        </w:rPr>
      </w:pPr>
      <w:r>
        <w:rPr>
          <w:rFonts w:ascii="Times New Roman" w:hAnsi="Times New Roman" w:cs="Times New Roman"/>
          <w:sz w:val="24"/>
        </w:rPr>
        <w:tab/>
        <w:t>A los residuales graficados anteriormente se les</w:t>
      </w:r>
      <w:r w:rsidR="00144E40">
        <w:rPr>
          <w:rFonts w:ascii="Times New Roman" w:hAnsi="Times New Roman" w:cs="Times New Roman"/>
          <w:sz w:val="24"/>
        </w:rPr>
        <w:t xml:space="preserve"> pueden observar claros cambios estructurales</w:t>
      </w:r>
      <w:r w:rsidR="008E62FE">
        <w:rPr>
          <w:rFonts w:ascii="Times New Roman" w:hAnsi="Times New Roman" w:cs="Times New Roman"/>
          <w:sz w:val="24"/>
        </w:rPr>
        <w:t xml:space="preserve"> en intercepto</w:t>
      </w:r>
      <w:r w:rsidR="00144E40">
        <w:rPr>
          <w:rFonts w:ascii="Times New Roman" w:hAnsi="Times New Roman" w:cs="Times New Roman"/>
          <w:sz w:val="24"/>
        </w:rPr>
        <w:t xml:space="preserve">. Inclusive, los residuales de las ecuaciones (4) y (7) son muy similares a los tipos de cambio reales calculados anteriormente mediante las ecuaciones (2) y (3), respectivamente.  </w:t>
      </w:r>
      <w:r w:rsidR="008E62FE">
        <w:rPr>
          <w:rFonts w:ascii="Times New Roman" w:hAnsi="Times New Roman" w:cs="Times New Roman"/>
          <w:sz w:val="24"/>
        </w:rPr>
        <w:t xml:space="preserve">Por lo tanto, se les hicieron pruebas </w:t>
      </w:r>
      <w:proofErr w:type="spellStart"/>
      <w:r w:rsidR="008E62FE">
        <w:rPr>
          <w:rFonts w:ascii="Times New Roman" w:hAnsi="Times New Roman" w:cs="Times New Roman"/>
          <w:sz w:val="24"/>
        </w:rPr>
        <w:t>Zivot</w:t>
      </w:r>
      <w:proofErr w:type="spellEnd"/>
      <w:r w:rsidR="008E62FE">
        <w:rPr>
          <w:rFonts w:ascii="Times New Roman" w:hAnsi="Times New Roman" w:cs="Times New Roman"/>
          <w:sz w:val="24"/>
        </w:rPr>
        <w:t>-Andrews con cambio estructural.</w:t>
      </w:r>
      <w:r>
        <w:rPr>
          <w:rFonts w:ascii="Times New Roman" w:hAnsi="Times New Roman" w:cs="Times New Roman"/>
          <w:sz w:val="24"/>
        </w:rPr>
        <w:t xml:space="preserve"> Los result</w:t>
      </w:r>
      <w:r w:rsidR="008E62FE">
        <w:rPr>
          <w:rFonts w:ascii="Times New Roman" w:hAnsi="Times New Roman" w:cs="Times New Roman"/>
          <w:sz w:val="24"/>
        </w:rPr>
        <w:t>ados se resumen en los cuadros 3 y 4</w:t>
      </w:r>
      <w:r>
        <w:rPr>
          <w:rFonts w:ascii="Times New Roman" w:hAnsi="Times New Roman" w:cs="Times New Roman"/>
          <w:sz w:val="24"/>
        </w:rPr>
        <w:t xml:space="preserve">. </w:t>
      </w:r>
    </w:p>
    <w:p w:rsidR="00AB2461" w:rsidRDefault="00AB2461" w:rsidP="00577A59">
      <w:pPr>
        <w:spacing w:line="480" w:lineRule="auto"/>
        <w:rPr>
          <w:rFonts w:ascii="Times New Roman" w:hAnsi="Times New Roman" w:cs="Times New Roman"/>
          <w:sz w:val="24"/>
        </w:rPr>
      </w:pPr>
    </w:p>
    <w:p w:rsidR="008E62FE" w:rsidRDefault="008E62FE" w:rsidP="00577A59">
      <w:pPr>
        <w:spacing w:line="480" w:lineRule="auto"/>
        <w:rPr>
          <w:rFonts w:ascii="Times New Roman" w:hAnsi="Times New Roman" w:cs="Times New Roman"/>
          <w:sz w:val="24"/>
        </w:rPr>
      </w:pPr>
      <w:r w:rsidRPr="008E62FE">
        <w:rPr>
          <w:noProof/>
          <w:lang w:eastAsia="es-419"/>
        </w:rPr>
        <w:drawing>
          <wp:inline distT="0" distB="0" distL="0" distR="0">
            <wp:extent cx="5400040" cy="13921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392179"/>
                    </a:xfrm>
                    <a:prstGeom prst="rect">
                      <a:avLst/>
                    </a:prstGeom>
                    <a:noFill/>
                    <a:ln>
                      <a:noFill/>
                    </a:ln>
                  </pic:spPr>
                </pic:pic>
              </a:graphicData>
            </a:graphic>
          </wp:inline>
        </w:drawing>
      </w:r>
    </w:p>
    <w:p w:rsidR="008E62FE" w:rsidRDefault="008E62FE" w:rsidP="00577A59">
      <w:pPr>
        <w:spacing w:line="480" w:lineRule="auto"/>
        <w:rPr>
          <w:rFonts w:ascii="Times New Roman" w:hAnsi="Times New Roman" w:cs="Times New Roman"/>
          <w:sz w:val="24"/>
        </w:rPr>
      </w:pPr>
    </w:p>
    <w:p w:rsidR="008E62FE" w:rsidRDefault="008E62FE" w:rsidP="00577A59">
      <w:pPr>
        <w:spacing w:line="480" w:lineRule="auto"/>
        <w:rPr>
          <w:rFonts w:ascii="Times New Roman" w:hAnsi="Times New Roman" w:cs="Times New Roman"/>
          <w:sz w:val="24"/>
        </w:rPr>
      </w:pPr>
      <w:r w:rsidRPr="008E62FE">
        <w:rPr>
          <w:noProof/>
          <w:lang w:eastAsia="es-419"/>
        </w:rPr>
        <w:drawing>
          <wp:inline distT="0" distB="0" distL="0" distR="0">
            <wp:extent cx="5400040" cy="139217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392179"/>
                    </a:xfrm>
                    <a:prstGeom prst="rect">
                      <a:avLst/>
                    </a:prstGeom>
                    <a:noFill/>
                    <a:ln>
                      <a:noFill/>
                    </a:ln>
                  </pic:spPr>
                </pic:pic>
              </a:graphicData>
            </a:graphic>
          </wp:inline>
        </w:drawing>
      </w:r>
    </w:p>
    <w:p w:rsidR="0095363A" w:rsidRDefault="0095363A" w:rsidP="001D2540">
      <w:pPr>
        <w:spacing w:line="480" w:lineRule="auto"/>
        <w:jc w:val="both"/>
        <w:rPr>
          <w:rFonts w:ascii="Times New Roman" w:hAnsi="Times New Roman" w:cs="Times New Roman"/>
          <w:sz w:val="24"/>
        </w:rPr>
      </w:pPr>
    </w:p>
    <w:p w:rsidR="008E62FE" w:rsidRDefault="0095363A" w:rsidP="008E62FE">
      <w:pPr>
        <w:spacing w:line="480" w:lineRule="auto"/>
        <w:jc w:val="both"/>
        <w:rPr>
          <w:rFonts w:ascii="Times New Roman" w:hAnsi="Times New Roman" w:cs="Times New Roman"/>
          <w:sz w:val="24"/>
        </w:rPr>
      </w:pPr>
      <w:r>
        <w:rPr>
          <w:rFonts w:ascii="Times New Roman" w:hAnsi="Times New Roman" w:cs="Times New Roman"/>
          <w:sz w:val="24"/>
        </w:rPr>
        <w:tab/>
      </w:r>
      <w:r w:rsidR="00181700">
        <w:rPr>
          <w:rFonts w:ascii="Times New Roman" w:hAnsi="Times New Roman" w:cs="Times New Roman"/>
          <w:sz w:val="24"/>
        </w:rPr>
        <w:t xml:space="preserve">Para el caso México-EEUU, como podemos apreciar en el cuadro </w:t>
      </w:r>
      <w:r w:rsidR="008E62FE">
        <w:rPr>
          <w:rFonts w:ascii="Times New Roman" w:hAnsi="Times New Roman" w:cs="Times New Roman"/>
          <w:sz w:val="24"/>
        </w:rPr>
        <w:t>3</w:t>
      </w:r>
      <w:r w:rsidR="00181700">
        <w:rPr>
          <w:rFonts w:ascii="Times New Roman" w:hAnsi="Times New Roman" w:cs="Times New Roman"/>
          <w:sz w:val="24"/>
        </w:rPr>
        <w:t xml:space="preserve">, en todos los casos se </w:t>
      </w:r>
      <w:r w:rsidR="008E62FE">
        <w:rPr>
          <w:rFonts w:ascii="Times New Roman" w:hAnsi="Times New Roman" w:cs="Times New Roman"/>
          <w:sz w:val="24"/>
        </w:rPr>
        <w:t>acepta</w:t>
      </w:r>
      <w:r w:rsidR="00181700">
        <w:rPr>
          <w:rFonts w:ascii="Times New Roman" w:hAnsi="Times New Roman" w:cs="Times New Roman"/>
          <w:sz w:val="24"/>
        </w:rPr>
        <w:t xml:space="preserve"> la hipótesis nula de raíz unitaria. </w:t>
      </w:r>
      <w:r w:rsidR="00380617">
        <w:rPr>
          <w:rFonts w:ascii="Times New Roman" w:hAnsi="Times New Roman" w:cs="Times New Roman"/>
          <w:sz w:val="24"/>
        </w:rPr>
        <w:t>Caso idéntico para la relación México-Canadá presentada en el cuadro 4, donde tampoco es posible rechazar que las relaciones de largo plazo sean raíces unitarias.</w:t>
      </w:r>
    </w:p>
    <w:p w:rsidR="008E62FE" w:rsidRDefault="008E62FE" w:rsidP="008E62FE">
      <w:pPr>
        <w:spacing w:line="480" w:lineRule="auto"/>
        <w:jc w:val="both"/>
        <w:rPr>
          <w:rFonts w:ascii="Times New Roman" w:hAnsi="Times New Roman" w:cs="Times New Roman"/>
          <w:sz w:val="24"/>
        </w:rPr>
      </w:pPr>
      <w:r>
        <w:rPr>
          <w:rFonts w:ascii="Times New Roman" w:hAnsi="Times New Roman" w:cs="Times New Roman"/>
          <w:sz w:val="24"/>
        </w:rPr>
        <w:lastRenderedPageBreak/>
        <w:tab/>
        <w:t xml:space="preserve">El tercer paso de la metodología Engel-Granger </w:t>
      </w:r>
      <w:r w:rsidR="00380617">
        <w:rPr>
          <w:rFonts w:ascii="Times New Roman" w:hAnsi="Times New Roman" w:cs="Times New Roman"/>
          <w:sz w:val="24"/>
        </w:rPr>
        <w:t>sería encontrar el Modelo de Corrección de E</w:t>
      </w:r>
      <w:r>
        <w:rPr>
          <w:rFonts w:ascii="Times New Roman" w:hAnsi="Times New Roman" w:cs="Times New Roman"/>
          <w:sz w:val="24"/>
        </w:rPr>
        <w:t>rrores</w:t>
      </w:r>
      <w:r w:rsidR="00380617">
        <w:rPr>
          <w:rFonts w:ascii="Times New Roman" w:hAnsi="Times New Roman" w:cs="Times New Roman"/>
          <w:sz w:val="24"/>
        </w:rPr>
        <w:t xml:space="preserve"> (MSE)</w:t>
      </w:r>
      <w:r>
        <w:rPr>
          <w:rFonts w:ascii="Times New Roman" w:hAnsi="Times New Roman" w:cs="Times New Roman"/>
          <w:sz w:val="24"/>
        </w:rPr>
        <w:t xml:space="preserve"> </w:t>
      </w:r>
      <w:r w:rsidR="00380617">
        <w:rPr>
          <w:rFonts w:ascii="Times New Roman" w:hAnsi="Times New Roman" w:cs="Times New Roman"/>
          <w:sz w:val="24"/>
        </w:rPr>
        <w:t>para cada una de las relaciones de largo plazo, buscando que los residuales de dicho modelo sean ruido blanco. En esta ocasión, dado que con la evidencia encontrada no se puede determinar que las variables cointegren, la estimación del MCE ya no será necesaria.</w:t>
      </w:r>
    </w:p>
    <w:p w:rsidR="00380617" w:rsidRDefault="00380617" w:rsidP="008E62FE">
      <w:pPr>
        <w:spacing w:line="480" w:lineRule="auto"/>
        <w:jc w:val="both"/>
        <w:rPr>
          <w:rFonts w:ascii="Times New Roman" w:hAnsi="Times New Roman" w:cs="Times New Roman"/>
          <w:sz w:val="24"/>
        </w:rPr>
      </w:pPr>
    </w:p>
    <w:p w:rsidR="00A13B9E" w:rsidRPr="00A10A74" w:rsidRDefault="00A13B9E" w:rsidP="008E62FE">
      <w:pPr>
        <w:spacing w:line="480" w:lineRule="auto"/>
        <w:jc w:val="both"/>
        <w:rPr>
          <w:rFonts w:ascii="Times New Roman" w:hAnsi="Times New Roman" w:cs="Times New Roman"/>
          <w:b/>
          <w:sz w:val="24"/>
        </w:rPr>
      </w:pPr>
      <w:r w:rsidRPr="00A10A74">
        <w:rPr>
          <w:rFonts w:ascii="Times New Roman" w:hAnsi="Times New Roman" w:cs="Times New Roman"/>
          <w:b/>
          <w:sz w:val="24"/>
        </w:rPr>
        <w:t>Conclusiones</w:t>
      </w:r>
    </w:p>
    <w:p w:rsidR="00F529C5" w:rsidRDefault="00380617" w:rsidP="00380617">
      <w:pPr>
        <w:tabs>
          <w:tab w:val="left" w:pos="3615"/>
        </w:tabs>
        <w:spacing w:line="480" w:lineRule="auto"/>
        <w:jc w:val="both"/>
        <w:rPr>
          <w:rFonts w:ascii="Times New Roman" w:hAnsi="Times New Roman" w:cs="Times New Roman"/>
          <w:sz w:val="24"/>
        </w:rPr>
      </w:pPr>
      <w:r>
        <w:rPr>
          <w:rFonts w:ascii="Times New Roman" w:hAnsi="Times New Roman" w:cs="Times New Roman"/>
          <w:sz w:val="24"/>
        </w:rPr>
        <w:t xml:space="preserve">Basados </w:t>
      </w:r>
      <w:r w:rsidR="00F529C5">
        <w:rPr>
          <w:rFonts w:ascii="Times New Roman" w:hAnsi="Times New Roman" w:cs="Times New Roman"/>
          <w:sz w:val="24"/>
        </w:rPr>
        <w:t>en nuestro análisis en dos partes hecho</w:t>
      </w:r>
      <w:r>
        <w:rPr>
          <w:rFonts w:ascii="Times New Roman" w:hAnsi="Times New Roman" w:cs="Times New Roman"/>
          <w:sz w:val="24"/>
        </w:rPr>
        <w:t xml:space="preserve"> para esta investigación</w:t>
      </w:r>
      <w:r w:rsidR="00F529C5">
        <w:rPr>
          <w:rFonts w:ascii="Times New Roman" w:hAnsi="Times New Roman" w:cs="Times New Roman"/>
          <w:sz w:val="24"/>
        </w:rPr>
        <w:t xml:space="preserve">, la principal conclusión a la que podemos llegar es que no existe evidencia empírica que valide a la teoría de la Paridad de Poder de Compra para el caso de México-EEUU y México-Canadá. Sin embargo, es necesario matizar esta conclusión con el tema de los cambios estructurales. Tanto la historia económica de México, como las mismas series con las que trabajamos nos advierten de numerosos cambios estructurales. La crisis de 1982 con los </w:t>
      </w:r>
      <w:proofErr w:type="spellStart"/>
      <w:r w:rsidR="00F529C5">
        <w:rPr>
          <w:rFonts w:ascii="Times New Roman" w:hAnsi="Times New Roman" w:cs="Times New Roman"/>
          <w:sz w:val="24"/>
        </w:rPr>
        <w:t>petro</w:t>
      </w:r>
      <w:proofErr w:type="spellEnd"/>
      <w:r w:rsidR="00F529C5">
        <w:rPr>
          <w:rFonts w:ascii="Times New Roman" w:hAnsi="Times New Roman" w:cs="Times New Roman"/>
          <w:sz w:val="24"/>
        </w:rPr>
        <w:t xml:space="preserve">-dólares o la macro-devaluación de 1994, son solo ejemplos de lo que se ha vivido en México desde 1963. Por lo tanto, son necesarios métodos que puedan trabajar con estos numerosos cambios. </w:t>
      </w:r>
    </w:p>
    <w:p w:rsidR="00F529C5" w:rsidRDefault="00CF0E7A" w:rsidP="00380617">
      <w:pPr>
        <w:tabs>
          <w:tab w:val="left" w:pos="3615"/>
        </w:tabs>
        <w:spacing w:line="480" w:lineRule="auto"/>
        <w:jc w:val="both"/>
        <w:rPr>
          <w:rFonts w:ascii="Times New Roman" w:hAnsi="Times New Roman" w:cs="Times New Roman"/>
          <w:sz w:val="24"/>
        </w:rPr>
      </w:pPr>
      <w:r>
        <w:rPr>
          <w:rFonts w:ascii="Times New Roman" w:hAnsi="Times New Roman" w:cs="Times New Roman"/>
          <w:sz w:val="24"/>
        </w:rPr>
        <w:t xml:space="preserve">               </w:t>
      </w:r>
      <w:r w:rsidR="00F529C5">
        <w:rPr>
          <w:rFonts w:ascii="Times New Roman" w:hAnsi="Times New Roman" w:cs="Times New Roman"/>
          <w:sz w:val="24"/>
        </w:rPr>
        <w:t xml:space="preserve">Si, en lugar de utilizar la prueba </w:t>
      </w:r>
      <w:proofErr w:type="spellStart"/>
      <w:r w:rsidR="00F529C5">
        <w:rPr>
          <w:rFonts w:ascii="Times New Roman" w:hAnsi="Times New Roman" w:cs="Times New Roman"/>
          <w:sz w:val="24"/>
        </w:rPr>
        <w:t>Zivot</w:t>
      </w:r>
      <w:proofErr w:type="spellEnd"/>
      <w:r w:rsidR="00F529C5">
        <w:rPr>
          <w:rFonts w:ascii="Times New Roman" w:hAnsi="Times New Roman" w:cs="Times New Roman"/>
          <w:sz w:val="24"/>
        </w:rPr>
        <w:t>-Andrews que únicamente considera un cambio estructural</w:t>
      </w:r>
      <w:r>
        <w:rPr>
          <w:rFonts w:ascii="Times New Roman" w:hAnsi="Times New Roman" w:cs="Times New Roman"/>
          <w:sz w:val="24"/>
        </w:rPr>
        <w:t>,</w:t>
      </w:r>
      <w:r w:rsidR="00EC044C">
        <w:rPr>
          <w:rFonts w:ascii="Times New Roman" w:hAnsi="Times New Roman" w:cs="Times New Roman"/>
          <w:sz w:val="24"/>
        </w:rPr>
        <w:t xml:space="preserve"> se utilizara</w:t>
      </w:r>
      <w:r>
        <w:rPr>
          <w:rFonts w:ascii="Times New Roman" w:hAnsi="Times New Roman" w:cs="Times New Roman"/>
          <w:sz w:val="24"/>
        </w:rPr>
        <w:t xml:space="preserve"> alguna otra prueba que pueda manejar los numerosos cambios estructurales presentados en nuestras series, es probable que los resultados encontrados sean otros.</w:t>
      </w:r>
      <w:r w:rsidR="00EC044C">
        <w:rPr>
          <w:rFonts w:ascii="Times New Roman" w:hAnsi="Times New Roman" w:cs="Times New Roman"/>
          <w:sz w:val="24"/>
        </w:rPr>
        <w:t xml:space="preserve"> De hecho, como se mencionó anteriormente, en la literatura los investigadores le dedican una buena parte de su trabajo a manejar estos cambios estructurales.</w:t>
      </w:r>
    </w:p>
    <w:p w:rsidR="00FD057D" w:rsidRDefault="00FD057D" w:rsidP="001D2540">
      <w:pPr>
        <w:tabs>
          <w:tab w:val="left" w:pos="3615"/>
        </w:tabs>
        <w:spacing w:line="480" w:lineRule="auto"/>
        <w:jc w:val="both"/>
        <w:rPr>
          <w:rFonts w:ascii="Times New Roman" w:hAnsi="Times New Roman" w:cs="Times New Roman"/>
          <w:sz w:val="24"/>
        </w:rPr>
      </w:pPr>
    </w:p>
    <w:p w:rsidR="00EC044C" w:rsidRDefault="00EC044C" w:rsidP="001D2540">
      <w:pPr>
        <w:tabs>
          <w:tab w:val="left" w:pos="3615"/>
        </w:tabs>
        <w:spacing w:line="480" w:lineRule="auto"/>
        <w:jc w:val="both"/>
        <w:rPr>
          <w:rFonts w:ascii="Times New Roman" w:hAnsi="Times New Roman" w:cs="Times New Roman"/>
          <w:sz w:val="24"/>
        </w:rPr>
      </w:pPr>
    </w:p>
    <w:p w:rsidR="00FB55B1" w:rsidRDefault="00FB55B1" w:rsidP="001D2540">
      <w:pPr>
        <w:tabs>
          <w:tab w:val="left" w:pos="3615"/>
        </w:tabs>
        <w:spacing w:line="480" w:lineRule="auto"/>
        <w:jc w:val="both"/>
        <w:rPr>
          <w:rFonts w:ascii="Times New Roman" w:hAnsi="Times New Roman" w:cs="Times New Roman"/>
          <w:sz w:val="24"/>
        </w:rPr>
      </w:pPr>
    </w:p>
    <w:p w:rsidR="00E916C6" w:rsidRDefault="00E916C6" w:rsidP="001D2540">
      <w:pPr>
        <w:spacing w:line="480" w:lineRule="auto"/>
        <w:jc w:val="both"/>
        <w:rPr>
          <w:rFonts w:ascii="Times New Roman" w:hAnsi="Times New Roman" w:cs="Times New Roman"/>
          <w:b/>
          <w:sz w:val="24"/>
        </w:rPr>
      </w:pPr>
      <w:r w:rsidRPr="00E916C6">
        <w:rPr>
          <w:rFonts w:ascii="Times New Roman" w:hAnsi="Times New Roman" w:cs="Times New Roman"/>
          <w:b/>
          <w:sz w:val="24"/>
        </w:rPr>
        <w:t>Bibliografía</w:t>
      </w:r>
    </w:p>
    <w:p w:rsidR="00E916C6" w:rsidRDefault="00E916C6" w:rsidP="001D2540">
      <w:pPr>
        <w:spacing w:line="276" w:lineRule="auto"/>
        <w:jc w:val="both"/>
        <w:rPr>
          <w:rFonts w:ascii="Times New Roman" w:hAnsi="Times New Roman" w:cs="Times New Roman"/>
          <w:sz w:val="24"/>
        </w:rPr>
      </w:pPr>
      <w:r>
        <w:rPr>
          <w:rFonts w:ascii="Times New Roman" w:hAnsi="Times New Roman" w:cs="Times New Roman"/>
          <w:sz w:val="24"/>
        </w:rPr>
        <w:t>Ávalos, A y</w:t>
      </w:r>
      <w:r w:rsidRPr="00E916C6">
        <w:rPr>
          <w:rFonts w:ascii="Times New Roman" w:hAnsi="Times New Roman" w:cs="Times New Roman"/>
          <w:sz w:val="24"/>
        </w:rPr>
        <w:t xml:space="preserve"> Hernández</w:t>
      </w:r>
      <w:r>
        <w:rPr>
          <w:rFonts w:ascii="Times New Roman" w:hAnsi="Times New Roman" w:cs="Times New Roman"/>
          <w:sz w:val="24"/>
        </w:rPr>
        <w:t xml:space="preserve"> F.</w:t>
      </w:r>
      <w:r w:rsidRPr="00E916C6">
        <w:rPr>
          <w:rFonts w:ascii="Times New Roman" w:hAnsi="Times New Roman" w:cs="Times New Roman"/>
          <w:sz w:val="24"/>
        </w:rPr>
        <w:t xml:space="preserve"> </w:t>
      </w:r>
      <w:r>
        <w:rPr>
          <w:rFonts w:ascii="Times New Roman" w:hAnsi="Times New Roman" w:cs="Times New Roman"/>
          <w:sz w:val="24"/>
        </w:rPr>
        <w:t>(1995)</w:t>
      </w:r>
      <w:r w:rsidRPr="00E916C6">
        <w:rPr>
          <w:rFonts w:ascii="Times New Roman" w:hAnsi="Times New Roman" w:cs="Times New Roman"/>
          <w:sz w:val="24"/>
        </w:rPr>
        <w:t xml:space="preserve"> "Comportamiento del tipo de cambio real y des</w:t>
      </w:r>
      <w:r>
        <w:rPr>
          <w:rFonts w:ascii="Times New Roman" w:hAnsi="Times New Roman" w:cs="Times New Roman"/>
          <w:sz w:val="24"/>
        </w:rPr>
        <w:t>e</w:t>
      </w:r>
      <w:r w:rsidRPr="00E916C6">
        <w:rPr>
          <w:rFonts w:ascii="Times New Roman" w:hAnsi="Times New Roman" w:cs="Times New Roman"/>
          <w:sz w:val="24"/>
        </w:rPr>
        <w:t xml:space="preserve">mpeño económico en México". </w:t>
      </w:r>
      <w:r w:rsidRPr="00E916C6">
        <w:rPr>
          <w:rFonts w:ascii="Times New Roman" w:hAnsi="Times New Roman" w:cs="Times New Roman"/>
          <w:i/>
          <w:sz w:val="24"/>
        </w:rPr>
        <w:t>Economía Mexicana. Nueva Época</w:t>
      </w:r>
      <w:r>
        <w:rPr>
          <w:rFonts w:ascii="Times New Roman" w:hAnsi="Times New Roman" w:cs="Times New Roman"/>
          <w:sz w:val="24"/>
        </w:rPr>
        <w:t>, vol. IV, núm. 2.</w:t>
      </w:r>
    </w:p>
    <w:p w:rsidR="0051452F" w:rsidRDefault="0051452F" w:rsidP="0051452F">
      <w:pPr>
        <w:spacing w:line="276" w:lineRule="auto"/>
        <w:jc w:val="both"/>
        <w:rPr>
          <w:rFonts w:ascii="Times New Roman" w:hAnsi="Times New Roman" w:cs="Times New Roman"/>
          <w:sz w:val="24"/>
        </w:rPr>
      </w:pPr>
      <w:proofErr w:type="spellStart"/>
      <w:r>
        <w:rPr>
          <w:rFonts w:ascii="Times New Roman" w:hAnsi="Times New Roman" w:cs="Times New Roman"/>
          <w:sz w:val="24"/>
        </w:rPr>
        <w:t>Dickey</w:t>
      </w:r>
      <w:proofErr w:type="spellEnd"/>
      <w:r>
        <w:rPr>
          <w:rFonts w:ascii="Times New Roman" w:hAnsi="Times New Roman" w:cs="Times New Roman"/>
          <w:sz w:val="24"/>
        </w:rPr>
        <w:t>, D.A y</w:t>
      </w:r>
      <w:r w:rsidRPr="0051452F">
        <w:rPr>
          <w:rFonts w:ascii="Times New Roman" w:hAnsi="Times New Roman" w:cs="Times New Roman"/>
          <w:sz w:val="24"/>
        </w:rPr>
        <w:t xml:space="preserve"> </w:t>
      </w:r>
      <w:proofErr w:type="spellStart"/>
      <w:r w:rsidRPr="0051452F">
        <w:rPr>
          <w:rFonts w:ascii="Times New Roman" w:hAnsi="Times New Roman" w:cs="Times New Roman"/>
          <w:sz w:val="24"/>
        </w:rPr>
        <w:t>Fuller</w:t>
      </w:r>
      <w:proofErr w:type="spellEnd"/>
      <w:r w:rsidRPr="0051452F">
        <w:rPr>
          <w:rFonts w:ascii="Times New Roman" w:hAnsi="Times New Roman" w:cs="Times New Roman"/>
          <w:sz w:val="24"/>
        </w:rPr>
        <w:t>, W. A. (1979), “</w:t>
      </w:r>
      <w:proofErr w:type="spellStart"/>
      <w:r w:rsidRPr="0051452F">
        <w:rPr>
          <w:rFonts w:ascii="Times New Roman" w:hAnsi="Times New Roman" w:cs="Times New Roman"/>
          <w:sz w:val="24"/>
        </w:rPr>
        <w:t>Dist</w:t>
      </w:r>
      <w:r>
        <w:rPr>
          <w:rFonts w:ascii="Times New Roman" w:hAnsi="Times New Roman" w:cs="Times New Roman"/>
          <w:sz w:val="24"/>
        </w:rPr>
        <w:t>ributions</w:t>
      </w:r>
      <w:proofErr w:type="spellEnd"/>
      <w:r>
        <w:rPr>
          <w:rFonts w:ascii="Times New Roman" w:hAnsi="Times New Roman" w:cs="Times New Roman"/>
          <w:sz w:val="24"/>
        </w:rPr>
        <w:t xml:space="preserve"> of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Estimators</w:t>
      </w:r>
      <w:proofErr w:type="spellEnd"/>
      <w:r>
        <w:rPr>
          <w:rFonts w:ascii="Times New Roman" w:hAnsi="Times New Roman" w:cs="Times New Roman"/>
          <w:sz w:val="24"/>
        </w:rPr>
        <w:t xml:space="preserve"> </w:t>
      </w:r>
      <w:proofErr w:type="spellStart"/>
      <w:r>
        <w:rPr>
          <w:rFonts w:ascii="Times New Roman" w:hAnsi="Times New Roman" w:cs="Times New Roman"/>
          <w:sz w:val="24"/>
        </w:rPr>
        <w:t>for</w:t>
      </w:r>
      <w:proofErr w:type="spellEnd"/>
      <w:r>
        <w:rPr>
          <w:rFonts w:ascii="Times New Roman" w:hAnsi="Times New Roman" w:cs="Times New Roman"/>
          <w:sz w:val="24"/>
        </w:rPr>
        <w:t xml:space="preserve"> </w:t>
      </w:r>
      <w:proofErr w:type="spellStart"/>
      <w:r w:rsidRPr="0051452F">
        <w:rPr>
          <w:rFonts w:ascii="Times New Roman" w:hAnsi="Times New Roman" w:cs="Times New Roman"/>
          <w:sz w:val="24"/>
        </w:rPr>
        <w:t>Autoregressive</w:t>
      </w:r>
      <w:proofErr w:type="spellEnd"/>
      <w:r w:rsidRPr="0051452F">
        <w:rPr>
          <w:rFonts w:ascii="Times New Roman" w:hAnsi="Times New Roman" w:cs="Times New Roman"/>
          <w:sz w:val="24"/>
        </w:rPr>
        <w:t xml:space="preserve"> Time Series </w:t>
      </w:r>
      <w:proofErr w:type="spellStart"/>
      <w:r w:rsidRPr="0051452F">
        <w:rPr>
          <w:rFonts w:ascii="Times New Roman" w:hAnsi="Times New Roman" w:cs="Times New Roman"/>
          <w:sz w:val="24"/>
        </w:rPr>
        <w:t>with</w:t>
      </w:r>
      <w:proofErr w:type="spellEnd"/>
      <w:r w:rsidRPr="0051452F">
        <w:rPr>
          <w:rFonts w:ascii="Times New Roman" w:hAnsi="Times New Roman" w:cs="Times New Roman"/>
          <w:sz w:val="24"/>
        </w:rPr>
        <w:t xml:space="preserve"> a </w:t>
      </w:r>
      <w:proofErr w:type="spellStart"/>
      <w:r>
        <w:rPr>
          <w:rFonts w:ascii="Times New Roman" w:hAnsi="Times New Roman" w:cs="Times New Roman"/>
          <w:sz w:val="24"/>
        </w:rPr>
        <w:t>Unit</w:t>
      </w:r>
      <w:proofErr w:type="spellEnd"/>
      <w:r>
        <w:rPr>
          <w:rFonts w:ascii="Times New Roman" w:hAnsi="Times New Roman" w:cs="Times New Roman"/>
          <w:sz w:val="24"/>
        </w:rPr>
        <w:t xml:space="preserve"> </w:t>
      </w:r>
      <w:proofErr w:type="spellStart"/>
      <w:r>
        <w:rPr>
          <w:rFonts w:ascii="Times New Roman" w:hAnsi="Times New Roman" w:cs="Times New Roman"/>
          <w:sz w:val="24"/>
        </w:rPr>
        <w:t>Root</w:t>
      </w:r>
      <w:proofErr w:type="spellEnd"/>
      <w:r>
        <w:rPr>
          <w:rFonts w:ascii="Times New Roman" w:hAnsi="Times New Roman" w:cs="Times New Roman"/>
          <w:sz w:val="24"/>
        </w:rPr>
        <w:t xml:space="preserve">”, </w:t>
      </w:r>
      <w:proofErr w:type="spellStart"/>
      <w:r w:rsidRPr="0051452F">
        <w:rPr>
          <w:rFonts w:ascii="Times New Roman" w:hAnsi="Times New Roman" w:cs="Times New Roman"/>
          <w:i/>
          <w:sz w:val="24"/>
        </w:rPr>
        <w:t>Journal</w:t>
      </w:r>
      <w:proofErr w:type="spellEnd"/>
      <w:r w:rsidRPr="0051452F">
        <w:rPr>
          <w:rFonts w:ascii="Times New Roman" w:hAnsi="Times New Roman" w:cs="Times New Roman"/>
          <w:i/>
          <w:sz w:val="24"/>
        </w:rPr>
        <w:t xml:space="preserve"> of American </w:t>
      </w:r>
      <w:proofErr w:type="spellStart"/>
      <w:r w:rsidRPr="0051452F">
        <w:rPr>
          <w:rFonts w:ascii="Times New Roman" w:hAnsi="Times New Roman" w:cs="Times New Roman"/>
          <w:i/>
          <w:sz w:val="24"/>
        </w:rPr>
        <w:t>Statistical</w:t>
      </w:r>
      <w:proofErr w:type="spellEnd"/>
      <w:r w:rsidRPr="0051452F">
        <w:rPr>
          <w:rFonts w:ascii="Times New Roman" w:hAnsi="Times New Roman" w:cs="Times New Roman"/>
          <w:i/>
          <w:sz w:val="24"/>
        </w:rPr>
        <w:t xml:space="preserve"> </w:t>
      </w:r>
      <w:proofErr w:type="spellStart"/>
      <w:r w:rsidRPr="0051452F">
        <w:rPr>
          <w:rFonts w:ascii="Times New Roman" w:hAnsi="Times New Roman" w:cs="Times New Roman"/>
          <w:i/>
          <w:sz w:val="24"/>
        </w:rPr>
        <w:t>Association</w:t>
      </w:r>
      <w:proofErr w:type="spellEnd"/>
      <w:r w:rsidRPr="0051452F">
        <w:rPr>
          <w:rFonts w:ascii="Times New Roman" w:hAnsi="Times New Roman" w:cs="Times New Roman"/>
          <w:sz w:val="24"/>
        </w:rPr>
        <w:t xml:space="preserve">, </w:t>
      </w:r>
      <w:r>
        <w:rPr>
          <w:rFonts w:ascii="Times New Roman" w:hAnsi="Times New Roman" w:cs="Times New Roman"/>
          <w:sz w:val="24"/>
        </w:rPr>
        <w:t xml:space="preserve">vol. </w:t>
      </w:r>
      <w:r w:rsidRPr="0051452F">
        <w:rPr>
          <w:rFonts w:ascii="Times New Roman" w:hAnsi="Times New Roman" w:cs="Times New Roman"/>
          <w:sz w:val="24"/>
        </w:rPr>
        <w:t>74</w:t>
      </w:r>
      <w:r>
        <w:rPr>
          <w:rFonts w:ascii="Times New Roman" w:hAnsi="Times New Roman" w:cs="Times New Roman"/>
          <w:sz w:val="24"/>
        </w:rPr>
        <w:t xml:space="preserve"> </w:t>
      </w:r>
      <w:proofErr w:type="spellStart"/>
      <w:r>
        <w:rPr>
          <w:rFonts w:ascii="Times New Roman" w:hAnsi="Times New Roman" w:cs="Times New Roman"/>
          <w:sz w:val="24"/>
        </w:rPr>
        <w:t>núm</w:t>
      </w:r>
      <w:proofErr w:type="spellEnd"/>
      <w:r>
        <w:rPr>
          <w:rFonts w:ascii="Times New Roman" w:hAnsi="Times New Roman" w:cs="Times New Roman"/>
          <w:sz w:val="24"/>
        </w:rPr>
        <w:t xml:space="preserve"> 366</w:t>
      </w:r>
    </w:p>
    <w:p w:rsidR="00D51DA0" w:rsidRDefault="00D51DA0" w:rsidP="0051452F">
      <w:pPr>
        <w:spacing w:line="276" w:lineRule="auto"/>
        <w:jc w:val="both"/>
        <w:rPr>
          <w:rFonts w:ascii="Times New Roman" w:hAnsi="Times New Roman" w:cs="Times New Roman"/>
          <w:sz w:val="24"/>
        </w:rPr>
      </w:pPr>
      <w:proofErr w:type="spellStart"/>
      <w:r>
        <w:rPr>
          <w:rFonts w:ascii="Times New Roman" w:hAnsi="Times New Roman" w:cs="Times New Roman"/>
          <w:sz w:val="24"/>
        </w:rPr>
        <w:t>Enders</w:t>
      </w:r>
      <w:proofErr w:type="spellEnd"/>
      <w:r>
        <w:rPr>
          <w:rFonts w:ascii="Times New Roman" w:hAnsi="Times New Roman" w:cs="Times New Roman"/>
          <w:sz w:val="24"/>
        </w:rPr>
        <w:t>, W</w:t>
      </w:r>
      <w:r w:rsidRPr="00D51DA0">
        <w:rPr>
          <w:rFonts w:ascii="Times New Roman" w:hAnsi="Times New Roman" w:cs="Times New Roman"/>
          <w:sz w:val="24"/>
        </w:rPr>
        <w:t xml:space="preserve">. (2002). </w:t>
      </w:r>
      <w:proofErr w:type="spellStart"/>
      <w:r w:rsidRPr="00D51DA0">
        <w:rPr>
          <w:rFonts w:ascii="Times New Roman" w:hAnsi="Times New Roman" w:cs="Times New Roman"/>
          <w:sz w:val="24"/>
        </w:rPr>
        <w:t>Applied</w:t>
      </w:r>
      <w:proofErr w:type="spellEnd"/>
      <w:r w:rsidRPr="00D51DA0">
        <w:rPr>
          <w:rFonts w:ascii="Times New Roman" w:hAnsi="Times New Roman" w:cs="Times New Roman"/>
          <w:sz w:val="24"/>
        </w:rPr>
        <w:t xml:space="preserve"> </w:t>
      </w:r>
      <w:proofErr w:type="spellStart"/>
      <w:r w:rsidRPr="00D51DA0">
        <w:rPr>
          <w:rFonts w:ascii="Times New Roman" w:hAnsi="Times New Roman" w:cs="Times New Roman"/>
          <w:sz w:val="24"/>
        </w:rPr>
        <w:t>Econometric</w:t>
      </w:r>
      <w:proofErr w:type="spellEnd"/>
      <w:r w:rsidRPr="00D51DA0">
        <w:rPr>
          <w:rFonts w:ascii="Times New Roman" w:hAnsi="Times New Roman" w:cs="Times New Roman"/>
          <w:sz w:val="24"/>
        </w:rPr>
        <w:t xml:space="preserve"> Time Series. </w:t>
      </w:r>
      <w:proofErr w:type="spellStart"/>
      <w:r w:rsidRPr="00D51DA0">
        <w:rPr>
          <w:rFonts w:ascii="Times New Roman" w:hAnsi="Times New Roman" w:cs="Times New Roman"/>
          <w:sz w:val="24"/>
        </w:rPr>
        <w:t>United</w:t>
      </w:r>
      <w:proofErr w:type="spellEnd"/>
      <w:r w:rsidRPr="00D51DA0">
        <w:rPr>
          <w:rFonts w:ascii="Times New Roman" w:hAnsi="Times New Roman" w:cs="Times New Roman"/>
          <w:sz w:val="24"/>
        </w:rPr>
        <w:t xml:space="preserve"> </w:t>
      </w:r>
      <w:proofErr w:type="spellStart"/>
      <w:r w:rsidRPr="00D51DA0">
        <w:rPr>
          <w:rFonts w:ascii="Times New Roman" w:hAnsi="Times New Roman" w:cs="Times New Roman"/>
          <w:sz w:val="24"/>
        </w:rPr>
        <w:t>States</w:t>
      </w:r>
      <w:proofErr w:type="spellEnd"/>
      <w:r w:rsidRPr="00D51DA0">
        <w:rPr>
          <w:rFonts w:ascii="Times New Roman" w:hAnsi="Times New Roman" w:cs="Times New Roman"/>
          <w:sz w:val="24"/>
        </w:rPr>
        <w:t xml:space="preserve"> of </w:t>
      </w:r>
      <w:proofErr w:type="spellStart"/>
      <w:r w:rsidRPr="00D51DA0">
        <w:rPr>
          <w:rFonts w:ascii="Times New Roman" w:hAnsi="Times New Roman" w:cs="Times New Roman"/>
          <w:sz w:val="24"/>
        </w:rPr>
        <w:t>America</w:t>
      </w:r>
      <w:proofErr w:type="spellEnd"/>
      <w:r w:rsidRPr="00D51DA0">
        <w:rPr>
          <w:rFonts w:ascii="Times New Roman" w:hAnsi="Times New Roman" w:cs="Times New Roman"/>
          <w:sz w:val="24"/>
        </w:rPr>
        <w:t xml:space="preserve">: </w:t>
      </w:r>
      <w:proofErr w:type="spellStart"/>
      <w:r w:rsidRPr="00D51DA0">
        <w:rPr>
          <w:rFonts w:ascii="Times New Roman" w:hAnsi="Times New Roman" w:cs="Times New Roman"/>
          <w:sz w:val="24"/>
        </w:rPr>
        <w:t>Wiley</w:t>
      </w:r>
      <w:proofErr w:type="spellEnd"/>
      <w:r w:rsidRPr="00D51DA0">
        <w:rPr>
          <w:rFonts w:ascii="Times New Roman" w:hAnsi="Times New Roman" w:cs="Times New Roman"/>
          <w:sz w:val="24"/>
        </w:rPr>
        <w:t>.</w:t>
      </w:r>
    </w:p>
    <w:p w:rsidR="0051452F" w:rsidRDefault="0051452F" w:rsidP="0051452F">
      <w:pPr>
        <w:spacing w:line="276" w:lineRule="auto"/>
        <w:jc w:val="both"/>
        <w:rPr>
          <w:rFonts w:ascii="Times New Roman" w:hAnsi="Times New Roman" w:cs="Times New Roman"/>
          <w:sz w:val="24"/>
        </w:rPr>
      </w:pPr>
      <w:proofErr w:type="spellStart"/>
      <w:r>
        <w:rPr>
          <w:rFonts w:ascii="Times New Roman" w:hAnsi="Times New Roman" w:cs="Times New Roman"/>
          <w:sz w:val="24"/>
        </w:rPr>
        <w:t>Engle</w:t>
      </w:r>
      <w:proofErr w:type="spellEnd"/>
      <w:r>
        <w:rPr>
          <w:rFonts w:ascii="Times New Roman" w:hAnsi="Times New Roman" w:cs="Times New Roman"/>
          <w:sz w:val="24"/>
        </w:rPr>
        <w:t>, R. y Granger C. W. J. (1978)</w:t>
      </w:r>
      <w:r w:rsidR="00244F7C">
        <w:rPr>
          <w:rFonts w:ascii="Times New Roman" w:hAnsi="Times New Roman" w:cs="Times New Roman"/>
          <w:sz w:val="24"/>
        </w:rPr>
        <w:t>, “Co-</w:t>
      </w:r>
      <w:proofErr w:type="spellStart"/>
      <w:r w:rsidR="00244F7C">
        <w:rPr>
          <w:rFonts w:ascii="Times New Roman" w:hAnsi="Times New Roman" w:cs="Times New Roman"/>
          <w:sz w:val="24"/>
        </w:rPr>
        <w:t>Integration</w:t>
      </w:r>
      <w:proofErr w:type="spellEnd"/>
      <w:r w:rsidR="00244F7C">
        <w:rPr>
          <w:rFonts w:ascii="Times New Roman" w:hAnsi="Times New Roman" w:cs="Times New Roman"/>
          <w:sz w:val="24"/>
        </w:rPr>
        <w:t xml:space="preserve"> and Error </w:t>
      </w:r>
      <w:proofErr w:type="spellStart"/>
      <w:r w:rsidR="00244F7C">
        <w:rPr>
          <w:rFonts w:ascii="Times New Roman" w:hAnsi="Times New Roman" w:cs="Times New Roman"/>
          <w:sz w:val="24"/>
        </w:rPr>
        <w:t>Correction</w:t>
      </w:r>
      <w:proofErr w:type="spellEnd"/>
      <w:r w:rsidR="00244F7C">
        <w:rPr>
          <w:rFonts w:ascii="Times New Roman" w:hAnsi="Times New Roman" w:cs="Times New Roman"/>
          <w:sz w:val="24"/>
        </w:rPr>
        <w:t xml:space="preserve">: </w:t>
      </w:r>
      <w:proofErr w:type="spellStart"/>
      <w:r w:rsidR="00244F7C">
        <w:rPr>
          <w:rFonts w:ascii="Times New Roman" w:hAnsi="Times New Roman" w:cs="Times New Roman"/>
          <w:sz w:val="24"/>
        </w:rPr>
        <w:t>Representation</w:t>
      </w:r>
      <w:proofErr w:type="spellEnd"/>
      <w:r w:rsidR="00244F7C">
        <w:rPr>
          <w:rFonts w:ascii="Times New Roman" w:hAnsi="Times New Roman" w:cs="Times New Roman"/>
          <w:sz w:val="24"/>
        </w:rPr>
        <w:t xml:space="preserve">, </w:t>
      </w:r>
      <w:proofErr w:type="spellStart"/>
      <w:r w:rsidR="00244F7C">
        <w:rPr>
          <w:rFonts w:ascii="Times New Roman" w:hAnsi="Times New Roman" w:cs="Times New Roman"/>
          <w:sz w:val="24"/>
        </w:rPr>
        <w:t>Estimation</w:t>
      </w:r>
      <w:proofErr w:type="spellEnd"/>
      <w:r w:rsidR="00244F7C">
        <w:rPr>
          <w:rFonts w:ascii="Times New Roman" w:hAnsi="Times New Roman" w:cs="Times New Roman"/>
          <w:sz w:val="24"/>
        </w:rPr>
        <w:t xml:space="preserve">, and </w:t>
      </w:r>
      <w:proofErr w:type="spellStart"/>
      <w:r w:rsidR="00244F7C">
        <w:rPr>
          <w:rFonts w:ascii="Times New Roman" w:hAnsi="Times New Roman" w:cs="Times New Roman"/>
          <w:sz w:val="24"/>
        </w:rPr>
        <w:t>Testing</w:t>
      </w:r>
      <w:proofErr w:type="spellEnd"/>
      <w:r w:rsidR="00244F7C">
        <w:rPr>
          <w:rFonts w:ascii="Times New Roman" w:hAnsi="Times New Roman" w:cs="Times New Roman"/>
          <w:sz w:val="24"/>
        </w:rPr>
        <w:t xml:space="preserve">”, </w:t>
      </w:r>
      <w:proofErr w:type="spellStart"/>
      <w:r w:rsidR="00244F7C" w:rsidRPr="00244F7C">
        <w:rPr>
          <w:rFonts w:ascii="Times New Roman" w:hAnsi="Times New Roman" w:cs="Times New Roman"/>
          <w:i/>
          <w:sz w:val="24"/>
        </w:rPr>
        <w:t>Econometrica</w:t>
      </w:r>
      <w:proofErr w:type="spellEnd"/>
      <w:r w:rsidR="00244F7C">
        <w:rPr>
          <w:rFonts w:ascii="Times New Roman" w:hAnsi="Times New Roman" w:cs="Times New Roman"/>
          <w:sz w:val="24"/>
        </w:rPr>
        <w:t>, vol. 55, núm. 2</w:t>
      </w:r>
    </w:p>
    <w:p w:rsidR="00E916C6" w:rsidRDefault="00E916C6" w:rsidP="001D2540">
      <w:pPr>
        <w:spacing w:line="276" w:lineRule="auto"/>
        <w:jc w:val="both"/>
        <w:rPr>
          <w:rFonts w:ascii="Times New Roman" w:hAnsi="Times New Roman" w:cs="Times New Roman"/>
          <w:sz w:val="24"/>
        </w:rPr>
      </w:pPr>
      <w:r>
        <w:rPr>
          <w:rFonts w:ascii="Times New Roman" w:hAnsi="Times New Roman" w:cs="Times New Roman"/>
          <w:sz w:val="24"/>
        </w:rPr>
        <w:t>Gómez, M y</w:t>
      </w:r>
      <w:r w:rsidRPr="00E916C6">
        <w:rPr>
          <w:rFonts w:ascii="Times New Roman" w:hAnsi="Times New Roman" w:cs="Times New Roman"/>
          <w:sz w:val="24"/>
        </w:rPr>
        <w:t xml:space="preserve"> </w:t>
      </w:r>
      <w:proofErr w:type="spellStart"/>
      <w:r w:rsidRPr="00E916C6">
        <w:rPr>
          <w:rFonts w:ascii="Times New Roman" w:hAnsi="Times New Roman" w:cs="Times New Roman"/>
          <w:sz w:val="24"/>
        </w:rPr>
        <w:t>Rodriguez</w:t>
      </w:r>
      <w:proofErr w:type="spellEnd"/>
      <w:r>
        <w:rPr>
          <w:rFonts w:ascii="Times New Roman" w:hAnsi="Times New Roman" w:cs="Times New Roman"/>
          <w:sz w:val="24"/>
        </w:rPr>
        <w:t>, J. (2012)</w:t>
      </w:r>
      <w:r w:rsidRPr="00E916C6">
        <w:rPr>
          <w:rFonts w:ascii="Times New Roman" w:hAnsi="Times New Roman" w:cs="Times New Roman"/>
          <w:sz w:val="24"/>
        </w:rPr>
        <w:t xml:space="preserve"> </w:t>
      </w:r>
      <w:r>
        <w:rPr>
          <w:rFonts w:ascii="Times New Roman" w:hAnsi="Times New Roman" w:cs="Times New Roman"/>
          <w:sz w:val="24"/>
        </w:rPr>
        <w:t>“</w:t>
      </w:r>
      <w:r w:rsidRPr="00E916C6">
        <w:rPr>
          <w:rFonts w:ascii="Times New Roman" w:hAnsi="Times New Roman" w:cs="Times New Roman"/>
          <w:sz w:val="24"/>
        </w:rPr>
        <w:t>Análisis de la paridad del poder de compra: Evidencia empírica entre México y Estados Unidos</w:t>
      </w:r>
      <w:r>
        <w:rPr>
          <w:rFonts w:ascii="Times New Roman" w:hAnsi="Times New Roman" w:cs="Times New Roman"/>
          <w:sz w:val="24"/>
        </w:rPr>
        <w:t>”</w:t>
      </w:r>
      <w:r w:rsidRPr="00E916C6">
        <w:rPr>
          <w:rFonts w:ascii="Times New Roman" w:hAnsi="Times New Roman" w:cs="Times New Roman"/>
          <w:sz w:val="24"/>
        </w:rPr>
        <w:t xml:space="preserve">. </w:t>
      </w:r>
      <w:r w:rsidRPr="00E916C6">
        <w:rPr>
          <w:rFonts w:ascii="Times New Roman" w:hAnsi="Times New Roman" w:cs="Times New Roman"/>
          <w:i/>
          <w:sz w:val="24"/>
        </w:rPr>
        <w:t>Estudios Económicos</w:t>
      </w:r>
      <w:r>
        <w:rPr>
          <w:rFonts w:ascii="Times New Roman" w:hAnsi="Times New Roman" w:cs="Times New Roman"/>
          <w:i/>
          <w:sz w:val="24"/>
        </w:rPr>
        <w:t>,</w:t>
      </w:r>
      <w:r>
        <w:rPr>
          <w:rFonts w:ascii="Times New Roman" w:hAnsi="Times New Roman" w:cs="Times New Roman"/>
          <w:sz w:val="24"/>
        </w:rPr>
        <w:t xml:space="preserve"> vol.27, núm. 1</w:t>
      </w:r>
    </w:p>
    <w:p w:rsidR="00E916C6" w:rsidRDefault="00E916C6" w:rsidP="001D2540">
      <w:pPr>
        <w:spacing w:line="276" w:lineRule="auto"/>
        <w:jc w:val="both"/>
        <w:rPr>
          <w:rFonts w:ascii="Times New Roman" w:hAnsi="Times New Roman" w:cs="Times New Roman"/>
          <w:sz w:val="24"/>
        </w:rPr>
      </w:pPr>
      <w:proofErr w:type="spellStart"/>
      <w:r w:rsidRPr="00E916C6">
        <w:rPr>
          <w:rFonts w:ascii="Times New Roman" w:hAnsi="Times New Roman" w:cs="Times New Roman"/>
          <w:sz w:val="24"/>
        </w:rPr>
        <w:t>Kildegaard</w:t>
      </w:r>
      <w:proofErr w:type="spellEnd"/>
      <w:r w:rsidRPr="00E916C6">
        <w:rPr>
          <w:rFonts w:ascii="Times New Roman" w:hAnsi="Times New Roman" w:cs="Times New Roman"/>
          <w:sz w:val="24"/>
        </w:rPr>
        <w:t xml:space="preserve">, A. </w:t>
      </w:r>
      <w:r>
        <w:rPr>
          <w:rFonts w:ascii="Times New Roman" w:hAnsi="Times New Roman" w:cs="Times New Roman"/>
          <w:sz w:val="24"/>
        </w:rPr>
        <w:t>(</w:t>
      </w:r>
      <w:r w:rsidR="00FD057D">
        <w:rPr>
          <w:rFonts w:ascii="Times New Roman" w:hAnsi="Times New Roman" w:cs="Times New Roman"/>
          <w:sz w:val="24"/>
        </w:rPr>
        <w:t>2006</w:t>
      </w:r>
      <w:r>
        <w:rPr>
          <w:rFonts w:ascii="Times New Roman" w:hAnsi="Times New Roman" w:cs="Times New Roman"/>
          <w:sz w:val="24"/>
        </w:rPr>
        <w:t>)</w:t>
      </w:r>
      <w:r w:rsidRPr="00E916C6">
        <w:rPr>
          <w:rFonts w:ascii="Times New Roman" w:hAnsi="Times New Roman" w:cs="Times New Roman"/>
          <w:sz w:val="24"/>
        </w:rPr>
        <w:t xml:space="preserve">. </w:t>
      </w:r>
      <w:r>
        <w:rPr>
          <w:rFonts w:ascii="Times New Roman" w:hAnsi="Times New Roman" w:cs="Times New Roman"/>
          <w:sz w:val="24"/>
        </w:rPr>
        <w:t>“</w:t>
      </w:r>
      <w:r w:rsidRPr="00E916C6">
        <w:rPr>
          <w:rFonts w:ascii="Times New Roman" w:hAnsi="Times New Roman" w:cs="Times New Roman"/>
          <w:sz w:val="24"/>
        </w:rPr>
        <w:t xml:space="preserve">Fundamentals of Real </w:t>
      </w:r>
      <w:proofErr w:type="spellStart"/>
      <w:r w:rsidRPr="00E916C6">
        <w:rPr>
          <w:rFonts w:ascii="Times New Roman" w:hAnsi="Times New Roman" w:cs="Times New Roman"/>
          <w:sz w:val="24"/>
        </w:rPr>
        <w:t>E</w:t>
      </w:r>
      <w:r>
        <w:rPr>
          <w:rFonts w:ascii="Times New Roman" w:hAnsi="Times New Roman" w:cs="Times New Roman"/>
          <w:sz w:val="24"/>
        </w:rPr>
        <w:t>xchangeRate</w:t>
      </w:r>
      <w:proofErr w:type="spellEnd"/>
      <w:r>
        <w:rPr>
          <w:rFonts w:ascii="Times New Roman" w:hAnsi="Times New Roman" w:cs="Times New Roman"/>
          <w:sz w:val="24"/>
        </w:rPr>
        <w:t xml:space="preserve"> </w:t>
      </w:r>
      <w:proofErr w:type="spellStart"/>
      <w:r>
        <w:rPr>
          <w:rFonts w:ascii="Times New Roman" w:hAnsi="Times New Roman" w:cs="Times New Roman"/>
          <w:sz w:val="24"/>
        </w:rPr>
        <w:t>Determination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What</w:t>
      </w:r>
      <w:proofErr w:type="spellEnd"/>
      <w:r>
        <w:rPr>
          <w:rFonts w:ascii="Times New Roman" w:hAnsi="Times New Roman" w:cs="Times New Roman"/>
          <w:sz w:val="24"/>
        </w:rPr>
        <w:t xml:space="preserve"> </w:t>
      </w:r>
      <w:r w:rsidRPr="00E916C6">
        <w:rPr>
          <w:rFonts w:ascii="Times New Roman" w:hAnsi="Times New Roman" w:cs="Times New Roman"/>
          <w:sz w:val="24"/>
        </w:rPr>
        <w:t xml:space="preserve">Role in </w:t>
      </w:r>
      <w:proofErr w:type="spellStart"/>
      <w:r w:rsidRPr="00E916C6">
        <w:rPr>
          <w:rFonts w:ascii="Times New Roman" w:hAnsi="Times New Roman" w:cs="Times New Roman"/>
          <w:sz w:val="24"/>
        </w:rPr>
        <w:t>the</w:t>
      </w:r>
      <w:proofErr w:type="spellEnd"/>
      <w:r w:rsidRPr="00E916C6">
        <w:rPr>
          <w:rFonts w:ascii="Times New Roman" w:hAnsi="Times New Roman" w:cs="Times New Roman"/>
          <w:sz w:val="24"/>
        </w:rPr>
        <w:t xml:space="preserve"> Peso Crisis?</w:t>
      </w:r>
      <w:proofErr w:type="gramEnd"/>
      <w:r>
        <w:rPr>
          <w:rFonts w:ascii="Times New Roman" w:hAnsi="Times New Roman" w:cs="Times New Roman"/>
          <w:sz w:val="24"/>
        </w:rPr>
        <w:t>”</w:t>
      </w:r>
      <w:r w:rsidRPr="00E916C6">
        <w:rPr>
          <w:rFonts w:ascii="Times New Roman" w:hAnsi="Times New Roman" w:cs="Times New Roman"/>
          <w:sz w:val="24"/>
        </w:rPr>
        <w:t xml:space="preserve"> </w:t>
      </w:r>
      <w:r w:rsidRPr="00E916C6">
        <w:rPr>
          <w:rFonts w:ascii="Times New Roman" w:hAnsi="Times New Roman" w:cs="Times New Roman"/>
          <w:i/>
          <w:sz w:val="24"/>
        </w:rPr>
        <w:t>Estudios Económicos</w:t>
      </w:r>
      <w:r w:rsidR="00FD057D">
        <w:rPr>
          <w:rFonts w:ascii="Times New Roman" w:hAnsi="Times New Roman" w:cs="Times New Roman"/>
          <w:sz w:val="24"/>
        </w:rPr>
        <w:t xml:space="preserve">, </w:t>
      </w:r>
      <w:proofErr w:type="spellStart"/>
      <w:r w:rsidR="00FD057D">
        <w:rPr>
          <w:rFonts w:ascii="Times New Roman" w:hAnsi="Times New Roman" w:cs="Times New Roman"/>
          <w:sz w:val="24"/>
        </w:rPr>
        <w:t>Vol</w:t>
      </w:r>
      <w:proofErr w:type="spellEnd"/>
      <w:r w:rsidR="00FD057D">
        <w:rPr>
          <w:rFonts w:ascii="Times New Roman" w:hAnsi="Times New Roman" w:cs="Times New Roman"/>
          <w:sz w:val="24"/>
        </w:rPr>
        <w:t xml:space="preserve"> 21 </w:t>
      </w:r>
      <w:proofErr w:type="spellStart"/>
      <w:r w:rsidR="00FD057D">
        <w:rPr>
          <w:rFonts w:ascii="Times New Roman" w:hAnsi="Times New Roman" w:cs="Times New Roman"/>
          <w:sz w:val="24"/>
        </w:rPr>
        <w:t>núm</w:t>
      </w:r>
      <w:proofErr w:type="spellEnd"/>
      <w:r w:rsidR="00FD057D">
        <w:rPr>
          <w:rFonts w:ascii="Times New Roman" w:hAnsi="Times New Roman" w:cs="Times New Roman"/>
          <w:sz w:val="24"/>
        </w:rPr>
        <w:t xml:space="preserve"> 1.</w:t>
      </w:r>
    </w:p>
    <w:p w:rsidR="00FD057D" w:rsidRDefault="00E916C6" w:rsidP="001D2540">
      <w:pPr>
        <w:spacing w:line="276" w:lineRule="auto"/>
        <w:jc w:val="both"/>
        <w:rPr>
          <w:rFonts w:ascii="Times New Roman" w:hAnsi="Times New Roman" w:cs="Times New Roman"/>
          <w:sz w:val="24"/>
        </w:rPr>
      </w:pPr>
      <w:r>
        <w:rPr>
          <w:rFonts w:ascii="Times New Roman" w:hAnsi="Times New Roman" w:cs="Times New Roman"/>
          <w:sz w:val="24"/>
        </w:rPr>
        <w:t>Murias, P. (1998)</w:t>
      </w:r>
      <w:r w:rsidRPr="00E916C6">
        <w:rPr>
          <w:rFonts w:ascii="Times New Roman" w:hAnsi="Times New Roman" w:cs="Times New Roman"/>
          <w:sz w:val="24"/>
        </w:rPr>
        <w:t xml:space="preserve"> "La paridad de poder adquisitivo: concepto y evolución histórica". </w:t>
      </w:r>
      <w:r w:rsidRPr="00E916C6">
        <w:rPr>
          <w:rFonts w:ascii="Times New Roman" w:hAnsi="Times New Roman" w:cs="Times New Roman"/>
          <w:i/>
          <w:sz w:val="24"/>
        </w:rPr>
        <w:t>Estudios de Economía Aplicada</w:t>
      </w:r>
      <w:r>
        <w:rPr>
          <w:rFonts w:ascii="Times New Roman" w:hAnsi="Times New Roman" w:cs="Times New Roman"/>
          <w:sz w:val="24"/>
        </w:rPr>
        <w:t>. Núm. 9</w:t>
      </w:r>
      <w:r w:rsidR="00FD057D" w:rsidRPr="00FD057D">
        <w:rPr>
          <w:rFonts w:ascii="Times New Roman" w:hAnsi="Times New Roman" w:cs="Times New Roman"/>
          <w:sz w:val="24"/>
        </w:rPr>
        <w:t xml:space="preserve"> </w:t>
      </w:r>
    </w:p>
    <w:p w:rsidR="00FD057D" w:rsidRDefault="00FD057D" w:rsidP="001D2540">
      <w:pPr>
        <w:spacing w:line="276" w:lineRule="auto"/>
        <w:jc w:val="both"/>
        <w:rPr>
          <w:rFonts w:ascii="Times New Roman" w:hAnsi="Times New Roman" w:cs="Times New Roman"/>
          <w:sz w:val="24"/>
        </w:rPr>
      </w:pPr>
      <w:r>
        <w:rPr>
          <w:rFonts w:ascii="Times New Roman" w:hAnsi="Times New Roman" w:cs="Times New Roman"/>
          <w:sz w:val="24"/>
        </w:rPr>
        <w:t xml:space="preserve">Mejía, P. y González J. (1996) “La Paridad del Poder de Compra en el Largo Plazo: el caso de México”, </w:t>
      </w:r>
      <w:r w:rsidRPr="00FD55EB">
        <w:rPr>
          <w:rFonts w:ascii="Times New Roman" w:hAnsi="Times New Roman" w:cs="Times New Roman"/>
          <w:i/>
          <w:sz w:val="24"/>
        </w:rPr>
        <w:t>Economía Mexicana. Nueva Época</w:t>
      </w:r>
      <w:r>
        <w:rPr>
          <w:rFonts w:ascii="Times New Roman" w:hAnsi="Times New Roman" w:cs="Times New Roman"/>
          <w:sz w:val="24"/>
        </w:rPr>
        <w:t xml:space="preserve">. </w:t>
      </w:r>
      <w:proofErr w:type="spellStart"/>
      <w:r>
        <w:rPr>
          <w:rFonts w:ascii="Times New Roman" w:hAnsi="Times New Roman" w:cs="Times New Roman"/>
          <w:sz w:val="24"/>
        </w:rPr>
        <w:t>Vol</w:t>
      </w:r>
      <w:proofErr w:type="spellEnd"/>
      <w:r>
        <w:rPr>
          <w:rFonts w:ascii="Times New Roman" w:hAnsi="Times New Roman" w:cs="Times New Roman"/>
          <w:sz w:val="24"/>
        </w:rPr>
        <w:t xml:space="preserve"> V, </w:t>
      </w:r>
      <w:proofErr w:type="spellStart"/>
      <w:r>
        <w:rPr>
          <w:rFonts w:ascii="Times New Roman" w:hAnsi="Times New Roman" w:cs="Times New Roman"/>
          <w:sz w:val="24"/>
        </w:rPr>
        <w:t>núm</w:t>
      </w:r>
      <w:proofErr w:type="spellEnd"/>
      <w:r>
        <w:rPr>
          <w:rFonts w:ascii="Times New Roman" w:hAnsi="Times New Roman" w:cs="Times New Roman"/>
          <w:sz w:val="24"/>
        </w:rPr>
        <w:t xml:space="preserve"> 1</w:t>
      </w:r>
      <w:r w:rsidRPr="00FD057D">
        <w:rPr>
          <w:rFonts w:ascii="Times New Roman" w:hAnsi="Times New Roman" w:cs="Times New Roman"/>
          <w:sz w:val="24"/>
        </w:rPr>
        <w:t xml:space="preserve"> </w:t>
      </w:r>
    </w:p>
    <w:p w:rsidR="00E916C6" w:rsidRDefault="00FD057D" w:rsidP="001D2540">
      <w:pPr>
        <w:spacing w:line="276" w:lineRule="auto"/>
        <w:jc w:val="both"/>
        <w:rPr>
          <w:rFonts w:ascii="Times New Roman" w:hAnsi="Times New Roman" w:cs="Times New Roman"/>
          <w:sz w:val="24"/>
        </w:rPr>
      </w:pPr>
      <w:r>
        <w:rPr>
          <w:rFonts w:ascii="Times New Roman" w:hAnsi="Times New Roman" w:cs="Times New Roman"/>
          <w:sz w:val="24"/>
        </w:rPr>
        <w:t>Noriega, A y Medina, L. (2003) “</w:t>
      </w:r>
      <w:proofErr w:type="spellStart"/>
      <w:r>
        <w:rPr>
          <w:rFonts w:ascii="Times New Roman" w:hAnsi="Times New Roman" w:cs="Times New Roman"/>
          <w:sz w:val="24"/>
        </w:rPr>
        <w:t>Quasi</w:t>
      </w:r>
      <w:proofErr w:type="spellEnd"/>
      <w:r>
        <w:rPr>
          <w:rFonts w:ascii="Times New Roman" w:hAnsi="Times New Roman" w:cs="Times New Roman"/>
          <w:sz w:val="24"/>
        </w:rPr>
        <w:t xml:space="preserve"> </w:t>
      </w:r>
      <w:proofErr w:type="spellStart"/>
      <w:r>
        <w:rPr>
          <w:rFonts w:ascii="Times New Roman" w:hAnsi="Times New Roman" w:cs="Times New Roman"/>
          <w:sz w:val="24"/>
        </w:rPr>
        <w:t>Purchasing</w:t>
      </w:r>
      <w:proofErr w:type="spellEnd"/>
      <w:r>
        <w:rPr>
          <w:rFonts w:ascii="Times New Roman" w:hAnsi="Times New Roman" w:cs="Times New Roman"/>
          <w:sz w:val="24"/>
        </w:rPr>
        <w:t xml:space="preserve"> </w:t>
      </w:r>
      <w:proofErr w:type="spellStart"/>
      <w:r>
        <w:rPr>
          <w:rFonts w:ascii="Times New Roman" w:hAnsi="Times New Roman" w:cs="Times New Roman"/>
          <w:sz w:val="24"/>
        </w:rPr>
        <w:t>Power</w:t>
      </w:r>
      <w:proofErr w:type="spellEnd"/>
      <w:r>
        <w:rPr>
          <w:rFonts w:ascii="Times New Roman" w:hAnsi="Times New Roman" w:cs="Times New Roman"/>
          <w:sz w:val="24"/>
        </w:rPr>
        <w:t xml:space="preserve"> </w:t>
      </w:r>
      <w:proofErr w:type="spellStart"/>
      <w:r>
        <w:rPr>
          <w:rFonts w:ascii="Times New Roman" w:hAnsi="Times New Roman" w:cs="Times New Roman"/>
          <w:sz w:val="24"/>
        </w:rPr>
        <w:t>Parity</w:t>
      </w:r>
      <w:proofErr w:type="spellEnd"/>
      <w:r>
        <w:rPr>
          <w:rFonts w:ascii="Times New Roman" w:hAnsi="Times New Roman" w:cs="Times New Roman"/>
          <w:sz w:val="24"/>
        </w:rPr>
        <w:t xml:space="preserve">: </w:t>
      </w:r>
      <w:proofErr w:type="spellStart"/>
      <w:r>
        <w:rPr>
          <w:rFonts w:ascii="Times New Roman" w:hAnsi="Times New Roman" w:cs="Times New Roman"/>
          <w:sz w:val="24"/>
        </w:rPr>
        <w:t>Structural</w:t>
      </w:r>
      <w:proofErr w:type="spellEnd"/>
      <w:r>
        <w:rPr>
          <w:rFonts w:ascii="Times New Roman" w:hAnsi="Times New Roman" w:cs="Times New Roman"/>
          <w:sz w:val="24"/>
        </w:rPr>
        <w:t xml:space="preserve"> </w:t>
      </w:r>
      <w:proofErr w:type="spellStart"/>
      <w:r>
        <w:rPr>
          <w:rFonts w:ascii="Times New Roman" w:hAnsi="Times New Roman" w:cs="Times New Roman"/>
          <w:sz w:val="24"/>
        </w:rPr>
        <w:t>Change</w:t>
      </w:r>
      <w:proofErr w:type="spellEnd"/>
      <w:r>
        <w:rPr>
          <w:rFonts w:ascii="Times New Roman" w:hAnsi="Times New Roman" w:cs="Times New Roman"/>
          <w:sz w:val="24"/>
        </w:rPr>
        <w:t xml:space="preserve"> in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Mexican</w:t>
      </w:r>
      <w:proofErr w:type="spellEnd"/>
      <w:r>
        <w:rPr>
          <w:rFonts w:ascii="Times New Roman" w:hAnsi="Times New Roman" w:cs="Times New Roman"/>
          <w:sz w:val="24"/>
        </w:rPr>
        <w:t xml:space="preserve"> Peso/US </w:t>
      </w:r>
      <w:proofErr w:type="spellStart"/>
      <w:r>
        <w:rPr>
          <w:rFonts w:ascii="Times New Roman" w:hAnsi="Times New Roman" w:cs="Times New Roman"/>
          <w:sz w:val="24"/>
        </w:rPr>
        <w:t>Dollar</w:t>
      </w:r>
      <w:proofErr w:type="spellEnd"/>
      <w:r>
        <w:rPr>
          <w:rFonts w:ascii="Times New Roman" w:hAnsi="Times New Roman" w:cs="Times New Roman"/>
          <w:sz w:val="24"/>
        </w:rPr>
        <w:t xml:space="preserve"> Real Exchange </w:t>
      </w:r>
      <w:proofErr w:type="spellStart"/>
      <w:r>
        <w:rPr>
          <w:rFonts w:ascii="Times New Roman" w:hAnsi="Times New Roman" w:cs="Times New Roman"/>
          <w:sz w:val="24"/>
        </w:rPr>
        <w:t>Rate</w:t>
      </w:r>
      <w:proofErr w:type="spellEnd"/>
      <w:r>
        <w:rPr>
          <w:rFonts w:ascii="Times New Roman" w:hAnsi="Times New Roman" w:cs="Times New Roman"/>
          <w:sz w:val="24"/>
        </w:rPr>
        <w:t xml:space="preserve">”. </w:t>
      </w:r>
      <w:r w:rsidRPr="00FD057D">
        <w:rPr>
          <w:rFonts w:ascii="Times New Roman" w:hAnsi="Times New Roman" w:cs="Times New Roman"/>
          <w:i/>
          <w:sz w:val="24"/>
        </w:rPr>
        <w:t>Estudios Económicos</w:t>
      </w:r>
      <w:r>
        <w:rPr>
          <w:rFonts w:ascii="Times New Roman" w:hAnsi="Times New Roman" w:cs="Times New Roman"/>
          <w:i/>
          <w:sz w:val="24"/>
        </w:rPr>
        <w:t xml:space="preserve">. </w:t>
      </w:r>
      <w:proofErr w:type="spellStart"/>
      <w:r>
        <w:rPr>
          <w:rFonts w:ascii="Times New Roman" w:hAnsi="Times New Roman" w:cs="Times New Roman"/>
          <w:sz w:val="24"/>
        </w:rPr>
        <w:t>Vol</w:t>
      </w:r>
      <w:proofErr w:type="spellEnd"/>
      <w:r>
        <w:rPr>
          <w:rFonts w:ascii="Times New Roman" w:hAnsi="Times New Roman" w:cs="Times New Roman"/>
          <w:sz w:val="24"/>
        </w:rPr>
        <w:t xml:space="preserve"> 18, </w:t>
      </w:r>
      <w:proofErr w:type="spellStart"/>
      <w:r>
        <w:rPr>
          <w:rFonts w:ascii="Times New Roman" w:hAnsi="Times New Roman" w:cs="Times New Roman"/>
          <w:sz w:val="24"/>
        </w:rPr>
        <w:t>núm</w:t>
      </w:r>
      <w:proofErr w:type="spellEnd"/>
      <w:r>
        <w:rPr>
          <w:rFonts w:ascii="Times New Roman" w:hAnsi="Times New Roman" w:cs="Times New Roman"/>
          <w:sz w:val="24"/>
        </w:rPr>
        <w:t xml:space="preserve"> 2.</w:t>
      </w:r>
    </w:p>
    <w:p w:rsidR="00E916C6" w:rsidRDefault="00E916C6" w:rsidP="001D2540">
      <w:pPr>
        <w:spacing w:line="276" w:lineRule="auto"/>
        <w:jc w:val="both"/>
        <w:rPr>
          <w:rFonts w:ascii="Times New Roman" w:hAnsi="Times New Roman" w:cs="Times New Roman"/>
          <w:sz w:val="24"/>
        </w:rPr>
      </w:pPr>
      <w:r>
        <w:rPr>
          <w:rFonts w:ascii="Times New Roman" w:hAnsi="Times New Roman" w:cs="Times New Roman"/>
          <w:sz w:val="24"/>
        </w:rPr>
        <w:t>Wallace, F;</w:t>
      </w:r>
      <w:r w:rsidRPr="00E916C6">
        <w:rPr>
          <w:rFonts w:ascii="Times New Roman" w:hAnsi="Times New Roman" w:cs="Times New Roman"/>
          <w:sz w:val="24"/>
        </w:rPr>
        <w:t xml:space="preserve"> Lozano</w:t>
      </w:r>
      <w:r>
        <w:rPr>
          <w:rFonts w:ascii="Times New Roman" w:hAnsi="Times New Roman" w:cs="Times New Roman"/>
          <w:sz w:val="24"/>
        </w:rPr>
        <w:t>, R y</w:t>
      </w:r>
      <w:r w:rsidRPr="00E916C6">
        <w:rPr>
          <w:rFonts w:ascii="Times New Roman" w:hAnsi="Times New Roman" w:cs="Times New Roman"/>
          <w:sz w:val="24"/>
        </w:rPr>
        <w:t xml:space="preserve"> Cabrera</w:t>
      </w:r>
      <w:r>
        <w:rPr>
          <w:rFonts w:ascii="Times New Roman" w:hAnsi="Times New Roman" w:cs="Times New Roman"/>
          <w:sz w:val="24"/>
        </w:rPr>
        <w:t>, L.</w:t>
      </w:r>
      <w:r w:rsidRPr="00E916C6">
        <w:rPr>
          <w:rFonts w:ascii="Times New Roman" w:hAnsi="Times New Roman" w:cs="Times New Roman"/>
          <w:sz w:val="24"/>
        </w:rPr>
        <w:t xml:space="preserve"> </w:t>
      </w:r>
      <w:r>
        <w:rPr>
          <w:rFonts w:ascii="Times New Roman" w:hAnsi="Times New Roman" w:cs="Times New Roman"/>
          <w:sz w:val="24"/>
        </w:rPr>
        <w:t>(2008)</w:t>
      </w:r>
      <w:r w:rsidRPr="00E916C6">
        <w:rPr>
          <w:rFonts w:ascii="Times New Roman" w:hAnsi="Times New Roman" w:cs="Times New Roman"/>
          <w:sz w:val="24"/>
        </w:rPr>
        <w:t xml:space="preserve"> "Pruebas de cointegración de paridad de poder de compra", </w:t>
      </w:r>
      <w:proofErr w:type="spellStart"/>
      <w:r w:rsidRPr="00E916C6">
        <w:rPr>
          <w:rFonts w:ascii="Times New Roman" w:hAnsi="Times New Roman" w:cs="Times New Roman"/>
          <w:i/>
          <w:sz w:val="24"/>
        </w:rPr>
        <w:t>Econoquantum</w:t>
      </w:r>
      <w:proofErr w:type="spellEnd"/>
      <w:r w:rsidRPr="00E916C6">
        <w:rPr>
          <w:rFonts w:ascii="Times New Roman" w:hAnsi="Times New Roman" w:cs="Times New Roman"/>
          <w:sz w:val="24"/>
        </w:rPr>
        <w:t>. Vol</w:t>
      </w:r>
      <w:r>
        <w:rPr>
          <w:rFonts w:ascii="Times New Roman" w:hAnsi="Times New Roman" w:cs="Times New Roman"/>
          <w:sz w:val="24"/>
        </w:rPr>
        <w:t>. 4, n</w:t>
      </w:r>
      <w:r w:rsidRPr="00E916C6">
        <w:rPr>
          <w:rFonts w:ascii="Times New Roman" w:hAnsi="Times New Roman" w:cs="Times New Roman"/>
          <w:sz w:val="24"/>
        </w:rPr>
        <w:t>úm</w:t>
      </w:r>
      <w:r>
        <w:rPr>
          <w:rFonts w:ascii="Times New Roman" w:hAnsi="Times New Roman" w:cs="Times New Roman"/>
          <w:sz w:val="24"/>
        </w:rPr>
        <w:t>.</w:t>
      </w:r>
      <w:r w:rsidRPr="00E916C6">
        <w:rPr>
          <w:rFonts w:ascii="Times New Roman" w:hAnsi="Times New Roman" w:cs="Times New Roman"/>
          <w:sz w:val="24"/>
        </w:rPr>
        <w:t xml:space="preserve"> 2</w:t>
      </w:r>
    </w:p>
    <w:p w:rsidR="00E916C6" w:rsidRDefault="00E916C6" w:rsidP="001D2540">
      <w:pPr>
        <w:spacing w:line="276" w:lineRule="auto"/>
        <w:jc w:val="both"/>
        <w:rPr>
          <w:rFonts w:ascii="Times New Roman" w:hAnsi="Times New Roman" w:cs="Times New Roman"/>
          <w:sz w:val="24"/>
        </w:rPr>
      </w:pPr>
      <w:r>
        <w:rPr>
          <w:rFonts w:ascii="Times New Roman" w:hAnsi="Times New Roman" w:cs="Times New Roman"/>
          <w:sz w:val="24"/>
        </w:rPr>
        <w:t>Wallace, F</w:t>
      </w:r>
      <w:r w:rsidR="00FD55EB">
        <w:rPr>
          <w:rFonts w:ascii="Times New Roman" w:hAnsi="Times New Roman" w:cs="Times New Roman"/>
          <w:sz w:val="24"/>
        </w:rPr>
        <w:t>.</w:t>
      </w:r>
      <w:r w:rsidRPr="00E916C6">
        <w:rPr>
          <w:rFonts w:ascii="Times New Roman" w:hAnsi="Times New Roman" w:cs="Times New Roman"/>
          <w:sz w:val="24"/>
        </w:rPr>
        <w:t xml:space="preserve"> Shelley</w:t>
      </w:r>
      <w:r>
        <w:rPr>
          <w:rFonts w:ascii="Times New Roman" w:hAnsi="Times New Roman" w:cs="Times New Roman"/>
          <w:sz w:val="24"/>
        </w:rPr>
        <w:t>, G y</w:t>
      </w:r>
      <w:r w:rsidRPr="00E916C6">
        <w:rPr>
          <w:rFonts w:ascii="Times New Roman" w:hAnsi="Times New Roman" w:cs="Times New Roman"/>
          <w:sz w:val="24"/>
        </w:rPr>
        <w:t xml:space="preserve"> Cabrera</w:t>
      </w:r>
      <w:r>
        <w:rPr>
          <w:rFonts w:ascii="Times New Roman" w:hAnsi="Times New Roman" w:cs="Times New Roman"/>
          <w:sz w:val="24"/>
        </w:rPr>
        <w:t>, L</w:t>
      </w:r>
      <w:r w:rsidR="006916B1">
        <w:rPr>
          <w:rFonts w:ascii="Times New Roman" w:hAnsi="Times New Roman" w:cs="Times New Roman"/>
          <w:sz w:val="24"/>
        </w:rPr>
        <w:t>.</w:t>
      </w:r>
      <w:r w:rsidRPr="00E916C6">
        <w:rPr>
          <w:rFonts w:ascii="Times New Roman" w:hAnsi="Times New Roman" w:cs="Times New Roman"/>
          <w:sz w:val="24"/>
        </w:rPr>
        <w:t xml:space="preserve"> </w:t>
      </w:r>
      <w:r w:rsidR="006916B1">
        <w:rPr>
          <w:rFonts w:ascii="Times New Roman" w:hAnsi="Times New Roman" w:cs="Times New Roman"/>
          <w:sz w:val="24"/>
        </w:rPr>
        <w:t>(</w:t>
      </w:r>
      <w:r w:rsidRPr="00E916C6">
        <w:rPr>
          <w:rFonts w:ascii="Times New Roman" w:hAnsi="Times New Roman" w:cs="Times New Roman"/>
          <w:sz w:val="24"/>
        </w:rPr>
        <w:t>2011</w:t>
      </w:r>
      <w:r w:rsidR="006916B1">
        <w:rPr>
          <w:rFonts w:ascii="Times New Roman" w:hAnsi="Times New Roman" w:cs="Times New Roman"/>
          <w:sz w:val="24"/>
        </w:rPr>
        <w:t>)</w:t>
      </w:r>
      <w:r w:rsidRPr="00E916C6">
        <w:rPr>
          <w:rFonts w:ascii="Times New Roman" w:hAnsi="Times New Roman" w:cs="Times New Roman"/>
          <w:sz w:val="24"/>
        </w:rPr>
        <w:t xml:space="preserve"> "La paridad de poder de compra en México (1930-1960)</w:t>
      </w:r>
      <w:r w:rsidR="006916B1">
        <w:rPr>
          <w:rFonts w:ascii="Times New Roman" w:hAnsi="Times New Roman" w:cs="Times New Roman"/>
          <w:sz w:val="24"/>
        </w:rPr>
        <w:t>”</w:t>
      </w:r>
      <w:r w:rsidRPr="00E916C6">
        <w:rPr>
          <w:rFonts w:ascii="Times New Roman" w:hAnsi="Times New Roman" w:cs="Times New Roman"/>
          <w:sz w:val="24"/>
        </w:rPr>
        <w:t xml:space="preserve">, </w:t>
      </w:r>
      <w:r w:rsidRPr="006916B1">
        <w:rPr>
          <w:rFonts w:ascii="Times New Roman" w:hAnsi="Times New Roman" w:cs="Times New Roman"/>
          <w:i/>
          <w:sz w:val="24"/>
        </w:rPr>
        <w:t>El Trimestre Económico</w:t>
      </w:r>
      <w:r w:rsidRPr="00E916C6">
        <w:rPr>
          <w:rFonts w:ascii="Times New Roman" w:hAnsi="Times New Roman" w:cs="Times New Roman"/>
          <w:sz w:val="24"/>
        </w:rPr>
        <w:t xml:space="preserve">. </w:t>
      </w:r>
      <w:proofErr w:type="spellStart"/>
      <w:r w:rsidRPr="00E916C6">
        <w:rPr>
          <w:rFonts w:ascii="Times New Roman" w:hAnsi="Times New Roman" w:cs="Times New Roman"/>
          <w:sz w:val="24"/>
        </w:rPr>
        <w:t>Vol</w:t>
      </w:r>
      <w:proofErr w:type="spellEnd"/>
      <w:r w:rsidRPr="00E916C6">
        <w:rPr>
          <w:rFonts w:ascii="Times New Roman" w:hAnsi="Times New Roman" w:cs="Times New Roman"/>
          <w:sz w:val="24"/>
        </w:rPr>
        <w:t xml:space="preserve"> LXXVIII, </w:t>
      </w:r>
      <w:proofErr w:type="spellStart"/>
      <w:r w:rsidRPr="00E916C6">
        <w:rPr>
          <w:rFonts w:ascii="Times New Roman" w:hAnsi="Times New Roman" w:cs="Times New Roman"/>
          <w:sz w:val="24"/>
        </w:rPr>
        <w:t>núm</w:t>
      </w:r>
      <w:proofErr w:type="spellEnd"/>
      <w:r w:rsidRPr="00E916C6">
        <w:rPr>
          <w:rFonts w:ascii="Times New Roman" w:hAnsi="Times New Roman" w:cs="Times New Roman"/>
          <w:sz w:val="24"/>
        </w:rPr>
        <w:t xml:space="preserve"> 311</w:t>
      </w:r>
    </w:p>
    <w:p w:rsidR="0051452F" w:rsidRDefault="0051452F" w:rsidP="001D2540">
      <w:pPr>
        <w:spacing w:line="276" w:lineRule="auto"/>
        <w:jc w:val="both"/>
        <w:rPr>
          <w:rFonts w:ascii="Times New Roman" w:hAnsi="Times New Roman" w:cs="Times New Roman"/>
          <w:sz w:val="24"/>
        </w:rPr>
      </w:pPr>
      <w:proofErr w:type="spellStart"/>
      <w:r>
        <w:rPr>
          <w:rFonts w:ascii="Times New Roman" w:hAnsi="Times New Roman" w:cs="Times New Roman"/>
          <w:sz w:val="24"/>
        </w:rPr>
        <w:t>Zivot</w:t>
      </w:r>
      <w:proofErr w:type="spellEnd"/>
      <w:r>
        <w:rPr>
          <w:rFonts w:ascii="Times New Roman" w:hAnsi="Times New Roman" w:cs="Times New Roman"/>
          <w:sz w:val="24"/>
        </w:rPr>
        <w:t>, E y Andrews, K. (1992), “</w:t>
      </w:r>
      <w:proofErr w:type="spellStart"/>
      <w:r>
        <w:rPr>
          <w:rFonts w:ascii="Times New Roman" w:hAnsi="Times New Roman" w:cs="Times New Roman"/>
          <w:sz w:val="24"/>
        </w:rPr>
        <w:t>Further</w:t>
      </w:r>
      <w:proofErr w:type="spellEnd"/>
      <w:r>
        <w:rPr>
          <w:rFonts w:ascii="Times New Roman" w:hAnsi="Times New Roman" w:cs="Times New Roman"/>
          <w:sz w:val="24"/>
        </w:rPr>
        <w:t xml:space="preserve"> </w:t>
      </w:r>
      <w:proofErr w:type="spellStart"/>
      <w:r>
        <w:rPr>
          <w:rFonts w:ascii="Times New Roman" w:hAnsi="Times New Roman" w:cs="Times New Roman"/>
          <w:sz w:val="24"/>
        </w:rPr>
        <w:t>Evidence</w:t>
      </w:r>
      <w:proofErr w:type="spellEnd"/>
      <w:r>
        <w:rPr>
          <w:rFonts w:ascii="Times New Roman" w:hAnsi="Times New Roman" w:cs="Times New Roman"/>
          <w:sz w:val="24"/>
        </w:rPr>
        <w:t xml:space="preserve"> </w:t>
      </w:r>
      <w:proofErr w:type="spellStart"/>
      <w:r>
        <w:rPr>
          <w:rFonts w:ascii="Times New Roman" w:hAnsi="Times New Roman" w:cs="Times New Roman"/>
          <w:sz w:val="24"/>
        </w:rPr>
        <w:t>On</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Great </w:t>
      </w:r>
      <w:proofErr w:type="spellStart"/>
      <w:r>
        <w:rPr>
          <w:rFonts w:ascii="Times New Roman" w:hAnsi="Times New Roman" w:cs="Times New Roman"/>
          <w:sz w:val="24"/>
        </w:rPr>
        <w:t>Crash</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Oil</w:t>
      </w:r>
      <w:proofErr w:type="spellEnd"/>
      <w:r>
        <w:rPr>
          <w:rFonts w:ascii="Times New Roman" w:hAnsi="Times New Roman" w:cs="Times New Roman"/>
          <w:sz w:val="24"/>
        </w:rPr>
        <w:t xml:space="preserve"> Price Shock, and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Unit</w:t>
      </w:r>
      <w:proofErr w:type="spellEnd"/>
      <w:r>
        <w:rPr>
          <w:rFonts w:ascii="Times New Roman" w:hAnsi="Times New Roman" w:cs="Times New Roman"/>
          <w:sz w:val="24"/>
        </w:rPr>
        <w:t xml:space="preserve"> </w:t>
      </w:r>
      <w:proofErr w:type="spellStart"/>
      <w:r>
        <w:rPr>
          <w:rFonts w:ascii="Times New Roman" w:hAnsi="Times New Roman" w:cs="Times New Roman"/>
          <w:sz w:val="24"/>
        </w:rPr>
        <w:t>Root</w:t>
      </w:r>
      <w:proofErr w:type="spellEnd"/>
      <w:r>
        <w:rPr>
          <w:rFonts w:ascii="Times New Roman" w:hAnsi="Times New Roman" w:cs="Times New Roman"/>
          <w:sz w:val="24"/>
        </w:rPr>
        <w:t xml:space="preserve"> </w:t>
      </w:r>
      <w:proofErr w:type="spellStart"/>
      <w:r>
        <w:rPr>
          <w:rFonts w:ascii="Times New Roman" w:hAnsi="Times New Roman" w:cs="Times New Roman"/>
          <w:sz w:val="24"/>
        </w:rPr>
        <w:t>Hypothesis</w:t>
      </w:r>
      <w:proofErr w:type="spellEnd"/>
      <w:r>
        <w:rPr>
          <w:rFonts w:ascii="Times New Roman" w:hAnsi="Times New Roman" w:cs="Times New Roman"/>
          <w:sz w:val="24"/>
        </w:rPr>
        <w:t xml:space="preserve">”, </w:t>
      </w:r>
      <w:proofErr w:type="spellStart"/>
      <w:r w:rsidRPr="0051452F">
        <w:rPr>
          <w:rFonts w:ascii="Times New Roman" w:hAnsi="Times New Roman" w:cs="Times New Roman"/>
          <w:i/>
          <w:sz w:val="24"/>
        </w:rPr>
        <w:t>Journal</w:t>
      </w:r>
      <w:proofErr w:type="spellEnd"/>
      <w:r w:rsidRPr="0051452F">
        <w:rPr>
          <w:rFonts w:ascii="Times New Roman" w:hAnsi="Times New Roman" w:cs="Times New Roman"/>
          <w:i/>
          <w:sz w:val="24"/>
        </w:rPr>
        <w:t xml:space="preserve"> of Business and </w:t>
      </w:r>
      <w:proofErr w:type="spellStart"/>
      <w:r w:rsidRPr="0051452F">
        <w:rPr>
          <w:rFonts w:ascii="Times New Roman" w:hAnsi="Times New Roman" w:cs="Times New Roman"/>
          <w:i/>
          <w:sz w:val="24"/>
        </w:rPr>
        <w:t>Economic</w:t>
      </w:r>
      <w:proofErr w:type="spellEnd"/>
      <w:r w:rsidRPr="0051452F">
        <w:rPr>
          <w:rFonts w:ascii="Times New Roman" w:hAnsi="Times New Roman" w:cs="Times New Roman"/>
          <w:i/>
          <w:sz w:val="24"/>
        </w:rPr>
        <w:t xml:space="preserve"> </w:t>
      </w:r>
      <w:proofErr w:type="spellStart"/>
      <w:r w:rsidRPr="0051452F">
        <w:rPr>
          <w:rFonts w:ascii="Times New Roman" w:hAnsi="Times New Roman" w:cs="Times New Roman"/>
          <w:i/>
          <w:sz w:val="24"/>
        </w:rPr>
        <w:t>Statistics</w:t>
      </w:r>
      <w:proofErr w:type="spellEnd"/>
      <w:r>
        <w:rPr>
          <w:rFonts w:ascii="Times New Roman" w:hAnsi="Times New Roman" w:cs="Times New Roman"/>
          <w:sz w:val="24"/>
        </w:rPr>
        <w:t>, vol. 10, núm. 10</w:t>
      </w:r>
    </w:p>
    <w:p w:rsidR="00CF0E7A" w:rsidRDefault="00CF0E7A" w:rsidP="001D2540">
      <w:pPr>
        <w:spacing w:line="276" w:lineRule="auto"/>
        <w:jc w:val="both"/>
        <w:rPr>
          <w:rFonts w:ascii="Times New Roman" w:hAnsi="Times New Roman" w:cs="Times New Roman"/>
          <w:sz w:val="24"/>
        </w:rPr>
      </w:pPr>
    </w:p>
    <w:p w:rsidR="00EC044C" w:rsidRDefault="00EC044C" w:rsidP="001D2540">
      <w:pPr>
        <w:spacing w:line="276" w:lineRule="auto"/>
        <w:jc w:val="both"/>
        <w:rPr>
          <w:rFonts w:ascii="Times New Roman" w:hAnsi="Times New Roman" w:cs="Times New Roman"/>
          <w:sz w:val="24"/>
        </w:rPr>
      </w:pPr>
    </w:p>
    <w:p w:rsidR="00EC044C" w:rsidRDefault="00EC044C" w:rsidP="001D2540">
      <w:pPr>
        <w:spacing w:line="276" w:lineRule="auto"/>
        <w:jc w:val="both"/>
        <w:rPr>
          <w:rFonts w:ascii="Times New Roman" w:hAnsi="Times New Roman" w:cs="Times New Roman"/>
          <w:sz w:val="24"/>
        </w:rPr>
      </w:pPr>
    </w:p>
    <w:p w:rsidR="00EC044C" w:rsidRDefault="00EC044C" w:rsidP="001D2540">
      <w:pPr>
        <w:spacing w:line="276" w:lineRule="auto"/>
        <w:jc w:val="both"/>
        <w:rPr>
          <w:rFonts w:ascii="Times New Roman" w:hAnsi="Times New Roman" w:cs="Times New Roman"/>
          <w:sz w:val="24"/>
        </w:rPr>
      </w:pPr>
    </w:p>
    <w:p w:rsidR="00EC044C" w:rsidRDefault="00EC044C" w:rsidP="001D2540">
      <w:pPr>
        <w:spacing w:line="276" w:lineRule="auto"/>
        <w:jc w:val="both"/>
        <w:rPr>
          <w:rFonts w:ascii="Times New Roman" w:hAnsi="Times New Roman" w:cs="Times New Roman"/>
          <w:sz w:val="24"/>
        </w:rPr>
      </w:pPr>
    </w:p>
    <w:p w:rsidR="00CF0E7A" w:rsidRDefault="00CF0E7A" w:rsidP="001D2540">
      <w:pPr>
        <w:spacing w:line="276" w:lineRule="auto"/>
        <w:jc w:val="both"/>
        <w:rPr>
          <w:rFonts w:ascii="Times New Roman" w:hAnsi="Times New Roman" w:cs="Times New Roman"/>
          <w:b/>
          <w:sz w:val="24"/>
        </w:rPr>
      </w:pPr>
      <w:r w:rsidRPr="00AB2461">
        <w:rPr>
          <w:rFonts w:ascii="Times New Roman" w:hAnsi="Times New Roman" w:cs="Times New Roman"/>
          <w:b/>
          <w:sz w:val="24"/>
        </w:rPr>
        <w:lastRenderedPageBreak/>
        <w:t>Apéndice I. Series Utilizadas para el análisis.</w:t>
      </w:r>
    </w:p>
    <w:p w:rsidR="00514DFD" w:rsidRPr="00514DFD" w:rsidRDefault="00514DFD" w:rsidP="001D2540">
      <w:pPr>
        <w:spacing w:line="276" w:lineRule="auto"/>
        <w:jc w:val="both"/>
        <w:rPr>
          <w:rFonts w:ascii="Times New Roman" w:hAnsi="Times New Roman" w:cs="Times New Roman"/>
          <w:b/>
          <w:sz w:val="24"/>
        </w:rPr>
      </w:pPr>
    </w:p>
    <w:p w:rsidR="00514DFD" w:rsidRDefault="00514DFD" w:rsidP="00AB2461">
      <w:pPr>
        <w:spacing w:line="276" w:lineRule="auto"/>
        <w:jc w:val="center"/>
        <w:rPr>
          <w:rFonts w:ascii="Times New Roman" w:hAnsi="Times New Roman" w:cs="Times New Roman"/>
          <w:sz w:val="24"/>
        </w:rPr>
      </w:pPr>
      <w:r>
        <w:rPr>
          <w:rFonts w:ascii="Times New Roman" w:hAnsi="Times New Roman" w:cs="Times New Roman"/>
          <w:noProof/>
          <w:sz w:val="24"/>
          <w:lang w:eastAsia="es-419"/>
        </w:rPr>
        <w:drawing>
          <wp:inline distT="0" distB="0" distL="0" distR="0">
            <wp:extent cx="4320000" cy="3145005"/>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3145005"/>
                    </a:xfrm>
                    <a:prstGeom prst="rect">
                      <a:avLst/>
                    </a:prstGeom>
                  </pic:spPr>
                </pic:pic>
              </a:graphicData>
            </a:graphic>
          </wp:inline>
        </w:drawing>
      </w:r>
    </w:p>
    <w:p w:rsidR="00514DFD" w:rsidRDefault="00514DFD" w:rsidP="00AB2461">
      <w:pPr>
        <w:spacing w:line="276" w:lineRule="auto"/>
        <w:jc w:val="center"/>
        <w:rPr>
          <w:rFonts w:ascii="Times New Roman" w:hAnsi="Times New Roman" w:cs="Times New Roman"/>
          <w:sz w:val="24"/>
        </w:rPr>
      </w:pPr>
    </w:p>
    <w:p w:rsidR="00514DFD" w:rsidRDefault="00514DFD" w:rsidP="00AB2461">
      <w:pPr>
        <w:spacing w:line="276" w:lineRule="auto"/>
        <w:jc w:val="center"/>
        <w:rPr>
          <w:rFonts w:ascii="Times New Roman" w:hAnsi="Times New Roman" w:cs="Times New Roman"/>
          <w:sz w:val="24"/>
        </w:rPr>
      </w:pPr>
      <w:r>
        <w:rPr>
          <w:rFonts w:ascii="Times New Roman" w:hAnsi="Times New Roman" w:cs="Times New Roman"/>
          <w:noProof/>
          <w:sz w:val="24"/>
          <w:lang w:eastAsia="es-419"/>
        </w:rPr>
        <w:drawing>
          <wp:inline distT="0" distB="0" distL="0" distR="0">
            <wp:extent cx="4320000" cy="3145005"/>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1.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3145005"/>
                    </a:xfrm>
                    <a:prstGeom prst="rect">
                      <a:avLst/>
                    </a:prstGeom>
                  </pic:spPr>
                </pic:pic>
              </a:graphicData>
            </a:graphic>
          </wp:inline>
        </w:drawing>
      </w:r>
    </w:p>
    <w:p w:rsidR="00514DFD" w:rsidRDefault="00514DFD" w:rsidP="00514DFD">
      <w:pPr>
        <w:spacing w:line="276" w:lineRule="auto"/>
        <w:jc w:val="center"/>
        <w:rPr>
          <w:rFonts w:ascii="Times New Roman" w:hAnsi="Times New Roman" w:cs="Times New Roman"/>
          <w:sz w:val="24"/>
        </w:rPr>
      </w:pPr>
      <w:r>
        <w:rPr>
          <w:rFonts w:ascii="Times New Roman" w:hAnsi="Times New Roman" w:cs="Times New Roman"/>
          <w:noProof/>
          <w:sz w:val="24"/>
          <w:lang w:eastAsia="es-419"/>
        </w:rPr>
        <w:lastRenderedPageBreak/>
        <w:drawing>
          <wp:inline distT="0" distB="0" distL="0" distR="0">
            <wp:extent cx="4320000" cy="3145005"/>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2.png"/>
                    <pic:cNvPicPr/>
                  </pic:nvPicPr>
                  <pic:blipFill>
                    <a:blip r:embed="rId17">
                      <a:extLst>
                        <a:ext uri="{28A0092B-C50C-407E-A947-70E740481C1C}">
                          <a14:useLocalDpi xmlns:a14="http://schemas.microsoft.com/office/drawing/2010/main" val="0"/>
                        </a:ext>
                      </a:extLst>
                    </a:blip>
                    <a:stretch>
                      <a:fillRect/>
                    </a:stretch>
                  </pic:blipFill>
                  <pic:spPr>
                    <a:xfrm>
                      <a:off x="0" y="0"/>
                      <a:ext cx="4320000" cy="3145005"/>
                    </a:xfrm>
                    <a:prstGeom prst="rect">
                      <a:avLst/>
                    </a:prstGeom>
                  </pic:spPr>
                </pic:pic>
              </a:graphicData>
            </a:graphic>
          </wp:inline>
        </w:drawing>
      </w:r>
    </w:p>
    <w:p w:rsidR="00514DFD" w:rsidRDefault="00514DFD" w:rsidP="00514DFD">
      <w:pPr>
        <w:spacing w:line="276" w:lineRule="auto"/>
        <w:jc w:val="center"/>
        <w:rPr>
          <w:rFonts w:ascii="Times New Roman" w:hAnsi="Times New Roman" w:cs="Times New Roman"/>
          <w:sz w:val="24"/>
        </w:rPr>
      </w:pPr>
    </w:p>
    <w:p w:rsidR="00514DFD" w:rsidRDefault="00514DFD" w:rsidP="00514DFD">
      <w:pPr>
        <w:spacing w:line="276" w:lineRule="auto"/>
        <w:jc w:val="center"/>
        <w:rPr>
          <w:rFonts w:ascii="Times New Roman" w:hAnsi="Times New Roman" w:cs="Times New Roman"/>
          <w:sz w:val="24"/>
        </w:rPr>
      </w:pPr>
    </w:p>
    <w:p w:rsidR="00514DFD" w:rsidRDefault="00514DFD" w:rsidP="00AB2461">
      <w:pPr>
        <w:spacing w:line="276" w:lineRule="auto"/>
        <w:jc w:val="center"/>
        <w:rPr>
          <w:rFonts w:ascii="Times New Roman" w:hAnsi="Times New Roman" w:cs="Times New Roman"/>
          <w:sz w:val="24"/>
        </w:rPr>
      </w:pPr>
      <w:r>
        <w:rPr>
          <w:rFonts w:ascii="Times New Roman" w:hAnsi="Times New Roman" w:cs="Times New Roman"/>
          <w:noProof/>
          <w:sz w:val="24"/>
          <w:lang w:eastAsia="es-419"/>
        </w:rPr>
        <w:drawing>
          <wp:inline distT="0" distB="0" distL="0" distR="0">
            <wp:extent cx="4320000" cy="314500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3.png"/>
                    <pic:cNvPicPr/>
                  </pic:nvPicPr>
                  <pic:blipFill>
                    <a:blip r:embed="rId18">
                      <a:extLst>
                        <a:ext uri="{28A0092B-C50C-407E-A947-70E740481C1C}">
                          <a14:useLocalDpi xmlns:a14="http://schemas.microsoft.com/office/drawing/2010/main" val="0"/>
                        </a:ext>
                      </a:extLst>
                    </a:blip>
                    <a:stretch>
                      <a:fillRect/>
                    </a:stretch>
                  </pic:blipFill>
                  <pic:spPr>
                    <a:xfrm>
                      <a:off x="0" y="0"/>
                      <a:ext cx="4320000" cy="3145005"/>
                    </a:xfrm>
                    <a:prstGeom prst="rect">
                      <a:avLst/>
                    </a:prstGeom>
                  </pic:spPr>
                </pic:pic>
              </a:graphicData>
            </a:graphic>
          </wp:inline>
        </w:drawing>
      </w:r>
    </w:p>
    <w:p w:rsidR="00AB2461" w:rsidRDefault="00514DFD" w:rsidP="00AB2461">
      <w:pPr>
        <w:spacing w:line="276" w:lineRule="auto"/>
        <w:jc w:val="center"/>
        <w:rPr>
          <w:rFonts w:ascii="Times New Roman" w:hAnsi="Times New Roman" w:cs="Times New Roman"/>
          <w:sz w:val="24"/>
        </w:rPr>
      </w:pPr>
      <w:r>
        <w:rPr>
          <w:rFonts w:ascii="Times New Roman" w:hAnsi="Times New Roman" w:cs="Times New Roman"/>
          <w:noProof/>
          <w:sz w:val="24"/>
          <w:lang w:eastAsia="es-419"/>
        </w:rPr>
        <w:lastRenderedPageBreak/>
        <w:drawing>
          <wp:inline distT="0" distB="0" distL="0" distR="0">
            <wp:extent cx="4320000" cy="3145005"/>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4.png"/>
                    <pic:cNvPicPr/>
                  </pic:nvPicPr>
                  <pic:blipFill>
                    <a:blip r:embed="rId19">
                      <a:extLst>
                        <a:ext uri="{28A0092B-C50C-407E-A947-70E740481C1C}">
                          <a14:useLocalDpi xmlns:a14="http://schemas.microsoft.com/office/drawing/2010/main" val="0"/>
                        </a:ext>
                      </a:extLst>
                    </a:blip>
                    <a:stretch>
                      <a:fillRect/>
                    </a:stretch>
                  </pic:blipFill>
                  <pic:spPr>
                    <a:xfrm>
                      <a:off x="0" y="0"/>
                      <a:ext cx="4320000" cy="3145005"/>
                    </a:xfrm>
                    <a:prstGeom prst="rect">
                      <a:avLst/>
                    </a:prstGeom>
                  </pic:spPr>
                </pic:pic>
              </a:graphicData>
            </a:graphic>
          </wp:inline>
        </w:drawing>
      </w:r>
    </w:p>
    <w:p w:rsidR="00AB2461" w:rsidRDefault="00AB2461" w:rsidP="00AB2461">
      <w:pPr>
        <w:spacing w:line="276" w:lineRule="auto"/>
        <w:jc w:val="center"/>
        <w:rPr>
          <w:rFonts w:ascii="Times New Roman" w:hAnsi="Times New Roman" w:cs="Times New Roman"/>
          <w:sz w:val="24"/>
        </w:rPr>
      </w:pPr>
    </w:p>
    <w:p w:rsidR="00CF0E7A" w:rsidRDefault="00CF0E7A" w:rsidP="00AB2461">
      <w:pPr>
        <w:spacing w:line="276" w:lineRule="auto"/>
        <w:jc w:val="center"/>
        <w:rPr>
          <w:rFonts w:ascii="Times New Roman" w:hAnsi="Times New Roman" w:cs="Times New Roman"/>
          <w:sz w:val="24"/>
        </w:rPr>
      </w:pPr>
    </w:p>
    <w:p w:rsidR="00CF0E7A" w:rsidRDefault="00CF0E7A" w:rsidP="001D2540">
      <w:pPr>
        <w:spacing w:line="276" w:lineRule="auto"/>
        <w:jc w:val="both"/>
        <w:rPr>
          <w:rFonts w:ascii="Times New Roman" w:hAnsi="Times New Roman" w:cs="Times New Roman"/>
          <w:sz w:val="24"/>
        </w:rPr>
      </w:pPr>
    </w:p>
    <w:p w:rsidR="00CF0E7A" w:rsidRDefault="00CF0E7A" w:rsidP="001D2540">
      <w:pPr>
        <w:spacing w:line="276" w:lineRule="auto"/>
        <w:jc w:val="both"/>
        <w:rPr>
          <w:rFonts w:ascii="Times New Roman" w:hAnsi="Times New Roman" w:cs="Times New Roman"/>
          <w:sz w:val="24"/>
        </w:rPr>
      </w:pPr>
    </w:p>
    <w:p w:rsidR="00CF0E7A" w:rsidRDefault="00CF0E7A" w:rsidP="001D2540">
      <w:pPr>
        <w:spacing w:line="276" w:lineRule="auto"/>
        <w:jc w:val="both"/>
        <w:rPr>
          <w:rFonts w:ascii="Times New Roman" w:hAnsi="Times New Roman" w:cs="Times New Roman"/>
          <w:b/>
          <w:sz w:val="24"/>
        </w:rPr>
      </w:pPr>
      <w:r w:rsidRPr="00AB2461">
        <w:rPr>
          <w:rFonts w:ascii="Times New Roman" w:hAnsi="Times New Roman" w:cs="Times New Roman"/>
          <w:b/>
          <w:sz w:val="24"/>
        </w:rPr>
        <w:t>Apéndice II. Resultados para las estimaciones del orden de integración de las series.</w:t>
      </w:r>
    </w:p>
    <w:p w:rsidR="00AB2461" w:rsidRDefault="00AB2461" w:rsidP="001D2540">
      <w:pPr>
        <w:spacing w:line="276" w:lineRule="auto"/>
        <w:jc w:val="both"/>
        <w:rPr>
          <w:rFonts w:ascii="Times New Roman" w:hAnsi="Times New Roman" w:cs="Times New Roman"/>
          <w:b/>
          <w:sz w:val="24"/>
        </w:rPr>
      </w:pPr>
    </w:p>
    <w:p w:rsidR="00AB2461" w:rsidRPr="00514DFD" w:rsidRDefault="00D31F9E" w:rsidP="001D2540">
      <w:pPr>
        <w:spacing w:line="276" w:lineRule="auto"/>
        <w:jc w:val="both"/>
        <w:rPr>
          <w:rFonts w:ascii="Times New Roman" w:hAnsi="Times New Roman" w:cs="Times New Roman"/>
          <w:i/>
          <w:sz w:val="24"/>
        </w:rPr>
      </w:pPr>
      <w:r w:rsidRPr="00514DFD">
        <w:rPr>
          <w:rFonts w:ascii="Times New Roman" w:hAnsi="Times New Roman" w:cs="Times New Roman"/>
          <w:i/>
          <w:sz w:val="24"/>
        </w:rPr>
        <w:t>Para las series en niveles</w:t>
      </w:r>
    </w:p>
    <w:p w:rsidR="00D31F9E" w:rsidRDefault="000D5163" w:rsidP="001D2540">
      <w:pPr>
        <w:spacing w:line="276" w:lineRule="auto"/>
        <w:jc w:val="both"/>
        <w:rPr>
          <w:rFonts w:ascii="Times New Roman" w:hAnsi="Times New Roman" w:cs="Times New Roman"/>
          <w:b/>
          <w:sz w:val="24"/>
        </w:rPr>
      </w:pPr>
      <w:r w:rsidRPr="000D5163">
        <w:rPr>
          <w:noProof/>
          <w:lang w:eastAsia="es-419"/>
        </w:rPr>
        <w:drawing>
          <wp:inline distT="0" distB="0" distL="0" distR="0">
            <wp:extent cx="5344795" cy="1497965"/>
            <wp:effectExtent l="0" t="0" r="825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4795" cy="1497965"/>
                    </a:xfrm>
                    <a:prstGeom prst="rect">
                      <a:avLst/>
                    </a:prstGeom>
                    <a:noFill/>
                    <a:ln>
                      <a:noFill/>
                    </a:ln>
                  </pic:spPr>
                </pic:pic>
              </a:graphicData>
            </a:graphic>
          </wp:inline>
        </w:drawing>
      </w:r>
    </w:p>
    <w:p w:rsidR="000D5163" w:rsidRDefault="000D5163" w:rsidP="001D2540">
      <w:pPr>
        <w:spacing w:line="276" w:lineRule="auto"/>
        <w:jc w:val="both"/>
        <w:rPr>
          <w:rFonts w:ascii="Times New Roman" w:hAnsi="Times New Roman" w:cs="Times New Roman"/>
          <w:b/>
          <w:sz w:val="24"/>
        </w:rPr>
      </w:pPr>
    </w:p>
    <w:p w:rsidR="000D5163" w:rsidRDefault="000D5163" w:rsidP="001D2540">
      <w:pPr>
        <w:spacing w:line="276" w:lineRule="auto"/>
        <w:jc w:val="both"/>
        <w:rPr>
          <w:rFonts w:ascii="Times New Roman" w:hAnsi="Times New Roman" w:cs="Times New Roman"/>
          <w:b/>
          <w:sz w:val="24"/>
        </w:rPr>
      </w:pPr>
      <w:r w:rsidRPr="000D5163">
        <w:rPr>
          <w:noProof/>
          <w:lang w:eastAsia="es-419"/>
        </w:rPr>
        <w:drawing>
          <wp:inline distT="0" distB="0" distL="0" distR="0">
            <wp:extent cx="5344795" cy="1292860"/>
            <wp:effectExtent l="0" t="0" r="825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4795" cy="1292860"/>
                    </a:xfrm>
                    <a:prstGeom prst="rect">
                      <a:avLst/>
                    </a:prstGeom>
                    <a:noFill/>
                    <a:ln>
                      <a:noFill/>
                    </a:ln>
                  </pic:spPr>
                </pic:pic>
              </a:graphicData>
            </a:graphic>
          </wp:inline>
        </w:drawing>
      </w:r>
    </w:p>
    <w:p w:rsidR="00D31F9E" w:rsidRDefault="00D31F9E" w:rsidP="001D2540">
      <w:pPr>
        <w:spacing w:line="276" w:lineRule="auto"/>
        <w:jc w:val="both"/>
        <w:rPr>
          <w:rFonts w:ascii="Times New Roman" w:hAnsi="Times New Roman" w:cs="Times New Roman"/>
          <w:b/>
          <w:sz w:val="24"/>
        </w:rPr>
      </w:pPr>
    </w:p>
    <w:p w:rsidR="00D31F9E" w:rsidRPr="00514DFD" w:rsidRDefault="00D31F9E" w:rsidP="001D2540">
      <w:pPr>
        <w:spacing w:line="276" w:lineRule="auto"/>
        <w:jc w:val="both"/>
        <w:rPr>
          <w:rFonts w:ascii="Times New Roman" w:hAnsi="Times New Roman" w:cs="Times New Roman"/>
          <w:i/>
          <w:sz w:val="24"/>
        </w:rPr>
      </w:pPr>
      <w:r w:rsidRPr="00514DFD">
        <w:rPr>
          <w:rFonts w:ascii="Times New Roman" w:hAnsi="Times New Roman" w:cs="Times New Roman"/>
          <w:i/>
          <w:sz w:val="24"/>
        </w:rPr>
        <w:t>Para las series diferenciadas</w:t>
      </w:r>
    </w:p>
    <w:p w:rsidR="000D5163" w:rsidRDefault="000D5163" w:rsidP="001D2540">
      <w:pPr>
        <w:spacing w:line="276" w:lineRule="auto"/>
        <w:jc w:val="both"/>
        <w:rPr>
          <w:rFonts w:ascii="Times New Roman" w:hAnsi="Times New Roman" w:cs="Times New Roman"/>
          <w:b/>
          <w:sz w:val="24"/>
        </w:rPr>
      </w:pPr>
    </w:p>
    <w:p w:rsidR="000D5163" w:rsidRDefault="000D5163" w:rsidP="001D2540">
      <w:pPr>
        <w:spacing w:line="276" w:lineRule="auto"/>
        <w:jc w:val="both"/>
        <w:rPr>
          <w:rFonts w:ascii="Times New Roman" w:hAnsi="Times New Roman" w:cs="Times New Roman"/>
          <w:b/>
          <w:sz w:val="24"/>
        </w:rPr>
      </w:pPr>
      <w:r w:rsidRPr="000D5163">
        <w:rPr>
          <w:noProof/>
          <w:lang w:eastAsia="es-419"/>
        </w:rPr>
        <w:drawing>
          <wp:inline distT="0" distB="0" distL="0" distR="0">
            <wp:extent cx="5344795" cy="118237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4795" cy="1182370"/>
                    </a:xfrm>
                    <a:prstGeom prst="rect">
                      <a:avLst/>
                    </a:prstGeom>
                    <a:noFill/>
                    <a:ln>
                      <a:noFill/>
                    </a:ln>
                  </pic:spPr>
                </pic:pic>
              </a:graphicData>
            </a:graphic>
          </wp:inline>
        </w:drawing>
      </w:r>
    </w:p>
    <w:p w:rsidR="000D5163" w:rsidRPr="00AB2461" w:rsidRDefault="002256E8" w:rsidP="001D2540">
      <w:pPr>
        <w:spacing w:line="276" w:lineRule="auto"/>
        <w:jc w:val="both"/>
        <w:rPr>
          <w:rFonts w:ascii="Times New Roman" w:hAnsi="Times New Roman" w:cs="Times New Roman"/>
          <w:b/>
          <w:sz w:val="24"/>
        </w:rPr>
      </w:pPr>
      <w:r w:rsidRPr="002256E8">
        <w:rPr>
          <w:noProof/>
          <w:lang w:eastAsia="es-419"/>
        </w:rPr>
        <w:drawing>
          <wp:inline distT="0" distB="0" distL="0" distR="0">
            <wp:extent cx="5344795" cy="1292860"/>
            <wp:effectExtent l="0" t="0" r="825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4795" cy="1292860"/>
                    </a:xfrm>
                    <a:prstGeom prst="rect">
                      <a:avLst/>
                    </a:prstGeom>
                    <a:noFill/>
                    <a:ln>
                      <a:noFill/>
                    </a:ln>
                  </pic:spPr>
                </pic:pic>
              </a:graphicData>
            </a:graphic>
          </wp:inline>
        </w:drawing>
      </w:r>
    </w:p>
    <w:sectPr w:rsidR="000D5163" w:rsidRPr="00AB24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FD1" w:rsidRDefault="00362FD1" w:rsidP="00E65FEF">
      <w:pPr>
        <w:spacing w:after="0" w:line="240" w:lineRule="auto"/>
      </w:pPr>
      <w:r>
        <w:separator/>
      </w:r>
    </w:p>
  </w:endnote>
  <w:endnote w:type="continuationSeparator" w:id="0">
    <w:p w:rsidR="00362FD1" w:rsidRDefault="00362FD1" w:rsidP="00E6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FD1" w:rsidRDefault="00362FD1" w:rsidP="00E65FEF">
      <w:pPr>
        <w:spacing w:after="0" w:line="240" w:lineRule="auto"/>
      </w:pPr>
      <w:r>
        <w:separator/>
      </w:r>
    </w:p>
  </w:footnote>
  <w:footnote w:type="continuationSeparator" w:id="0">
    <w:p w:rsidR="00362FD1" w:rsidRDefault="00362FD1" w:rsidP="00E65FEF">
      <w:pPr>
        <w:spacing w:after="0" w:line="240" w:lineRule="auto"/>
      </w:pPr>
      <w:r>
        <w:continuationSeparator/>
      </w:r>
    </w:p>
  </w:footnote>
  <w:footnote w:id="1">
    <w:p w:rsidR="00CF0E7A" w:rsidRPr="00FA7966" w:rsidRDefault="00CF0E7A">
      <w:pPr>
        <w:pStyle w:val="Textonotapie"/>
        <w:rPr>
          <w:sz w:val="22"/>
        </w:rPr>
      </w:pPr>
      <w:r w:rsidRPr="00FA7966">
        <w:rPr>
          <w:rStyle w:val="Refdenotaalpie"/>
          <w:sz w:val="22"/>
        </w:rPr>
        <w:footnoteRef/>
      </w:r>
      <w:r w:rsidRPr="00FA7966">
        <w:rPr>
          <w:sz w:val="22"/>
        </w:rPr>
        <w:t xml:space="preserve"> Palabras Clave: Paridad de Poder de Compra; Cointegración; Series de Tiempo; Tipo de Cambio Real.</w:t>
      </w:r>
    </w:p>
    <w:p w:rsidR="00CF0E7A" w:rsidRPr="00FA7966" w:rsidRDefault="00CF0E7A">
      <w:pPr>
        <w:pStyle w:val="Textonotapie"/>
        <w:rPr>
          <w:sz w:val="22"/>
        </w:rPr>
      </w:pPr>
      <w:r w:rsidRPr="00FA7966">
        <w:rPr>
          <w:sz w:val="22"/>
        </w:rPr>
        <w:t>Códigos JEL: C22, F31, E31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D298E"/>
    <w:multiLevelType w:val="hybridMultilevel"/>
    <w:tmpl w:val="9E1C0F6A"/>
    <w:lvl w:ilvl="0" w:tplc="580A0013">
      <w:start w:val="1"/>
      <w:numFmt w:val="upperRoman"/>
      <w:lvlText w:val="%1."/>
      <w:lvlJc w:val="righ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3E"/>
    <w:rsid w:val="00005169"/>
    <w:rsid w:val="0001400D"/>
    <w:rsid w:val="000934A5"/>
    <w:rsid w:val="000D3462"/>
    <w:rsid w:val="000D5163"/>
    <w:rsid w:val="001223BF"/>
    <w:rsid w:val="00125D8F"/>
    <w:rsid w:val="00144E40"/>
    <w:rsid w:val="00153389"/>
    <w:rsid w:val="001601BC"/>
    <w:rsid w:val="00181700"/>
    <w:rsid w:val="001A1BFB"/>
    <w:rsid w:val="001D2540"/>
    <w:rsid w:val="001E2E3A"/>
    <w:rsid w:val="001E51FF"/>
    <w:rsid w:val="001E6EBB"/>
    <w:rsid w:val="00214760"/>
    <w:rsid w:val="002256E8"/>
    <w:rsid w:val="00244F7C"/>
    <w:rsid w:val="00252FEC"/>
    <w:rsid w:val="00290149"/>
    <w:rsid w:val="002C2A2E"/>
    <w:rsid w:val="00301D8D"/>
    <w:rsid w:val="00306398"/>
    <w:rsid w:val="00331280"/>
    <w:rsid w:val="00333B7F"/>
    <w:rsid w:val="00362FD1"/>
    <w:rsid w:val="00380617"/>
    <w:rsid w:val="00383BC5"/>
    <w:rsid w:val="00386B5C"/>
    <w:rsid w:val="003D48AE"/>
    <w:rsid w:val="003F042A"/>
    <w:rsid w:val="00447432"/>
    <w:rsid w:val="0051452F"/>
    <w:rsid w:val="00514DFD"/>
    <w:rsid w:val="005460FA"/>
    <w:rsid w:val="005744C6"/>
    <w:rsid w:val="00577A59"/>
    <w:rsid w:val="005809DF"/>
    <w:rsid w:val="005A560C"/>
    <w:rsid w:val="005D7AC2"/>
    <w:rsid w:val="006012AC"/>
    <w:rsid w:val="00631116"/>
    <w:rsid w:val="006401D7"/>
    <w:rsid w:val="006709C1"/>
    <w:rsid w:val="006864F0"/>
    <w:rsid w:val="006915D6"/>
    <w:rsid w:val="006916B1"/>
    <w:rsid w:val="006C1784"/>
    <w:rsid w:val="006C4434"/>
    <w:rsid w:val="007424EC"/>
    <w:rsid w:val="007B67F5"/>
    <w:rsid w:val="007C3F7C"/>
    <w:rsid w:val="00847697"/>
    <w:rsid w:val="00874594"/>
    <w:rsid w:val="00884B29"/>
    <w:rsid w:val="008904F5"/>
    <w:rsid w:val="008E62FE"/>
    <w:rsid w:val="008F7CC5"/>
    <w:rsid w:val="0093395F"/>
    <w:rsid w:val="00940DD4"/>
    <w:rsid w:val="0095363A"/>
    <w:rsid w:val="009B3F9E"/>
    <w:rsid w:val="00A038B7"/>
    <w:rsid w:val="00A10A74"/>
    <w:rsid w:val="00A13B9E"/>
    <w:rsid w:val="00A26ADB"/>
    <w:rsid w:val="00A57B19"/>
    <w:rsid w:val="00AB2461"/>
    <w:rsid w:val="00AB5F75"/>
    <w:rsid w:val="00AB7B89"/>
    <w:rsid w:val="00B5305F"/>
    <w:rsid w:val="00B5538E"/>
    <w:rsid w:val="00B65500"/>
    <w:rsid w:val="00B7173E"/>
    <w:rsid w:val="00B83E53"/>
    <w:rsid w:val="00BB1C1E"/>
    <w:rsid w:val="00BB5144"/>
    <w:rsid w:val="00C22D63"/>
    <w:rsid w:val="00C574CF"/>
    <w:rsid w:val="00C959C3"/>
    <w:rsid w:val="00CD6B70"/>
    <w:rsid w:val="00CF0E7A"/>
    <w:rsid w:val="00D028F4"/>
    <w:rsid w:val="00D31F9E"/>
    <w:rsid w:val="00D51DA0"/>
    <w:rsid w:val="00D84B13"/>
    <w:rsid w:val="00D93D2C"/>
    <w:rsid w:val="00DA5A04"/>
    <w:rsid w:val="00DB1E10"/>
    <w:rsid w:val="00DC068A"/>
    <w:rsid w:val="00E30B5C"/>
    <w:rsid w:val="00E363CE"/>
    <w:rsid w:val="00E65FEF"/>
    <w:rsid w:val="00E75C17"/>
    <w:rsid w:val="00E916C6"/>
    <w:rsid w:val="00EC044C"/>
    <w:rsid w:val="00F357A9"/>
    <w:rsid w:val="00F43838"/>
    <w:rsid w:val="00F529C5"/>
    <w:rsid w:val="00F658B9"/>
    <w:rsid w:val="00FA7966"/>
    <w:rsid w:val="00FB55B1"/>
    <w:rsid w:val="00FD057D"/>
    <w:rsid w:val="00FD55E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2418"/>
  <w15:chartTrackingRefBased/>
  <w15:docId w15:val="{2C4B0FFB-8106-4A9B-8E2B-A90E4DD5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B9E"/>
    <w:pPr>
      <w:ind w:left="720"/>
      <w:contextualSpacing/>
    </w:pPr>
  </w:style>
  <w:style w:type="paragraph" w:styleId="Textonotapie">
    <w:name w:val="footnote text"/>
    <w:basedOn w:val="Normal"/>
    <w:link w:val="TextonotapieCar"/>
    <w:uiPriority w:val="99"/>
    <w:semiHidden/>
    <w:unhideWhenUsed/>
    <w:rsid w:val="00E65F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65FEF"/>
    <w:rPr>
      <w:sz w:val="20"/>
      <w:szCs w:val="20"/>
    </w:rPr>
  </w:style>
  <w:style w:type="character" w:styleId="Refdenotaalpie">
    <w:name w:val="footnote reference"/>
    <w:basedOn w:val="Fuentedeprrafopredeter"/>
    <w:uiPriority w:val="99"/>
    <w:semiHidden/>
    <w:unhideWhenUsed/>
    <w:rsid w:val="00E65FEF"/>
    <w:rPr>
      <w:vertAlign w:val="superscript"/>
    </w:rPr>
  </w:style>
  <w:style w:type="paragraph" w:styleId="Encabezado">
    <w:name w:val="header"/>
    <w:basedOn w:val="Normal"/>
    <w:link w:val="EncabezadoCar"/>
    <w:uiPriority w:val="99"/>
    <w:unhideWhenUsed/>
    <w:rsid w:val="00E65F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FEF"/>
  </w:style>
  <w:style w:type="paragraph" w:styleId="Piedepgina">
    <w:name w:val="footer"/>
    <w:basedOn w:val="Normal"/>
    <w:link w:val="PiedepginaCar"/>
    <w:uiPriority w:val="99"/>
    <w:unhideWhenUsed/>
    <w:rsid w:val="00E65F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FEF"/>
  </w:style>
  <w:style w:type="character" w:styleId="Textodelmarcadordeposicin">
    <w:name w:val="Placeholder Text"/>
    <w:basedOn w:val="Fuentedeprrafopredeter"/>
    <w:uiPriority w:val="99"/>
    <w:semiHidden/>
    <w:rsid w:val="00DC068A"/>
    <w:rPr>
      <w:color w:val="808080"/>
    </w:rPr>
  </w:style>
  <w:style w:type="table" w:styleId="Tablaconcuadrcula">
    <w:name w:val="Table Grid"/>
    <w:basedOn w:val="Tablanormal"/>
    <w:uiPriority w:val="39"/>
    <w:rsid w:val="00890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1883">
      <w:bodyDiv w:val="1"/>
      <w:marLeft w:val="0"/>
      <w:marRight w:val="0"/>
      <w:marTop w:val="0"/>
      <w:marBottom w:val="0"/>
      <w:divBdr>
        <w:top w:val="none" w:sz="0" w:space="0" w:color="auto"/>
        <w:left w:val="none" w:sz="0" w:space="0" w:color="auto"/>
        <w:bottom w:val="none" w:sz="0" w:space="0" w:color="auto"/>
        <w:right w:val="none" w:sz="0" w:space="0" w:color="auto"/>
      </w:divBdr>
    </w:div>
    <w:div w:id="185027666">
      <w:bodyDiv w:val="1"/>
      <w:marLeft w:val="0"/>
      <w:marRight w:val="0"/>
      <w:marTop w:val="0"/>
      <w:marBottom w:val="0"/>
      <w:divBdr>
        <w:top w:val="none" w:sz="0" w:space="0" w:color="auto"/>
        <w:left w:val="none" w:sz="0" w:space="0" w:color="auto"/>
        <w:bottom w:val="none" w:sz="0" w:space="0" w:color="auto"/>
        <w:right w:val="none" w:sz="0" w:space="0" w:color="auto"/>
      </w:divBdr>
    </w:div>
    <w:div w:id="216596812">
      <w:bodyDiv w:val="1"/>
      <w:marLeft w:val="0"/>
      <w:marRight w:val="0"/>
      <w:marTop w:val="0"/>
      <w:marBottom w:val="0"/>
      <w:divBdr>
        <w:top w:val="none" w:sz="0" w:space="0" w:color="auto"/>
        <w:left w:val="none" w:sz="0" w:space="0" w:color="auto"/>
        <w:bottom w:val="none" w:sz="0" w:space="0" w:color="auto"/>
        <w:right w:val="none" w:sz="0" w:space="0" w:color="auto"/>
      </w:divBdr>
    </w:div>
    <w:div w:id="501703594">
      <w:bodyDiv w:val="1"/>
      <w:marLeft w:val="0"/>
      <w:marRight w:val="0"/>
      <w:marTop w:val="0"/>
      <w:marBottom w:val="0"/>
      <w:divBdr>
        <w:top w:val="none" w:sz="0" w:space="0" w:color="auto"/>
        <w:left w:val="none" w:sz="0" w:space="0" w:color="auto"/>
        <w:bottom w:val="none" w:sz="0" w:space="0" w:color="auto"/>
        <w:right w:val="none" w:sz="0" w:space="0" w:color="auto"/>
      </w:divBdr>
    </w:div>
    <w:div w:id="622493028">
      <w:bodyDiv w:val="1"/>
      <w:marLeft w:val="0"/>
      <w:marRight w:val="0"/>
      <w:marTop w:val="0"/>
      <w:marBottom w:val="0"/>
      <w:divBdr>
        <w:top w:val="none" w:sz="0" w:space="0" w:color="auto"/>
        <w:left w:val="none" w:sz="0" w:space="0" w:color="auto"/>
        <w:bottom w:val="none" w:sz="0" w:space="0" w:color="auto"/>
        <w:right w:val="none" w:sz="0" w:space="0" w:color="auto"/>
      </w:divBdr>
    </w:div>
    <w:div w:id="643244106">
      <w:bodyDiv w:val="1"/>
      <w:marLeft w:val="0"/>
      <w:marRight w:val="0"/>
      <w:marTop w:val="0"/>
      <w:marBottom w:val="0"/>
      <w:divBdr>
        <w:top w:val="none" w:sz="0" w:space="0" w:color="auto"/>
        <w:left w:val="none" w:sz="0" w:space="0" w:color="auto"/>
        <w:bottom w:val="none" w:sz="0" w:space="0" w:color="auto"/>
        <w:right w:val="none" w:sz="0" w:space="0" w:color="auto"/>
      </w:divBdr>
    </w:div>
    <w:div w:id="798886410">
      <w:bodyDiv w:val="1"/>
      <w:marLeft w:val="0"/>
      <w:marRight w:val="0"/>
      <w:marTop w:val="0"/>
      <w:marBottom w:val="0"/>
      <w:divBdr>
        <w:top w:val="none" w:sz="0" w:space="0" w:color="auto"/>
        <w:left w:val="none" w:sz="0" w:space="0" w:color="auto"/>
        <w:bottom w:val="none" w:sz="0" w:space="0" w:color="auto"/>
        <w:right w:val="none" w:sz="0" w:space="0" w:color="auto"/>
      </w:divBdr>
    </w:div>
    <w:div w:id="845486792">
      <w:bodyDiv w:val="1"/>
      <w:marLeft w:val="0"/>
      <w:marRight w:val="0"/>
      <w:marTop w:val="0"/>
      <w:marBottom w:val="0"/>
      <w:divBdr>
        <w:top w:val="none" w:sz="0" w:space="0" w:color="auto"/>
        <w:left w:val="none" w:sz="0" w:space="0" w:color="auto"/>
        <w:bottom w:val="none" w:sz="0" w:space="0" w:color="auto"/>
        <w:right w:val="none" w:sz="0" w:space="0" w:color="auto"/>
      </w:divBdr>
    </w:div>
    <w:div w:id="888372714">
      <w:bodyDiv w:val="1"/>
      <w:marLeft w:val="0"/>
      <w:marRight w:val="0"/>
      <w:marTop w:val="0"/>
      <w:marBottom w:val="0"/>
      <w:divBdr>
        <w:top w:val="none" w:sz="0" w:space="0" w:color="auto"/>
        <w:left w:val="none" w:sz="0" w:space="0" w:color="auto"/>
        <w:bottom w:val="none" w:sz="0" w:space="0" w:color="auto"/>
        <w:right w:val="none" w:sz="0" w:space="0" w:color="auto"/>
      </w:divBdr>
    </w:div>
    <w:div w:id="897016103">
      <w:bodyDiv w:val="1"/>
      <w:marLeft w:val="0"/>
      <w:marRight w:val="0"/>
      <w:marTop w:val="0"/>
      <w:marBottom w:val="0"/>
      <w:divBdr>
        <w:top w:val="none" w:sz="0" w:space="0" w:color="auto"/>
        <w:left w:val="none" w:sz="0" w:space="0" w:color="auto"/>
        <w:bottom w:val="none" w:sz="0" w:space="0" w:color="auto"/>
        <w:right w:val="none" w:sz="0" w:space="0" w:color="auto"/>
      </w:divBdr>
    </w:div>
    <w:div w:id="1005858096">
      <w:bodyDiv w:val="1"/>
      <w:marLeft w:val="0"/>
      <w:marRight w:val="0"/>
      <w:marTop w:val="0"/>
      <w:marBottom w:val="0"/>
      <w:divBdr>
        <w:top w:val="none" w:sz="0" w:space="0" w:color="auto"/>
        <w:left w:val="none" w:sz="0" w:space="0" w:color="auto"/>
        <w:bottom w:val="none" w:sz="0" w:space="0" w:color="auto"/>
        <w:right w:val="none" w:sz="0" w:space="0" w:color="auto"/>
      </w:divBdr>
    </w:div>
    <w:div w:id="1247685436">
      <w:bodyDiv w:val="1"/>
      <w:marLeft w:val="0"/>
      <w:marRight w:val="0"/>
      <w:marTop w:val="0"/>
      <w:marBottom w:val="0"/>
      <w:divBdr>
        <w:top w:val="none" w:sz="0" w:space="0" w:color="auto"/>
        <w:left w:val="none" w:sz="0" w:space="0" w:color="auto"/>
        <w:bottom w:val="none" w:sz="0" w:space="0" w:color="auto"/>
        <w:right w:val="none" w:sz="0" w:space="0" w:color="auto"/>
      </w:divBdr>
    </w:div>
    <w:div w:id="1274047198">
      <w:bodyDiv w:val="1"/>
      <w:marLeft w:val="0"/>
      <w:marRight w:val="0"/>
      <w:marTop w:val="0"/>
      <w:marBottom w:val="0"/>
      <w:divBdr>
        <w:top w:val="none" w:sz="0" w:space="0" w:color="auto"/>
        <w:left w:val="none" w:sz="0" w:space="0" w:color="auto"/>
        <w:bottom w:val="none" w:sz="0" w:space="0" w:color="auto"/>
        <w:right w:val="none" w:sz="0" w:space="0" w:color="auto"/>
      </w:divBdr>
    </w:div>
    <w:div w:id="1361316920">
      <w:bodyDiv w:val="1"/>
      <w:marLeft w:val="0"/>
      <w:marRight w:val="0"/>
      <w:marTop w:val="0"/>
      <w:marBottom w:val="0"/>
      <w:divBdr>
        <w:top w:val="none" w:sz="0" w:space="0" w:color="auto"/>
        <w:left w:val="none" w:sz="0" w:space="0" w:color="auto"/>
        <w:bottom w:val="none" w:sz="0" w:space="0" w:color="auto"/>
        <w:right w:val="none" w:sz="0" w:space="0" w:color="auto"/>
      </w:divBdr>
    </w:div>
    <w:div w:id="1401977748">
      <w:bodyDiv w:val="1"/>
      <w:marLeft w:val="0"/>
      <w:marRight w:val="0"/>
      <w:marTop w:val="0"/>
      <w:marBottom w:val="0"/>
      <w:divBdr>
        <w:top w:val="none" w:sz="0" w:space="0" w:color="auto"/>
        <w:left w:val="none" w:sz="0" w:space="0" w:color="auto"/>
        <w:bottom w:val="none" w:sz="0" w:space="0" w:color="auto"/>
        <w:right w:val="none" w:sz="0" w:space="0" w:color="auto"/>
      </w:divBdr>
    </w:div>
    <w:div w:id="1419789451">
      <w:bodyDiv w:val="1"/>
      <w:marLeft w:val="0"/>
      <w:marRight w:val="0"/>
      <w:marTop w:val="0"/>
      <w:marBottom w:val="0"/>
      <w:divBdr>
        <w:top w:val="none" w:sz="0" w:space="0" w:color="auto"/>
        <w:left w:val="none" w:sz="0" w:space="0" w:color="auto"/>
        <w:bottom w:val="none" w:sz="0" w:space="0" w:color="auto"/>
        <w:right w:val="none" w:sz="0" w:space="0" w:color="auto"/>
      </w:divBdr>
    </w:div>
    <w:div w:id="2063869368">
      <w:bodyDiv w:val="1"/>
      <w:marLeft w:val="0"/>
      <w:marRight w:val="0"/>
      <w:marTop w:val="0"/>
      <w:marBottom w:val="0"/>
      <w:divBdr>
        <w:top w:val="none" w:sz="0" w:space="0" w:color="auto"/>
        <w:left w:val="none" w:sz="0" w:space="0" w:color="auto"/>
        <w:bottom w:val="none" w:sz="0" w:space="0" w:color="auto"/>
        <w:right w:val="none" w:sz="0" w:space="0" w:color="auto"/>
      </w:divBdr>
    </w:div>
    <w:div w:id="2100104482">
      <w:bodyDiv w:val="1"/>
      <w:marLeft w:val="0"/>
      <w:marRight w:val="0"/>
      <w:marTop w:val="0"/>
      <w:marBottom w:val="0"/>
      <w:divBdr>
        <w:top w:val="none" w:sz="0" w:space="0" w:color="auto"/>
        <w:left w:val="none" w:sz="0" w:space="0" w:color="auto"/>
        <w:bottom w:val="none" w:sz="0" w:space="0" w:color="auto"/>
        <w:right w:val="none" w:sz="0" w:space="0" w:color="auto"/>
      </w:divBdr>
    </w:div>
    <w:div w:id="2106270216">
      <w:bodyDiv w:val="1"/>
      <w:marLeft w:val="0"/>
      <w:marRight w:val="0"/>
      <w:marTop w:val="0"/>
      <w:marBottom w:val="0"/>
      <w:divBdr>
        <w:top w:val="none" w:sz="0" w:space="0" w:color="auto"/>
        <w:left w:val="none" w:sz="0" w:space="0" w:color="auto"/>
        <w:bottom w:val="none" w:sz="0" w:space="0" w:color="auto"/>
        <w:right w:val="none" w:sz="0" w:space="0" w:color="auto"/>
      </w:divBdr>
    </w:div>
    <w:div w:id="214037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8C695-2D77-4DFF-84E7-7C589859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20</Pages>
  <Words>3161</Words>
  <Characters>17387</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Hernández</dc:creator>
  <cp:keywords/>
  <dc:description/>
  <cp:lastModifiedBy>Pablo Hernández</cp:lastModifiedBy>
  <cp:revision>45</cp:revision>
  <dcterms:created xsi:type="dcterms:W3CDTF">2016-05-01T22:52:00Z</dcterms:created>
  <dcterms:modified xsi:type="dcterms:W3CDTF">2016-05-21T23:35:00Z</dcterms:modified>
</cp:coreProperties>
</file>