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GymHora RD</w:t>
      </w:r>
    </w:p>
    <w:p>
      <w:pPr>
        <w:pStyle w:val="Heading1"/>
      </w:pPr>
      <w:r>
        <w:t>Informe de avances y modelo de negocio preliminar</w:t>
      </w:r>
    </w:p>
    <w:p>
      <w:pPr/>
      <w:r/>
      <w:r>
        <w:rPr>
          <w:b/>
        </w:rPr>
        <w:t>Preparado para:</w:t>
      </w:r>
      <w:r>
        <w:t xml:space="preserve"> Hairon Manuel </w:t>
      </w:r>
      <w:r>
        <w:rPr>
          <w:b/>
        </w:rPr>
        <w:t>Fecha de corte:</w:t>
      </w:r>
      <w:r>
        <w:t xml:space="preserve"> 16 de octubre de 2026 · República Dominicana </w:t>
      </w:r>
      <w:r>
        <w:rPr>
          <w:b/>
        </w:rPr>
        <w:t>Versión de la aplicación revisada:</w:t>
      </w:r>
      <w:r>
        <w:t xml:space="preserve"> </w:t>
      </w:r>
      <w:r>
        <w:rPr>
          <w:rFonts w:ascii="Consolas" w:hAnsi="Consolas"/>
          <w:sz w:val="18"/>
        </w:rPr>
        <w:t>bc41489</w:t>
      </w:r>
      <w:r>
        <w:t xml:space="preserve"> </w:t>
      </w:r>
      <w:r>
        <w:rPr>
          <w:b/>
        </w:rPr>
        <w:t>Estado del documento:</w:t>
      </w:r>
      <w:r>
        <w:t xml:space="preserve"> propuesta para revisión; las hipótesis comerciales no están validadas.</w:t>
      </w:r>
    </w:p>
    <w:p>
      <w:pPr>
        <w:pStyle w:val="Heading2"/>
      </w:pPr>
      <w:r>
        <w:t>1. La idea y lo que avanzamos</w:t>
      </w:r>
    </w:p>
    <w:p>
      <w:pPr/>
      <w:r>
        <w:t>GymHora RD busca ayudar a las personas a elegir cuándo entrenar, consultando qué tan concurridos están los gimnasios de República Dominicana. Para los gimnasios, la propuesta es tener un perfil público y comunicar su ocupación, especialmente para orientar visitas hacia horarios con más espacio.</w:t>
      </w:r>
    </w:p>
    <w:p>
      <w:pPr/>
      <w:r>
        <w:t>Durante esta sesión se construyó una primera aplicación web, se guardó el código en GitHub y se acompañó su despliegue en Render. Después se añadieron cuentas personales, gimnasios registrados por usuarios, reportes manuales, gráficas por hora, un plan de publicación con prueba gratuita y una acción de moderación solicitada por el propietario del proyecto.</w:t>
      </w:r>
    </w:p>
    <w:p>
      <w:pPr/>
      <w:r/>
      <w:r>
        <w:rPr>
          <w:b/>
        </w:rPr>
        <w:t>Decisiones comerciales confirmadas por Hairon:</w:t>
      </w:r>
      <w:r/>
    </w:p>
    <w:p>
      <w:pPr>
        <w:pStyle w:val="ListBullet"/>
      </w:pPr>
      <w:r>
        <w:t>Las cuentas de quienes buscan gimnasios serán gratuitas.</w:t>
      </w:r>
    </w:p>
    <w:p>
      <w:pPr>
        <w:pStyle w:val="ListBullet"/>
      </w:pPr>
      <w:r>
        <w:t xml:space="preserve">Publicar un gimnasio tendrá un precio de </w:t>
      </w:r>
      <w:r>
        <w:rPr>
          <w:b/>
        </w:rPr>
        <w:t>RD$1,599 al mes por gimnasio</w:t>
      </w:r>
      <w:r>
        <w:t>.</w:t>
      </w:r>
    </w:p>
    <w:p>
      <w:pPr>
        <w:pStyle w:val="ListBullet"/>
      </w:pPr>
      <w:r>
        <w:t xml:space="preserve">La implementación ofrece </w:t>
      </w:r>
      <w:r>
        <w:rPr>
          <w:b/>
        </w:rPr>
        <w:t>una prueba de 7 días por cuenta de publicador</w:t>
      </w:r>
      <w:r>
        <w:t>, desde que añade su primer gimnasio. Los gimnasios de esa cuenta comparten el vencimiento.</w:t>
      </w:r>
    </w:p>
    <w:p>
      <w:pPr>
        <w:pStyle w:val="ListBullet"/>
      </w:pPr>
      <w:r>
        <w:t>Todavía no hay una pasarela de pagos contratada o integrada.</w:t>
      </w:r>
    </w:p>
    <w:p>
      <w:pPr>
        <w:pStyle w:val="Heading2"/>
      </w:pPr>
      <w:r>
        <w:t>2. Estado real al cerrar la sesión</w:t>
      </w:r>
    </w:p>
    <w:tbl>
      <w:tblPr>
        <w:tblStyle w:val="LightShading-Accent1"/>
        <w:tblW w:type="auto" w:w="0"/>
        <w:tblLook w:firstColumn="1" w:firstRow="1" w:lastColumn="0" w:lastRow="0" w:noHBand="0" w:noVBand="1" w:val="04A0"/>
      </w:tblPr>
      <w:tblGrid>
        <w:gridCol w:w="5018"/>
        <w:gridCol w:w="5018"/>
      </w:tblGrid>
      <w:tr>
        <w:tc>
          <w:tcPr>
            <w:tcW w:type="dxa" w:w="5018"/>
            <w:shd w:fill="E9F1E2"/>
          </w:tcPr>
          <w:p>
            <w:r>
              <w:rPr>
                <w:b/>
                <w:sz w:val="18"/>
              </w:rPr>
              <w:t>Elemento</w:t>
            </w:r>
          </w:p>
        </w:tc>
        <w:tc>
          <w:tcPr>
            <w:tcW w:type="dxa" w:w="5018"/>
            <w:shd w:fill="E9F1E2"/>
          </w:tcPr>
          <w:p>
            <w:r>
              <w:rPr>
                <w:b/>
                <w:sz w:val="18"/>
              </w:rPr>
              <w:t>Estado comprobado y límite</w:t>
            </w:r>
          </w:p>
        </w:tc>
      </w:tr>
      <w:tr>
        <w:tc>
          <w:tcPr>
            <w:tcW w:type="dxa" w:w="5018"/>
          </w:tcPr>
          <w:p>
            <w:r>
              <w:rPr>
                <w:sz w:val="18"/>
              </w:rPr>
              <w:t>Código</w:t>
            </w:r>
          </w:p>
        </w:tc>
        <w:tc>
          <w:tcPr>
            <w:tcW w:type="dxa" w:w="5018"/>
          </w:tcPr>
          <w:p>
            <w:r>
              <w:rPr>
                <w:sz w:val="18"/>
              </w:rPr>
              <w:t xml:space="preserve">Guardado en </w:t>
            </w:r>
            <w:r>
              <w:rPr>
                <w:rFonts w:ascii="Consolas" w:hAnsi="Consolas"/>
                <w:sz w:val="18"/>
              </w:rPr>
              <w:t>haironmanuel/kenatural</w:t>
            </w:r>
            <w:r>
              <w:rPr>
                <w:sz w:val="18"/>
              </w:rPr>
              <w:t xml:space="preserve">, rama </w:t>
            </w:r>
            <w:r>
              <w:rPr>
                <w:rFonts w:ascii="Consolas" w:hAnsi="Consolas"/>
                <w:sz w:val="18"/>
              </w:rPr>
              <w:t>main</w:t>
            </w:r>
            <w:r>
              <w:rPr>
                <w:sz w:val="18"/>
              </w:rPr>
              <w:t xml:space="preserve">, hasta el commit </w:t>
            </w:r>
            <w:r>
              <w:rPr>
                <w:rFonts w:ascii="Consolas" w:hAnsi="Consolas"/>
                <w:sz w:val="18"/>
              </w:rPr>
              <w:t>bc41489</w:t>
            </w:r>
            <w:r>
              <w:rPr>
                <w:sz w:val="18"/>
              </w:rPr>
              <w:t>.</w:t>
            </w:r>
          </w:p>
        </w:tc>
      </w:tr>
      <w:tr>
        <w:tc>
          <w:tcPr>
            <w:tcW w:type="dxa" w:w="5018"/>
          </w:tcPr>
          <w:p>
            <w:r>
              <w:rPr>
                <w:sz w:val="18"/>
              </w:rPr>
              <w:t>Aplicación pública</w:t>
            </w:r>
          </w:p>
        </w:tc>
        <w:tc>
          <w:tcPr>
            <w:tcW w:type="dxa" w:w="5018"/>
          </w:tcPr>
          <w:p>
            <w:r>
              <w:rPr>
                <w:sz w:val="18"/>
              </w:rPr>
              <w:t>URL facilitada y mostrada por Render: https://gymhora-rd.onrender.com. Las capturas confirmaron un despliegue Live de una versión anterior; no se verificó desde aquí la versión final publicada.</w:t>
            </w:r>
          </w:p>
        </w:tc>
      </w:tr>
      <w:tr>
        <w:tc>
          <w:tcPr>
            <w:tcW w:type="dxa" w:w="5018"/>
          </w:tcPr>
          <w:p>
            <w:r>
              <w:rPr>
                <w:sz w:val="18"/>
              </w:rPr>
              <w:t>Base de datos</w:t>
            </w:r>
          </w:p>
        </w:tc>
        <w:tc>
          <w:tcPr>
            <w:tcW w:type="dxa" w:w="5018"/>
          </w:tcPr>
          <w:p>
            <w:r>
              <w:rPr>
                <w:sz w:val="18"/>
              </w:rPr>
              <w:t xml:space="preserve">Las capturas mostraron </w:t>
            </w:r>
            <w:r>
              <w:rPr>
                <w:rFonts w:ascii="Consolas" w:hAnsi="Consolas"/>
                <w:sz w:val="18"/>
              </w:rPr>
              <w:t>gymhora-db</w:t>
            </w:r>
            <w:r>
              <w:rPr>
                <w:sz w:val="18"/>
              </w:rPr>
              <w:t xml:space="preserve">, PostgreSQL 17, plan Free, región Oregon, disponible. Se guió la configuración de </w:t>
            </w:r>
            <w:r>
              <w:rPr>
                <w:rFonts w:ascii="Consolas" w:hAnsi="Consolas"/>
                <w:sz w:val="18"/>
              </w:rPr>
              <w:t>DATABASE_URL</w:t>
            </w:r>
            <w:r>
              <w:rPr>
                <w:sz w:val="18"/>
              </w:rPr>
              <w:t>; no se comprobó directamente la conexión final en producción.</w:t>
            </w:r>
          </w:p>
        </w:tc>
      </w:tr>
      <w:tr>
        <w:tc>
          <w:tcPr>
            <w:tcW w:type="dxa" w:w="5018"/>
          </w:tcPr>
          <w:p>
            <w:r>
              <w:rPr>
                <w:sz w:val="18"/>
              </w:rPr>
              <w:t>Validación local</w:t>
            </w:r>
          </w:p>
        </w:tc>
        <w:tc>
          <w:tcPr>
            <w:tcW w:type="dxa" w:w="5018"/>
          </w:tcPr>
          <w:p>
            <w:r>
              <w:rPr>
                <w:sz w:val="18"/>
              </w:rPr>
              <w:t xml:space="preserve">La última versión pasó </w:t>
            </w:r>
            <w:r>
              <w:rPr>
                <w:b/>
                <w:sz w:val="18"/>
              </w:rPr>
              <w:t>39 pruebas</w:t>
            </w:r>
            <w:r>
              <w:rPr>
                <w:sz w:val="18"/>
              </w:rPr>
              <w:t>, incluida PostgreSQL, además de comprobaciones de navegador y pantalla móvil. No equivale a una validación completa del sitio público.</w:t>
            </w:r>
          </w:p>
        </w:tc>
      </w:tr>
      <w:tr>
        <w:tc>
          <w:tcPr>
            <w:tcW w:type="dxa" w:w="5018"/>
          </w:tcPr>
          <w:p>
            <w:r>
              <w:rPr>
                <w:sz w:val="18"/>
              </w:rPr>
              <w:t>Cobros</w:t>
            </w:r>
          </w:p>
        </w:tc>
        <w:tc>
          <w:tcPr>
            <w:tcW w:type="dxa" w:w="5018"/>
          </w:tcPr>
          <w:p>
            <w:r>
              <w:rPr>
                <w:sz w:val="18"/>
              </w:rPr>
            </w:r>
            <w:r>
              <w:rPr>
                <w:b/>
                <w:sz w:val="18"/>
              </w:rPr>
              <w:t>No habilitados.</w:t>
            </w:r>
            <w:r>
              <w:rPr>
                <w:sz w:val="18"/>
              </w:rPr>
              <w:t xml:space="preserve"> No se solicitan tarjetas ni se realizan cargos o renovaciones automáticas.</w:t>
            </w:r>
          </w:p>
        </w:tc>
      </w:tr>
      <w:tr>
        <w:tc>
          <w:tcPr>
            <w:tcW w:type="dxa" w:w="5018"/>
          </w:tcPr>
          <w:p>
            <w:r>
              <w:rPr>
                <w:sz w:val="18"/>
              </w:rPr>
              <w:t>Información de ocupación</w:t>
            </w:r>
          </w:p>
        </w:tc>
        <w:tc>
          <w:tcPr>
            <w:tcW w:type="dxa" w:w="5018"/>
          </w:tcPr>
          <w:p>
            <w:r>
              <w:rPr>
                <w:sz w:val="18"/>
              </w:rPr>
              <w:t>Hay ejemplos ficticios y reportes manuales de usuarios. No hay un proveedor conectado para contar personas en tiempo real.</w:t>
            </w:r>
          </w:p>
        </w:tc>
      </w:tr>
    </w:tbl>
    <w:p/>
    <w:p>
      <w:pPr/>
      <w:r/>
      <w:r>
        <w:rPr>
          <w:b/>
        </w:rPr>
        <w:t>Conclusión de avance:</w:t>
      </w:r>
      <w:r>
        <w:t xml:space="preserve"> existe una primera versión funcional y probada localmente. Aún no es un negocio con demanda, ingresos o cobros recurrentes demostrados.</w:t>
      </w:r>
    </w:p>
    <w:p>
      <w:pPr>
        <w:pStyle w:val="Heading1"/>
      </w:pPr>
      <w:r>
        <w:t>Producto construido y pendientes</w:t>
      </w:r>
    </w:p>
    <w:p>
      <w:pPr>
        <w:pStyle w:val="Heading2"/>
      </w:pPr>
      <w:r>
        <w:t>3. Funciones implementadas</w:t>
      </w:r>
    </w:p>
    <w:tbl>
      <w:tblPr>
        <w:tblStyle w:val="LightShading-Accent1"/>
        <w:tblW w:type="auto" w:w="0"/>
        <w:tblLook w:firstColumn="1" w:firstRow="1" w:lastColumn="0" w:lastRow="0" w:noHBand="0" w:noVBand="1" w:val="04A0"/>
      </w:tblPr>
      <w:tblGrid>
        <w:gridCol w:w="5018"/>
        <w:gridCol w:w="5018"/>
      </w:tblGrid>
      <w:tr>
        <w:tc>
          <w:tcPr>
            <w:tcW w:type="dxa" w:w="5018"/>
            <w:shd w:fill="E9F1E2"/>
          </w:tcPr>
          <w:p>
            <w:r>
              <w:rPr>
                <w:b/>
                <w:sz w:val="18"/>
              </w:rPr>
              <w:t>Función</w:t>
            </w:r>
          </w:p>
        </w:tc>
        <w:tc>
          <w:tcPr>
            <w:tcW w:type="dxa" w:w="5018"/>
            <w:shd w:fill="E9F1E2"/>
          </w:tcPr>
          <w:p>
            <w:r>
              <w:rPr>
                <w:b/>
                <w:sz w:val="18"/>
              </w:rPr>
              <w:t>Resultado</w:t>
            </w:r>
          </w:p>
        </w:tc>
      </w:tr>
      <w:tr>
        <w:tc>
          <w:tcPr>
            <w:tcW w:type="dxa" w:w="5018"/>
          </w:tcPr>
          <w:p>
            <w:r>
              <w:rPr>
                <w:sz w:val="18"/>
              </w:rPr>
              <w:t>Explorar gimnasios</w:t>
            </w:r>
          </w:p>
        </w:tc>
        <w:tc>
          <w:tcPr>
            <w:tcW w:type="dxa" w:w="5018"/>
          </w:tcPr>
          <w:p>
            <w:r>
              <w:rPr>
                <w:sz w:val="18"/>
              </w:rPr>
              <w:t>Búsqueda por nombre o sector, filtros por ciudad y ocupación, favoritos y exportación CSV.</w:t>
            </w:r>
          </w:p>
        </w:tc>
      </w:tr>
      <w:tr>
        <w:tc>
          <w:tcPr>
            <w:tcW w:type="dxa" w:w="5018"/>
          </w:tcPr>
          <w:p>
            <w:r>
              <w:rPr>
                <w:sz w:val="18"/>
              </w:rPr>
              <w:t>Experiencia móvil</w:t>
            </w:r>
          </w:p>
        </w:tc>
        <w:tc>
          <w:tcPr>
            <w:tcW w:type="dxa" w:w="5018"/>
          </w:tcPr>
          <w:p>
            <w:r>
              <w:rPr>
                <w:sz w:val="18"/>
              </w:rPr>
              <w:t>Interfaz adaptable y preparación como aplicación web instalable mediante HTTPS.</w:t>
            </w:r>
          </w:p>
        </w:tc>
      </w:tr>
      <w:tr>
        <w:tc>
          <w:tcPr>
            <w:tcW w:type="dxa" w:w="5018"/>
          </w:tcPr>
          <w:p>
            <w:r>
              <w:rPr>
                <w:sz w:val="18"/>
              </w:rPr>
              <w:t>Cuentas y perfiles</w:t>
            </w:r>
          </w:p>
        </w:tc>
        <w:tc>
          <w:tcPr>
            <w:tcW w:type="dxa" w:w="5018"/>
          </w:tcPr>
          <w:p>
            <w:r>
              <w:rPr>
                <w:sz w:val="18"/>
              </w:rPr>
              <w:t>Registro, inicio y cierre de sesión; edición de nombre y ciudad; favoritos asociados al usuario. El correo todavía no se verifica y no existe recuperación de contraseña.</w:t>
            </w:r>
          </w:p>
        </w:tc>
      </w:tr>
      <w:tr>
        <w:tc>
          <w:tcPr>
            <w:tcW w:type="dxa" w:w="5018"/>
          </w:tcPr>
          <w:p>
            <w:r>
              <w:rPr>
                <w:sz w:val="18"/>
              </w:rPr>
              <w:t>Mis gimnasios</w:t>
            </w:r>
          </w:p>
        </w:tc>
        <w:tc>
          <w:tcPr>
            <w:tcW w:type="dxa" w:w="5018"/>
          </w:tcPr>
          <w:p>
            <w:r>
              <w:rPr>
                <w:sz w:val="18"/>
              </w:rPr>
              <w:t>El autor puede añadir, editar y eliminar sus propias sedes. Hasta 20 por cuenta; ese límite no significa que una sola cuota cubra todas las sedes.</w:t>
            </w:r>
          </w:p>
        </w:tc>
      </w:tr>
      <w:tr>
        <w:tc>
          <w:tcPr>
            <w:tcW w:type="dxa" w:w="5018"/>
          </w:tcPr>
          <w:p>
            <w:r>
              <w:rPr>
                <w:sz w:val="18"/>
              </w:rPr>
              <w:t>Ocupación manual</w:t>
            </w:r>
          </w:p>
        </w:tc>
        <w:tc>
          <w:tcPr>
            <w:tcW w:type="dxa" w:w="5018"/>
          </w:tcPr>
          <w:p>
            <w:r>
              <w:rPr>
                <w:sz w:val="18"/>
              </w:rPr>
              <w:t>Tranquilo, Moderado y Muy concurrido, con fecha de actualización. Después de 2 horas deja de considerarse un reporte reciente.</w:t>
            </w:r>
          </w:p>
        </w:tc>
      </w:tr>
      <w:tr>
        <w:tc>
          <w:tcPr>
            <w:tcW w:type="dxa" w:w="5018"/>
          </w:tcPr>
          <w:p>
            <w:r>
              <w:rPr>
                <w:sz w:val="18"/>
              </w:rPr>
              <w:t>Gráficas de gimnasios registrados</w:t>
            </w:r>
          </w:p>
        </w:tc>
        <w:tc>
          <w:tcPr>
            <w:tcW w:type="dxa" w:w="5018"/>
          </w:tcPr>
          <w:p>
            <w:r>
              <w:rPr>
                <w:sz w:val="18"/>
              </w:rPr>
              <w:t>Escala 1–3 para las 24 horas; último reporte de cada hora; consulta de hoy y seis días anteriores; tabla accesible y CSV. Las horas sin reportes quedan sin datos.</w:t>
            </w:r>
          </w:p>
        </w:tc>
      </w:tr>
      <w:tr>
        <w:tc>
          <w:tcPr>
            <w:tcW w:type="dxa" w:w="5018"/>
          </w:tcPr>
          <w:p>
            <w:r>
              <w:rPr>
                <w:sz w:val="18"/>
              </w:rPr>
              <w:t>Plan de publicación</w:t>
            </w:r>
          </w:p>
        </w:tc>
        <w:tc>
          <w:tcPr>
            <w:tcW w:type="dxa" w:w="5018"/>
          </w:tcPr>
          <w:p>
            <w:r>
              <w:rPr>
                <w:sz w:val="18"/>
              </w:rPr>
              <w:t>Precio RD$1,599/mes por gimnasio, aceptación de condiciones, prueba de 7 días y pausa de la publicación al vencer. El autor conserva los datos de su perfil.</w:t>
            </w:r>
          </w:p>
        </w:tc>
      </w:tr>
      <w:tr>
        <w:tc>
          <w:tcPr>
            <w:tcW w:type="dxa" w:w="5018"/>
          </w:tcPr>
          <w:p>
            <w:r>
              <w:rPr>
                <w:sz w:val="18"/>
              </w:rPr>
              <w:t>Moderación</w:t>
            </w:r>
          </w:p>
        </w:tc>
        <w:tc>
          <w:tcPr>
            <w:tcW w:type="dxa" w:w="5018"/>
          </w:tcPr>
          <w:p>
            <w:r>
              <w:rPr>
                <w:sz w:val="18"/>
              </w:rPr>
              <w:t>Se preparó la retirada del gimnasio llamado “Hairon ass”, bloqueo de ese nombre y aviso privado al autor al volver a ingresar, hasta que pulse Entendido. Se aplica al arrancar la versión nueva en Render; no se confirmó su ejecución en producción.</w:t>
            </w:r>
          </w:p>
        </w:tc>
      </w:tr>
    </w:tbl>
    <w:p/>
    <w:p>
      <w:pPr>
        <w:pStyle w:val="Heading2"/>
      </w:pPr>
      <w:r>
        <w:t>4. Versiones que quedaron guardadas</w:t>
      </w:r>
    </w:p>
    <w:tbl>
      <w:tblPr>
        <w:tblStyle w:val="LightShading-Accent1"/>
        <w:tblW w:type="auto" w:w="0"/>
        <w:tblLook w:firstColumn="1" w:firstRow="1" w:lastColumn="0" w:lastRow="0" w:noHBand="0" w:noVBand="1" w:val="04A0"/>
      </w:tblPr>
      <w:tblGrid>
        <w:gridCol w:w="5018"/>
        <w:gridCol w:w="5018"/>
      </w:tblGrid>
      <w:tr>
        <w:tc>
          <w:tcPr>
            <w:tcW w:type="dxa" w:w="5018"/>
            <w:shd w:fill="E9F1E2"/>
          </w:tcPr>
          <w:p>
            <w:r>
              <w:rPr>
                <w:b/>
                <w:sz w:val="18"/>
              </w:rPr>
              <w:t>Commit</w:t>
            </w:r>
          </w:p>
        </w:tc>
        <w:tc>
          <w:tcPr>
            <w:tcW w:type="dxa" w:w="5018"/>
            <w:shd w:fill="E9F1E2"/>
          </w:tcPr>
          <w:p>
            <w:r>
              <w:rPr>
                <w:b/>
                <w:sz w:val="18"/>
              </w:rPr>
              <w:t>Avance principal</w:t>
            </w:r>
          </w:p>
        </w:tc>
      </w:tr>
      <w:tr>
        <w:tc>
          <w:tcPr>
            <w:tcW w:type="dxa" w:w="5018"/>
          </w:tcPr>
          <w:p>
            <w:r>
              <w:rPr>
                <w:sz w:val="18"/>
              </w:rPr>
            </w:r>
            <w:r>
              <w:rPr>
                <w:rFonts w:ascii="Consolas" w:hAnsi="Consolas"/>
                <w:sz w:val="18"/>
              </w:rPr>
              <w:t>dee7967</w:t>
            </w:r>
            <w:r>
              <w:rPr>
                <w:sz w:val="18"/>
              </w:rPr>
            </w:r>
          </w:p>
        </w:tc>
        <w:tc>
          <w:tcPr>
            <w:tcW w:type="dxa" w:w="5018"/>
          </w:tcPr>
          <w:p>
            <w:r>
              <w:rPr>
                <w:sz w:val="18"/>
              </w:rPr>
              <w:t>Aplicación inicial y configuración de Render.</w:t>
            </w:r>
          </w:p>
        </w:tc>
      </w:tr>
      <w:tr>
        <w:tc>
          <w:tcPr>
            <w:tcW w:type="dxa" w:w="5018"/>
          </w:tcPr>
          <w:p>
            <w:r>
              <w:rPr>
                <w:sz w:val="18"/>
              </w:rPr>
            </w:r>
            <w:r>
              <w:rPr>
                <w:rFonts w:ascii="Consolas" w:hAnsi="Consolas"/>
                <w:sz w:val="18"/>
              </w:rPr>
              <w:t>1ab6075</w:t>
            </w:r>
            <w:r>
              <w:rPr>
                <w:sz w:val="18"/>
              </w:rPr>
            </w:r>
          </w:p>
        </w:tc>
        <w:tc>
          <w:tcPr>
            <w:tcW w:type="dxa" w:w="5018"/>
          </w:tcPr>
          <w:p>
            <w:r>
              <w:rPr>
                <w:sz w:val="18"/>
              </w:rPr>
              <w:t>Cuentas, perfiles privados y favoritos persistentes.</w:t>
            </w:r>
          </w:p>
        </w:tc>
      </w:tr>
      <w:tr>
        <w:tc>
          <w:tcPr>
            <w:tcW w:type="dxa" w:w="5018"/>
          </w:tcPr>
          <w:p>
            <w:r>
              <w:rPr>
                <w:sz w:val="18"/>
              </w:rPr>
            </w:r>
            <w:r>
              <w:rPr>
                <w:rFonts w:ascii="Consolas" w:hAnsi="Consolas"/>
                <w:sz w:val="18"/>
              </w:rPr>
              <w:t>b56327e</w:t>
            </w:r>
            <w:r>
              <w:rPr>
                <w:sz w:val="18"/>
              </w:rPr>
            </w:r>
          </w:p>
        </w:tc>
        <w:tc>
          <w:tcPr>
            <w:tcW w:type="dxa" w:w="5018"/>
          </w:tcPr>
          <w:p>
            <w:r>
              <w:rPr>
                <w:sz w:val="18"/>
              </w:rPr>
              <w:t>Gimnasios de usuarios y ocupación manual.</w:t>
            </w:r>
          </w:p>
        </w:tc>
      </w:tr>
      <w:tr>
        <w:tc>
          <w:tcPr>
            <w:tcW w:type="dxa" w:w="5018"/>
          </w:tcPr>
          <w:p>
            <w:r>
              <w:rPr>
                <w:sz w:val="18"/>
              </w:rPr>
            </w:r>
            <w:r>
              <w:rPr>
                <w:rFonts w:ascii="Consolas" w:hAnsi="Consolas"/>
                <w:sz w:val="18"/>
              </w:rPr>
              <w:t>8918684</w:t>
            </w:r>
            <w:r>
              <w:rPr>
                <w:sz w:val="18"/>
              </w:rPr>
            </w:r>
          </w:p>
        </w:tc>
        <w:tc>
          <w:tcPr>
            <w:tcW w:type="dxa" w:w="5018"/>
          </w:tcPr>
          <w:p>
            <w:r>
              <w:rPr>
                <w:sz w:val="18"/>
              </w:rPr>
              <w:t>Prueba de 7 días y plan mensual de RD$1,599.</w:t>
            </w:r>
          </w:p>
        </w:tc>
      </w:tr>
      <w:tr>
        <w:tc>
          <w:tcPr>
            <w:tcW w:type="dxa" w:w="5018"/>
          </w:tcPr>
          <w:p>
            <w:r>
              <w:rPr>
                <w:sz w:val="18"/>
              </w:rPr>
            </w:r>
            <w:r>
              <w:rPr>
                <w:rFonts w:ascii="Consolas" w:hAnsi="Consolas"/>
                <w:sz w:val="18"/>
              </w:rPr>
              <w:t>87dac5d</w:t>
            </w:r>
            <w:r>
              <w:rPr>
                <w:sz w:val="18"/>
              </w:rPr>
            </w:r>
          </w:p>
        </w:tc>
        <w:tc>
          <w:tcPr>
            <w:tcW w:type="dxa" w:w="5018"/>
          </w:tcPr>
          <w:p>
            <w:r>
              <w:rPr>
                <w:sz w:val="18"/>
              </w:rPr>
              <w:t>Indicadores horarios para gimnasios registrados.</w:t>
            </w:r>
          </w:p>
        </w:tc>
      </w:tr>
      <w:tr>
        <w:tc>
          <w:tcPr>
            <w:tcW w:type="dxa" w:w="5018"/>
          </w:tcPr>
          <w:p>
            <w:r>
              <w:rPr>
                <w:sz w:val="18"/>
              </w:rPr>
            </w:r>
            <w:r>
              <w:rPr>
                <w:rFonts w:ascii="Consolas" w:hAnsi="Consolas"/>
                <w:sz w:val="18"/>
              </w:rPr>
              <w:t>bc41489</w:t>
            </w:r>
            <w:r>
              <w:rPr>
                <w:sz w:val="18"/>
              </w:rPr>
            </w:r>
          </w:p>
        </w:tc>
        <w:tc>
          <w:tcPr>
            <w:tcW w:type="dxa" w:w="5018"/>
          </w:tcPr>
          <w:p>
            <w:r>
              <w:rPr>
                <w:sz w:val="18"/>
              </w:rPr>
              <w:t>Retirada por nombre y aviso privado al autor.</w:t>
            </w:r>
          </w:p>
        </w:tc>
      </w:tr>
    </w:tbl>
    <w:p/>
    <w:p>
      <w:pPr>
        <w:pStyle w:val="Heading2"/>
      </w:pPr>
      <w:r>
        <w:t>5. Pendientes antes de un lanzamiento comercial</w:t>
      </w:r>
    </w:p>
    <w:p>
      <w:pPr>
        <w:pStyle w:val="ListBullet"/>
      </w:pPr>
      <w:r>
        <w:t xml:space="preserve">Confirmar en Render que </w:t>
      </w:r>
      <w:r>
        <w:rPr>
          <w:rFonts w:ascii="Consolas" w:hAnsi="Consolas"/>
          <w:sz w:val="18"/>
        </w:rPr>
        <w:t>bc41489</w:t>
      </w:r>
      <w:r>
        <w:t xml:space="preserve"> o una versión posterior esté Live y probar registro, sesión, publicación y moderación en el sitio real.</w:t>
      </w:r>
    </w:p>
    <w:p>
      <w:pPr>
        <w:pStyle w:val="ListBullet"/>
      </w:pPr>
      <w:r>
        <w:t xml:space="preserve">Confirmar que </w:t>
      </w:r>
      <w:r>
        <w:rPr>
          <w:rFonts w:ascii="Consolas" w:hAnsi="Consolas"/>
          <w:sz w:val="18"/>
        </w:rPr>
        <w:t>DATABASE_URL</w:t>
      </w:r>
      <w:r>
        <w:t xml:space="preserve"> funcione y que se haya renovado la contraseña que quedó visible en una captura, sin compartirla en documentos o chats.</w:t>
      </w:r>
    </w:p>
    <w:p>
      <w:pPr>
        <w:pStyle w:val="ListBullet"/>
      </w:pPr>
      <w:r>
        <w:t xml:space="preserve">Resolver el almacenamiento permanente: la captura de la base gratuita indica </w:t>
      </w:r>
      <w:r>
        <w:rPr>
          <w:b/>
        </w:rPr>
        <w:t>caducidad el 15 de noviembre de 2026</w:t>
      </w:r>
      <w:r>
        <w:t>. Planificar migración o cambio de plan y copias de seguridad.</w:t>
      </w:r>
    </w:p>
    <w:p>
      <w:pPr>
        <w:pStyle w:val="ListBullet"/>
      </w:pPr>
      <w:r>
        <w:t>Elegir una pasarela apta para el país del negocio, pagos recurrentes en DOP y el período de prueba. Integrar pagos confirmados, renovaciones, rechazos, cancelaciones y reembolsos.</w:t>
      </w:r>
    </w:p>
    <w:p>
      <w:pPr>
        <w:pStyle w:val="ListBullet"/>
      </w:pPr>
      <w:r>
        <w:t>Añadir verificación de correo, recuperación de contraseña, reglas de nombres y condiciones de servicio y privacidad antes de ampliar el acceso.</w:t>
      </w:r>
    </w:p>
    <w:p>
      <w:pPr/>
      <w:r/>
      <w:r>
        <w:rPr>
          <w:b/>
        </w:rPr>
        <w:t>Límite de la prueba actual:</w:t>
      </w:r>
      <w:r>
        <w:t xml:space="preserve"> si vence y la pasarela sigue pendiente, el gimnasio queda oculto y todavía no puede pagar para reactivarlo. Conviene resolver el cobro antes de invitar clientes comerciales a iniciar sus siete días.</w:t>
      </w:r>
    </w:p>
    <w:p>
      <w:pPr>
        <w:pStyle w:val="Heading1"/>
      </w:pPr>
      <w:r>
        <w:t>Modelo de negocio propuesto</w:t>
      </w:r>
    </w:p>
    <w:p>
      <w:pPr>
        <w:pStyle w:val="Heading2"/>
      </w:pPr>
      <w:r>
        <w:t>6. Propuesta central</w:t>
      </w:r>
    </w:p>
    <w:p>
      <w:pPr/>
      <w:r/>
      <w:r>
        <w:rPr>
          <w:b/>
        </w:rPr>
        <w:t>Para quien entrena:</w:t>
      </w:r>
      <w:r>
        <w:t xml:space="preserve"> “Encuentra tu gimnasio y consulta sus reportes por hora para elegir un momento con más espacio”.</w:t>
      </w:r>
    </w:p>
    <w:p>
      <w:pPr/>
      <w:r/>
      <w:r>
        <w:rPr>
          <w:b/>
        </w:rPr>
        <w:t>Para el gimnasio:</w:t>
      </w:r>
      <w:r>
        <w:t xml:space="preserve"> “Mantén un perfil público, comunica cómo está tu sede y ayuda a tus clientes a planificar sus visitas”.</w:t>
      </w:r>
    </w:p>
    <w:p>
      <w:pPr/>
      <w:r>
        <w:t>La oferta inicial debe apoyarse en reportes manuales recientes y claramente identificados. No debe prometer aforo exacto, datos automáticos en tiempo real o aumento garantizado de clientes, porque esas capacidades o resultados no están demostrados.</w:t>
      </w:r>
    </w:p>
    <w:p>
      <w:pPr>
        <w:pStyle w:val="Heading2"/>
      </w:pPr>
      <w:r>
        <w:t>7. Estructura del negocio</w:t>
      </w:r>
    </w:p>
    <w:tbl>
      <w:tblPr>
        <w:tblStyle w:val="LightShading-Accent1"/>
        <w:tblW w:type="auto" w:w="0"/>
        <w:tblLook w:firstColumn="1" w:firstRow="1" w:lastColumn="0" w:lastRow="0" w:noHBand="0" w:noVBand="1" w:val="04A0"/>
      </w:tblPr>
      <w:tblGrid>
        <w:gridCol w:w="5018"/>
        <w:gridCol w:w="5018"/>
      </w:tblGrid>
      <w:tr>
        <w:tc>
          <w:tcPr>
            <w:tcW w:type="dxa" w:w="5018"/>
            <w:shd w:fill="E9F1E2"/>
          </w:tcPr>
          <w:p>
            <w:r>
              <w:rPr>
                <w:b/>
                <w:sz w:val="18"/>
              </w:rPr>
              <w:t>Bloque</w:t>
            </w:r>
          </w:p>
        </w:tc>
        <w:tc>
          <w:tcPr>
            <w:tcW w:type="dxa" w:w="5018"/>
            <w:shd w:fill="E9F1E2"/>
          </w:tcPr>
          <w:p>
            <w:r>
              <w:rPr>
                <w:b/>
                <w:sz w:val="18"/>
              </w:rPr>
              <w:t>Propuesta inicial</w:t>
            </w:r>
          </w:p>
        </w:tc>
      </w:tr>
      <w:tr>
        <w:tc>
          <w:tcPr>
            <w:tcW w:type="dxa" w:w="5018"/>
          </w:tcPr>
          <w:p>
            <w:r>
              <w:rPr>
                <w:sz w:val="18"/>
              </w:rPr>
              <w:t>Clientes que pagan</w:t>
            </w:r>
          </w:p>
        </w:tc>
        <w:tc>
          <w:tcPr>
            <w:tcW w:type="dxa" w:w="5018"/>
          </w:tcPr>
          <w:p>
            <w:r>
              <w:rPr>
                <w:sz w:val="18"/>
              </w:rPr>
              <w:t>Propietarios o administradores de gimnasios que buscan visibilidad local y una forma sencilla de comunicar su ocupación.</w:t>
            </w:r>
          </w:p>
        </w:tc>
      </w:tr>
      <w:tr>
        <w:tc>
          <w:tcPr>
            <w:tcW w:type="dxa" w:w="5018"/>
          </w:tcPr>
          <w:p>
            <w:r>
              <w:rPr>
                <w:sz w:val="18"/>
              </w:rPr>
              <w:t>Usuarios gratuitos</w:t>
            </w:r>
          </w:p>
        </w:tc>
        <w:tc>
          <w:tcPr>
            <w:tcW w:type="dxa" w:w="5018"/>
          </w:tcPr>
          <w:p>
            <w:r>
              <w:rPr>
                <w:sz w:val="18"/>
              </w:rPr>
              <w:t>Personas que entrenan o buscan gimnasio y desean comparar ubicación, ocupación reportada y horarios observados.</w:t>
            </w:r>
          </w:p>
        </w:tc>
      </w:tr>
      <w:tr>
        <w:tc>
          <w:tcPr>
            <w:tcW w:type="dxa" w:w="5018"/>
          </w:tcPr>
          <w:p>
            <w:r>
              <w:rPr>
                <w:sz w:val="18"/>
              </w:rPr>
              <w:t>Propuesta de valor</w:t>
            </w:r>
          </w:p>
        </w:tc>
        <w:tc>
          <w:tcPr>
            <w:tcW w:type="dxa" w:w="5018"/>
          </w:tcPr>
          <w:p>
            <w:r>
              <w:rPr>
                <w:sz w:val="18"/>
              </w:rPr>
              <w:t>Reunir perfiles y reportes comparables por hora en una interfaz fácil de usar. Para el gimnasio, reducir preguntas repetidas sobre concurrencia y comunicar sus horarios menos ocupados. Son beneficios por validar.</w:t>
            </w:r>
          </w:p>
        </w:tc>
      </w:tr>
      <w:tr>
        <w:tc>
          <w:tcPr>
            <w:tcW w:type="dxa" w:w="5018"/>
          </w:tcPr>
          <w:p>
            <w:r>
              <w:rPr>
                <w:sz w:val="18"/>
              </w:rPr>
              <w:t>Ingresos</w:t>
            </w:r>
          </w:p>
        </w:tc>
        <w:tc>
          <w:tcPr>
            <w:tcW w:type="dxa" w:w="5018"/>
          </w:tcPr>
          <w:p>
            <w:r>
              <w:rPr>
                <w:sz w:val="18"/>
              </w:rPr>
              <w:t>Suscripción de RD$1,599 al mes por sede con período pagado vigente, después de la prueba. Sin ingresos adicionales confirmados por publicidad, comisiones o venta de datos.</w:t>
            </w:r>
          </w:p>
        </w:tc>
      </w:tr>
      <w:tr>
        <w:tc>
          <w:tcPr>
            <w:tcW w:type="dxa" w:w="5018"/>
          </w:tcPr>
          <w:p>
            <w:r>
              <w:rPr>
                <w:sz w:val="18"/>
              </w:rPr>
              <w:t>Canales</w:t>
            </w:r>
          </w:p>
        </w:tc>
        <w:tc>
          <w:tcPr>
            <w:tcW w:type="dxa" w:w="5018"/>
          </w:tcPr>
          <w:p>
            <w:r>
              <w:rPr>
                <w:sz w:val="18"/>
              </w:rPr>
              <w:t>Visitas y contacto comercial directo con gimnasios, demostraciones del producto, contenido local en redes y enlaces compartidos por cada gimnasio.</w:t>
            </w:r>
          </w:p>
        </w:tc>
      </w:tr>
      <w:tr>
        <w:tc>
          <w:tcPr>
            <w:tcW w:type="dxa" w:w="5018"/>
          </w:tcPr>
          <w:p>
            <w:r>
              <w:rPr>
                <w:sz w:val="18"/>
              </w:rPr>
              <w:t>Relación con clientes</w:t>
            </w:r>
          </w:p>
        </w:tc>
        <w:tc>
          <w:tcPr>
            <w:tcW w:type="dxa" w:w="5018"/>
          </w:tcPr>
          <w:p>
            <w:r>
              <w:rPr>
                <w:sz w:val="18"/>
              </w:rPr>
              <w:t>Alta asistida, capacitación breve al personal, instrucciones para reportar y seguimiento durante la prueba.</w:t>
            </w:r>
          </w:p>
        </w:tc>
      </w:tr>
      <w:tr>
        <w:tc>
          <w:tcPr>
            <w:tcW w:type="dxa" w:w="5018"/>
          </w:tcPr>
          <w:p>
            <w:r>
              <w:rPr>
                <w:sz w:val="18"/>
              </w:rPr>
              <w:t>Actividades clave</w:t>
            </w:r>
          </w:p>
        </w:tc>
        <w:tc>
          <w:tcPr>
            <w:tcW w:type="dxa" w:w="5018"/>
          </w:tcPr>
          <w:p>
            <w:r>
              <w:rPr>
                <w:sz w:val="18"/>
              </w:rPr>
              <w:t>Incorporar gimnasios, mantener reportes útiles, operar el servicio, atender clientes, verificar pagos y gestionar moderación.</w:t>
            </w:r>
          </w:p>
        </w:tc>
      </w:tr>
      <w:tr>
        <w:tc>
          <w:tcPr>
            <w:tcW w:type="dxa" w:w="5018"/>
          </w:tcPr>
          <w:p>
            <w:r>
              <w:rPr>
                <w:sz w:val="18"/>
              </w:rPr>
              <w:t>Recursos clave</w:t>
            </w:r>
          </w:p>
        </w:tc>
        <w:tc>
          <w:tcPr>
            <w:tcW w:type="dxa" w:w="5018"/>
          </w:tcPr>
          <w:p>
            <w:r>
              <w:rPr>
                <w:sz w:val="18"/>
              </w:rPr>
              <w:t>Aplicación y base de datos, gimnasios participantes, un responsable de operación y soporte, sistema de pagos y confianza en la calidad de los reportes.</w:t>
            </w:r>
          </w:p>
        </w:tc>
      </w:tr>
      <w:tr>
        <w:tc>
          <w:tcPr>
            <w:tcW w:type="dxa" w:w="5018"/>
          </w:tcPr>
          <w:p>
            <w:r>
              <w:rPr>
                <w:sz w:val="18"/>
              </w:rPr>
              <w:t>Aliados y costos</w:t>
            </w:r>
          </w:p>
        </w:tc>
        <w:tc>
          <w:tcPr>
            <w:tcW w:type="dxa" w:w="5018"/>
          </w:tcPr>
          <w:p>
            <w:r>
              <w:rPr>
                <w:sz w:val="18"/>
              </w:rPr>
              <w:t>Gimnasios piloto, proveedor de alojamiento, pasarela y asesoría contable. Costos de infraestructura, comisiones, ventas, soporte y mantenimiento.</w:t>
            </w:r>
          </w:p>
        </w:tc>
      </w:tr>
    </w:tbl>
    <w:p/>
    <w:p>
      <w:pPr>
        <w:pStyle w:val="Heading2"/>
      </w:pPr>
      <w:r>
        <w:t>8. Mercado inicial y diferenciación</w:t>
      </w:r>
    </w:p>
    <w:p>
      <w:pPr/>
      <w:r/>
      <w:r>
        <w:rPr>
          <w:b/>
        </w:rPr>
        <w:t>Hipótesis:</w:t>
      </w:r>
      <w:r>
        <w:t xml:space="preserve"> los gimnasios independientes o de tamaño pequeño y mediano podrían decidir y probar el servicio con mayor rapidez que una cadena grande. Hay que comprobarlo con entrevistas; no es un hallazgo de mercado.</w:t>
      </w:r>
    </w:p>
    <w:p>
      <w:pPr/>
      <w:r>
        <w:t>Se recomienda empezar en una zona concreta de Santo Domingo o Santiago. Es más útil tener varios gimnasios cercanos que actualicen sus datos que un directorio nacional amplio con información antigua.</w:t>
      </w:r>
    </w:p>
    <w:p>
      <w:pPr/>
      <w:r>
        <w:t>La diferenciación propuesta es la combinación de enfoque local, sencillez y reportes horarios comparables. Las alternativas de una persona incluyen escribir al gimnasio, consultar sus redes o visitarlo sin información previa. No se realizó una investigación actualizada de competidores, tamaño de mercado o disposición a pagar.</w:t>
      </w:r>
    </w:p>
    <w:p>
      <w:pPr/>
      <w:r/>
      <w:r>
        <w:rPr>
          <w:b/>
        </w:rPr>
        <w:t>Confianza:</w:t>
      </w:r>
      <w:r>
        <w:t xml:space="preserve"> pagar una suscripción no verifica automáticamente la propiedad del gimnasio ni la exactitud de su ocupación. Si se ofrece una etiqueta de negocio verificado, deberá existir antes un proceso de verificación.</w:t>
      </w:r>
    </w:p>
    <w:p>
      <w:pPr>
        <w:pStyle w:val="Heading1"/>
      </w:pPr>
      <w:r>
        <w:t>Oferta, operación y medición</w:t>
      </w:r>
    </w:p>
    <w:p>
      <w:pPr>
        <w:pStyle w:val="Heading2"/>
      </w:pPr>
      <w:r>
        <w:t>9. Oferta comercial inicial</w:t>
      </w:r>
    </w:p>
    <w:p>
      <w:pPr/>
      <w:r/>
      <w:r>
        <w:rPr>
          <w:b/>
        </w:rPr>
        <w:t>Plan Publicación de Gimnasio: RD$1,599 mensuales por sede.</w:t>
      </w:r>
      <w:r>
        <w:t xml:space="preserve"> Incluye el perfil en el listado durante la prueba o el período pagado, edición de datos y publicación de reportes manuales de ocupación con su historial horario disponible.</w:t>
      </w:r>
    </w:p>
    <w:p>
      <w:pPr/>
      <w:r>
        <w:t>La prueba implementada es única por cuenta: empieza al añadir el primer gimnasio y no se reinicia al editar, borrar, volver a crear perfiles o redesplegar la aplicación. Los gimnasios ya existentes reciben una prueba desde la primera migración de esa versión. El precio por sede debe comunicarse claramente si una cuenta administra varios gimnasios.</w:t>
      </w:r>
    </w:p>
    <w:p>
      <w:pPr/>
      <w:r>
        <w:t>Antes de activar cobros, se deben definir con precisión el tratamiento de impuestos, comprobantes, condiciones de renovación, cancelación y devolución. El precio confirmado es RD$1,599; este documento no establece un tratamiento fiscal ni incluye una cotización de pasarela.</w:t>
      </w:r>
    </w:p>
    <w:p>
      <w:pPr>
        <w:pStyle w:val="Heading2"/>
      </w:pPr>
      <w:r>
        <w:t>10. Recorrido de un gimnasio</w:t>
      </w:r>
    </w:p>
    <w:p>
      <w:pPr/>
      <w:r>
        <w:t>1. Conoce una demostración y entiende qué resuelve el servicio y qué datos necesita aportar.</w:t>
      </w:r>
    </w:p>
    <w:p>
      <w:pPr/>
      <w:r>
        <w:t>2. Su responsable crea una cuenta y acepta las condiciones de publicación.</w:t>
      </w:r>
    </w:p>
    <w:p>
      <w:pPr/>
      <w:r>
        <w:t>3. Añade la primera sede e inicia el período de prueba. Se registra el primer reporte de ocupación.</w:t>
      </w:r>
    </w:p>
    <w:p>
      <w:pPr/>
      <w:r>
        <w:t>4. El personal actualiza el nivel durante el horario de operación. Las gráficas se llenan con reportes reales del autor, no con valores ficticios.</w:t>
      </w:r>
    </w:p>
    <w:p>
      <w:pPr/>
      <w:r>
        <w:t>5. Durante la prueba se revisan facilidad de uso, frecuencia de reportes y utilidad para usuarios.</w:t>
      </w:r>
    </w:p>
    <w:p>
      <w:pPr/>
      <w:r>
        <w:t>6. Una vez integrada la pasarela, el cliente podrá contratar la suscripción con autorización expresa de cobro. Actualmente ese paso no está disponible.</w:t>
      </w:r>
    </w:p>
    <w:p>
      <w:pPr/>
      <w:r>
        <w:t>7. Si no existe un período vigente después de la prueba, la sede deja de aparecer públicamente y conserva su información privada.</w:t>
      </w:r>
    </w:p>
    <w:p>
      <w:pPr>
        <w:pStyle w:val="Heading2"/>
      </w:pPr>
      <w:r>
        <w:t>11. Operación diaria propuesta</w:t>
      </w:r>
    </w:p>
    <w:p>
      <w:pPr>
        <w:pStyle w:val="ListBullet"/>
      </w:pPr>
      <w:r>
        <w:t>Cada gimnasio designa a una persona responsable de reportar y a un reemplazo. El objetivo inicial es actualizar por hora o cuando cambie la concurrencia.</w:t>
      </w:r>
    </w:p>
    <w:p>
      <w:pPr>
        <w:pStyle w:val="ListBullet"/>
      </w:pPr>
      <w:r>
        <w:t>GymHora revisa reportes antiguos y posibles abusos. Un reporte de más de dos horas no debe presentarse como ocupación actual.</w:t>
      </w:r>
    </w:p>
    <w:p>
      <w:pPr>
        <w:pStyle w:val="ListBullet"/>
      </w:pPr>
      <w:r>
        <w:t>El equipo atiende dudas y observa cuántos gimnasios mantienen datos útiles. Las automatizaciones e integraciones de acceso quedan para una etapa posterior.</w:t>
      </w:r>
    </w:p>
    <w:p>
      <w:pPr>
        <w:pStyle w:val="ListBullet"/>
      </w:pPr>
      <w:r>
        <w:t>La moderación debe usar criterios claros, avisos privados y una vía de contacto para aclaraciones. Ya existe una medida para un nombre específico; falta una política general publicada.</w:t>
      </w:r>
    </w:p>
    <w:p>
      <w:pPr>
        <w:pStyle w:val="Heading2"/>
      </w:pPr>
      <w:r>
        <w:t>12. Indicadores que hay que empezar a medir</w:t>
      </w:r>
    </w:p>
    <w:tbl>
      <w:tblPr>
        <w:tblStyle w:val="LightShading-Accent1"/>
        <w:tblW w:type="auto" w:w="0"/>
        <w:tblLook w:firstColumn="1" w:firstRow="1" w:lastColumn="0" w:lastRow="0" w:noHBand="0" w:noVBand="1" w:val="04A0"/>
      </w:tblPr>
      <w:tblGrid>
        <w:gridCol w:w="5018"/>
        <w:gridCol w:w="5018"/>
      </w:tblGrid>
      <w:tr>
        <w:tc>
          <w:tcPr>
            <w:tcW w:type="dxa" w:w="5018"/>
            <w:shd w:fill="E9F1E2"/>
          </w:tcPr>
          <w:p>
            <w:r>
              <w:rPr>
                <w:b/>
                <w:sz w:val="18"/>
              </w:rPr>
              <w:t>Indicador</w:t>
            </w:r>
          </w:p>
        </w:tc>
        <w:tc>
          <w:tcPr>
            <w:tcW w:type="dxa" w:w="5018"/>
            <w:shd w:fill="E9F1E2"/>
          </w:tcPr>
          <w:p>
            <w:r>
              <w:rPr>
                <w:b/>
                <w:sz w:val="18"/>
              </w:rPr>
              <w:t>Qué debe mostrar</w:t>
            </w:r>
          </w:p>
        </w:tc>
      </w:tr>
      <w:tr>
        <w:tc>
          <w:tcPr>
            <w:tcW w:type="dxa" w:w="5018"/>
          </w:tcPr>
          <w:p>
            <w:r>
              <w:rPr>
                <w:sz w:val="18"/>
              </w:rPr>
              <w:t>Gimnasios activados</w:t>
            </w:r>
          </w:p>
        </w:tc>
        <w:tc>
          <w:tcPr>
            <w:tcW w:type="dxa" w:w="5018"/>
          </w:tcPr>
          <w:p>
            <w:r>
              <w:rPr>
                <w:sz w:val="18"/>
              </w:rPr>
              <w:t>Sedes que completan su perfil y publican al menos un reporte.</w:t>
            </w:r>
          </w:p>
        </w:tc>
      </w:tr>
      <w:tr>
        <w:tc>
          <w:tcPr>
            <w:tcW w:type="dxa" w:w="5018"/>
          </w:tcPr>
          <w:p>
            <w:r>
              <w:rPr>
                <w:sz w:val="18"/>
              </w:rPr>
              <w:t>Cobertura horaria</w:t>
            </w:r>
          </w:p>
        </w:tc>
        <w:tc>
          <w:tcPr>
            <w:tcW w:type="dxa" w:w="5018"/>
          </w:tcPr>
          <w:p>
            <w:r>
              <w:rPr>
                <w:sz w:val="18"/>
              </w:rPr>
              <w:t>Horas de operación con reportes útiles frente a horas sin datos.</w:t>
            </w:r>
          </w:p>
        </w:tc>
      </w:tr>
      <w:tr>
        <w:tc>
          <w:tcPr>
            <w:tcW w:type="dxa" w:w="5018"/>
          </w:tcPr>
          <w:p>
            <w:r>
              <w:rPr>
                <w:sz w:val="18"/>
              </w:rPr>
              <w:t>Recencia</w:t>
            </w:r>
          </w:p>
        </w:tc>
        <w:tc>
          <w:tcPr>
            <w:tcW w:type="dxa" w:w="5018"/>
          </w:tcPr>
          <w:p>
            <w:r>
              <w:rPr>
                <w:sz w:val="18"/>
              </w:rPr>
              <w:t>Proporción de sedes visibles cuyo último reporte tiene menos de dos horas.</w:t>
            </w:r>
          </w:p>
        </w:tc>
      </w:tr>
      <w:tr>
        <w:tc>
          <w:tcPr>
            <w:tcW w:type="dxa" w:w="5018"/>
          </w:tcPr>
          <w:p>
            <w:r>
              <w:rPr>
                <w:sz w:val="18"/>
              </w:rPr>
              <w:t>Uso por personas</w:t>
            </w:r>
          </w:p>
        </w:tc>
        <w:tc>
          <w:tcPr>
            <w:tcW w:type="dxa" w:w="5018"/>
          </w:tcPr>
          <w:p>
            <w:r>
              <w:rPr>
                <w:sz w:val="18"/>
              </w:rPr>
              <w:t>Visitas y consultas de perfiles que ayuden a evaluar utilidad y repetición de uso.</w:t>
            </w:r>
          </w:p>
        </w:tc>
      </w:tr>
      <w:tr>
        <w:tc>
          <w:tcPr>
            <w:tcW w:type="dxa" w:w="5018"/>
          </w:tcPr>
          <w:p>
            <w:r>
              <w:rPr>
                <w:sz w:val="18"/>
              </w:rPr>
              <w:t>Conversión y retención</w:t>
            </w:r>
          </w:p>
        </w:tc>
        <w:tc>
          <w:tcPr>
            <w:tcW w:type="dxa" w:w="5018"/>
          </w:tcPr>
          <w:p>
            <w:r>
              <w:rPr>
                <w:sz w:val="18"/>
              </w:rPr>
              <w:t>Cuentas que prueban, contratan y continúan pagando. Hoy no hay cobro real habilitado.</w:t>
            </w:r>
          </w:p>
        </w:tc>
      </w:tr>
      <w:tr>
        <w:tc>
          <w:tcPr>
            <w:tcW w:type="dxa" w:w="5018"/>
          </w:tcPr>
          <w:p>
            <w:r>
              <w:rPr>
                <w:sz w:val="18"/>
              </w:rPr>
              <w:t>Ingreso y costo comercial</w:t>
            </w:r>
          </w:p>
        </w:tc>
        <w:tc>
          <w:tcPr>
            <w:tcW w:type="dxa" w:w="5018"/>
          </w:tcPr>
          <w:p>
            <w:r>
              <w:rPr>
                <w:sz w:val="18"/>
              </w:rPr>
              <w:t>Ingreso mensual de sedes pagadas, cancelaciones, costo de conseguir clientes y tiempo de soporte.</w:t>
            </w:r>
          </w:p>
        </w:tc>
      </w:tr>
    </w:tbl>
    <w:p/>
    <w:p>
      <w:pPr/>
      <w:r>
        <w:t>Estos son indicadores propuestos. No se implementó un sistema completo de analítica ni se dispone de cifras verificadas de usuarios, clientes o ingresos.</w:t>
      </w:r>
    </w:p>
    <w:p>
      <w:pPr>
        <w:pStyle w:val="Heading1"/>
      </w:pPr>
      <w:r>
        <w:t>Escenarios económicos ilustrativos</w:t>
      </w:r>
    </w:p>
    <w:p>
      <w:pPr>
        <w:pStyle w:val="Heading2"/>
      </w:pPr>
      <w:r>
        <w:t>13. Ingreso mensual según gimnasios que pagan</w:t>
      </w:r>
    </w:p>
    <w:p>
      <w:pPr/>
      <w:r/>
      <w:r>
        <w:rPr>
          <w:b/>
        </w:rPr>
        <w:t>Fórmula:</w:t>
      </w:r>
      <w:r>
        <w:t xml:space="preserve"> gimnasios con suscripción pagada × RD$1,599. Las pruebas gratuitas no cuentan como ingresos recurrentes. Estas cifras son escenarios matemáticos, no ventas logradas ni pronósticos.</w:t>
      </w:r>
    </w:p>
    <w:tbl>
      <w:tblPr>
        <w:tblStyle w:val="LightShading-Accent1"/>
        <w:tblW w:type="auto" w:w="0"/>
        <w:tblLook w:firstColumn="1" w:firstRow="1" w:lastColumn="0" w:lastRow="0" w:noHBand="0" w:noVBand="1" w:val="04A0"/>
      </w:tblPr>
      <w:tblGrid>
        <w:gridCol w:w="5018"/>
        <w:gridCol w:w="5018"/>
      </w:tblGrid>
      <w:tr>
        <w:tc>
          <w:tcPr>
            <w:tcW w:type="dxa" w:w="5018"/>
            <w:shd w:fill="E9F1E2"/>
          </w:tcPr>
          <w:p>
            <w:r>
              <w:rPr>
                <w:b/>
                <w:sz w:val="18"/>
              </w:rPr>
              <w:t>Gimnasios que pagan</w:t>
            </w:r>
          </w:p>
        </w:tc>
        <w:tc>
          <w:tcPr>
            <w:tcW w:type="dxa" w:w="5018"/>
            <w:shd w:fill="E9F1E2"/>
          </w:tcPr>
          <w:p>
            <w:r>
              <w:rPr>
                <w:b/>
                <w:sz w:val="18"/>
              </w:rPr>
              <w:t>Ingreso bruto mensual</w:t>
            </w:r>
          </w:p>
        </w:tc>
      </w:tr>
      <w:tr>
        <w:tc>
          <w:tcPr>
            <w:tcW w:type="dxa" w:w="5018"/>
          </w:tcPr>
          <w:p>
            <w:r>
              <w:rPr>
                <w:sz w:val="18"/>
              </w:rPr>
              <w:t>10</w:t>
            </w:r>
          </w:p>
        </w:tc>
        <w:tc>
          <w:tcPr>
            <w:tcW w:type="dxa" w:w="5018"/>
          </w:tcPr>
          <w:p>
            <w:r>
              <w:rPr>
                <w:sz w:val="18"/>
              </w:rPr>
              <w:t>RD$15,990</w:t>
            </w:r>
          </w:p>
        </w:tc>
      </w:tr>
      <w:tr>
        <w:tc>
          <w:tcPr>
            <w:tcW w:type="dxa" w:w="5018"/>
          </w:tcPr>
          <w:p>
            <w:r>
              <w:rPr>
                <w:sz w:val="18"/>
              </w:rPr>
              <w:t>25</w:t>
            </w:r>
          </w:p>
        </w:tc>
        <w:tc>
          <w:tcPr>
            <w:tcW w:type="dxa" w:w="5018"/>
          </w:tcPr>
          <w:p>
            <w:r>
              <w:rPr>
                <w:sz w:val="18"/>
              </w:rPr>
              <w:t>RD$39,975</w:t>
            </w:r>
          </w:p>
        </w:tc>
      </w:tr>
      <w:tr>
        <w:tc>
          <w:tcPr>
            <w:tcW w:type="dxa" w:w="5018"/>
          </w:tcPr>
          <w:p>
            <w:r>
              <w:rPr>
                <w:sz w:val="18"/>
              </w:rPr>
              <w:t>50</w:t>
            </w:r>
          </w:p>
        </w:tc>
        <w:tc>
          <w:tcPr>
            <w:tcW w:type="dxa" w:w="5018"/>
          </w:tcPr>
          <w:p>
            <w:r>
              <w:rPr>
                <w:sz w:val="18"/>
              </w:rPr>
              <w:t>RD$79,950</w:t>
            </w:r>
          </w:p>
        </w:tc>
      </w:tr>
      <w:tr>
        <w:tc>
          <w:tcPr>
            <w:tcW w:type="dxa" w:w="5018"/>
          </w:tcPr>
          <w:p>
            <w:r>
              <w:rPr>
                <w:sz w:val="18"/>
              </w:rPr>
              <w:t>100</w:t>
            </w:r>
          </w:p>
        </w:tc>
        <w:tc>
          <w:tcPr>
            <w:tcW w:type="dxa" w:w="5018"/>
          </w:tcPr>
          <w:p>
            <w:r>
              <w:rPr>
                <w:sz w:val="18"/>
              </w:rPr>
              <w:t>RD$159,900</w:t>
            </w:r>
          </w:p>
        </w:tc>
      </w:tr>
      <w:tr>
        <w:tc>
          <w:tcPr>
            <w:tcW w:type="dxa" w:w="5018"/>
          </w:tcPr>
          <w:p>
            <w:r>
              <w:rPr>
                <w:sz w:val="18"/>
              </w:rPr>
              <w:t>200</w:t>
            </w:r>
          </w:p>
        </w:tc>
        <w:tc>
          <w:tcPr>
            <w:tcW w:type="dxa" w:w="5018"/>
          </w:tcPr>
          <w:p>
            <w:r>
              <w:rPr>
                <w:sz w:val="18"/>
              </w:rPr>
              <w:t>RD$319,800</w:t>
            </w:r>
          </w:p>
        </w:tc>
      </w:tr>
    </w:tbl>
    <w:p/>
    <w:p>
      <w:pPr/>
      <w:r>
        <w:t>El ingreso bruto no es ganancia: faltan comisiones de pago, impuestos aplicables, infraestructura, soporte, ventas, salarios, devoluciones y otros costos.</w:t>
      </w:r>
    </w:p>
    <w:p>
      <w:pPr>
        <w:pStyle w:val="Heading2"/>
      </w:pPr>
      <w:r>
        <w:t>14. Ejemplo de presupuesto para una prueba comercial</w:t>
      </w:r>
    </w:p>
    <w:p>
      <w:pPr/>
      <w:r>
        <w:t xml:space="preserve">Los siguientes importes son </w:t>
      </w:r>
      <w:r>
        <w:rPr>
          <w:b/>
        </w:rPr>
        <w:t>supuestos de trabajo</w:t>
      </w:r>
      <w:r>
        <w:t>, no costos actuales ni cotizaciones. Deben reemplazarse con presupuestos reales antes de decidir una inversión.</w:t>
      </w:r>
    </w:p>
    <w:tbl>
      <w:tblPr>
        <w:tblStyle w:val="LightShading-Accent1"/>
        <w:tblW w:type="auto" w:w="0"/>
        <w:tblLook w:firstColumn="1" w:firstRow="1" w:lastColumn="0" w:lastRow="0" w:noHBand="0" w:noVBand="1" w:val="04A0"/>
      </w:tblPr>
      <w:tblGrid>
        <w:gridCol w:w="5018"/>
        <w:gridCol w:w="5018"/>
      </w:tblGrid>
      <w:tr>
        <w:tc>
          <w:tcPr>
            <w:tcW w:type="dxa" w:w="5018"/>
            <w:shd w:fill="E9F1E2"/>
          </w:tcPr>
          <w:p>
            <w:r>
              <w:rPr>
                <w:b/>
                <w:sz w:val="18"/>
              </w:rPr>
              <w:t>Concepto</w:t>
            </w:r>
          </w:p>
        </w:tc>
        <w:tc>
          <w:tcPr>
            <w:tcW w:type="dxa" w:w="5018"/>
            <w:shd w:fill="E9F1E2"/>
          </w:tcPr>
          <w:p>
            <w:r>
              <w:rPr>
                <w:b/>
                <w:sz w:val="18"/>
              </w:rPr>
              <w:t>Supuesto mensual</w:t>
            </w:r>
          </w:p>
        </w:tc>
      </w:tr>
      <w:tr>
        <w:tc>
          <w:tcPr>
            <w:tcW w:type="dxa" w:w="5018"/>
          </w:tcPr>
          <w:p>
            <w:r>
              <w:rPr>
                <w:sz w:val="18"/>
              </w:rPr>
              <w:t>Infraestructura y herramientas</w:t>
            </w:r>
          </w:p>
        </w:tc>
        <w:tc>
          <w:tcPr>
            <w:tcW w:type="dxa" w:w="5018"/>
          </w:tcPr>
          <w:p>
            <w:r>
              <w:rPr>
                <w:sz w:val="18"/>
              </w:rPr>
              <w:t>RD$2,000</w:t>
            </w:r>
          </w:p>
        </w:tc>
      </w:tr>
      <w:tr>
        <w:tc>
          <w:tcPr>
            <w:tcW w:type="dxa" w:w="5018"/>
          </w:tcPr>
          <w:p>
            <w:r>
              <w:rPr>
                <w:sz w:val="18"/>
              </w:rPr>
              <w:t>Tiempo o presupuesto de soporte y captación</w:t>
            </w:r>
          </w:p>
        </w:tc>
        <w:tc>
          <w:tcPr>
            <w:tcW w:type="dxa" w:w="5018"/>
          </w:tcPr>
          <w:p>
            <w:r>
              <w:rPr>
                <w:sz w:val="18"/>
              </w:rPr>
              <w:t>RD$6,000</w:t>
            </w:r>
          </w:p>
        </w:tc>
      </w:tr>
      <w:tr>
        <w:tc>
          <w:tcPr>
            <w:tcW w:type="dxa" w:w="5018"/>
          </w:tcPr>
          <w:p>
            <w:r>
              <w:rPr>
                <w:sz w:val="18"/>
              </w:rPr>
              <w:t>Reserva operativa</w:t>
            </w:r>
          </w:p>
        </w:tc>
        <w:tc>
          <w:tcPr>
            <w:tcW w:type="dxa" w:w="5018"/>
          </w:tcPr>
          <w:p>
            <w:r>
              <w:rPr>
                <w:sz w:val="18"/>
              </w:rPr>
              <w:t>RD$1,000</w:t>
            </w:r>
          </w:p>
        </w:tc>
      </w:tr>
      <w:tr>
        <w:tc>
          <w:tcPr>
            <w:tcW w:type="dxa" w:w="5018"/>
          </w:tcPr>
          <w:p>
            <w:r>
              <w:rPr>
                <w:sz w:val="18"/>
              </w:rPr>
              <w:t>Total fijo ilustrativo</w:t>
            </w:r>
          </w:p>
        </w:tc>
        <w:tc>
          <w:tcPr>
            <w:tcW w:type="dxa" w:w="5018"/>
          </w:tcPr>
          <w:p>
            <w:r>
              <w:rPr>
                <w:sz w:val="18"/>
              </w:rPr>
              <w:t>RD$9,000</w:t>
            </w:r>
          </w:p>
        </w:tc>
      </w:tr>
      <w:tr>
        <w:tc>
          <w:tcPr>
            <w:tcW w:type="dxa" w:w="5018"/>
          </w:tcPr>
          <w:p>
            <w:r>
              <w:rPr>
                <w:sz w:val="18"/>
              </w:rPr>
              <w:t>Comisión variable de pagos</w:t>
            </w:r>
          </w:p>
        </w:tc>
        <w:tc>
          <w:tcPr>
            <w:tcW w:type="dxa" w:w="5018"/>
          </w:tcPr>
          <w:p>
            <w:r>
              <w:rPr>
                <w:sz w:val="18"/>
              </w:rPr>
              <w:t>5% del cobro; supuesto no confirmado</w:t>
            </w:r>
          </w:p>
        </w:tc>
      </w:tr>
    </w:tbl>
    <w:p/>
    <w:p>
      <w:pPr/>
      <w:r>
        <w:t xml:space="preserve">Con esos supuestos, cada sede deja </w:t>
      </w:r>
      <w:r>
        <w:rPr>
          <w:b/>
        </w:rPr>
        <w:t>RD$1,519.05</w:t>
      </w:r>
      <w:r>
        <w:t xml:space="preserve"> antes de costos fijos y demás conceptos excluidos: RD$1,599 × 95%.</w:t>
      </w:r>
    </w:p>
    <w:p>
      <w:pPr/>
      <w:r>
        <w:t xml:space="preserve">El equilibrio de ese presupuesto limitado sería de </w:t>
      </w:r>
      <w:r>
        <w:rPr>
          <w:b/>
        </w:rPr>
        <w:t>6 gimnasios que pagan</w:t>
      </w:r>
      <w:r>
        <w:t xml:space="preserve">: 6 × RD$1,519.05 = RD$9,114.30. Esto </w:t>
      </w:r>
      <w:r>
        <w:rPr>
          <w:b/>
        </w:rPr>
        <w:t>no demuestra rentabilidad completa</w:t>
      </w:r>
      <w:r>
        <w:t>: no contempla sueldo del fundador, todos los gastos comerciales, impuestos, devoluciones ni posibles costos variables adicionales.</w:t>
      </w:r>
    </w:p>
    <w:p>
      <w:pPr>
        <w:pStyle w:val="Heading2"/>
      </w:pPr>
      <w:r>
        <w:t>15. Cómo validar el precio</w:t>
      </w:r>
    </w:p>
    <w:p>
      <w:pPr/>
      <w:r>
        <w:t>El precio de RD$1,599 fue definido por Hairon. Falta comprobar si los gimnasios consideran suficiente el valor recibido y si mantienen la suscripción después de probarla.</w:t>
      </w:r>
    </w:p>
    <w:p>
      <w:pPr/>
      <w:r>
        <w:t>Antes de ampliar gastos, se recomienda entrevistar responsables de gimnasio, registrar objeciones y comprobar pagos reales cuando la pasarela esté habilitada. Aceptar una demostración o decir que la idea es buena no equivale a contratar.</w:t>
      </w:r>
    </w:p>
    <w:p>
      <w:pPr/>
      <w:r>
        <w:t>El presupuesto real deberá incluir el cambio o migración de la base gratuita antes de su caducidad. No se asume que la infraestructura gratuita sea adecuada de forma permanente.</w:t>
      </w:r>
    </w:p>
    <w:p>
      <w:pPr>
        <w:pStyle w:val="Heading1"/>
      </w:pPr>
      <w:r>
        <w:t>Próximos pasos y continuidad</w:t>
      </w:r>
    </w:p>
    <w:p>
      <w:pPr>
        <w:pStyle w:val="Heading2"/>
      </w:pPr>
      <w:r>
        <w:t>16. Plan propuesto para los primeros 30 días</w:t>
      </w:r>
    </w:p>
    <w:tbl>
      <w:tblPr>
        <w:tblStyle w:val="LightShading-Accent1"/>
        <w:tblW w:type="auto" w:w="0"/>
        <w:tblLook w:firstColumn="1" w:firstRow="1" w:lastColumn="0" w:lastRow="0" w:noHBand="0" w:noVBand="1" w:val="04A0"/>
      </w:tblPr>
      <w:tblGrid>
        <w:gridCol w:w="5018"/>
        <w:gridCol w:w="5018"/>
      </w:tblGrid>
      <w:tr>
        <w:tc>
          <w:tcPr>
            <w:tcW w:type="dxa" w:w="5018"/>
            <w:shd w:fill="E9F1E2"/>
          </w:tcPr>
          <w:p>
            <w:r>
              <w:rPr>
                <w:b/>
                <w:sz w:val="18"/>
              </w:rPr>
              <w:t>Etapa</w:t>
            </w:r>
          </w:p>
        </w:tc>
        <w:tc>
          <w:tcPr>
            <w:tcW w:type="dxa" w:w="5018"/>
            <w:shd w:fill="E9F1E2"/>
          </w:tcPr>
          <w:p>
            <w:r>
              <w:rPr>
                <w:b/>
                <w:sz w:val="18"/>
              </w:rPr>
              <w:t>Trabajo propuesto y criterio de avance</w:t>
            </w:r>
          </w:p>
        </w:tc>
      </w:tr>
      <w:tr>
        <w:tc>
          <w:tcPr>
            <w:tcW w:type="dxa" w:w="5018"/>
          </w:tcPr>
          <w:p>
            <w:r>
              <w:rPr>
                <w:sz w:val="18"/>
              </w:rPr>
              <w:t>Semana 1: preparar operación</w:t>
            </w:r>
          </w:p>
        </w:tc>
        <w:tc>
          <w:tcPr>
            <w:tcW w:type="dxa" w:w="5018"/>
          </w:tcPr>
          <w:p>
            <w:r>
              <w:rPr>
                <w:sz w:val="18"/>
              </w:rPr>
              <w:t>Verificar la última versión en Render, conexión y recuperación de cuentas, retirada solicitada, credenciales y continuidad de la base. Elegir una pasarela y comenzar su alta comercial.</w:t>
            </w:r>
          </w:p>
        </w:tc>
      </w:tr>
      <w:tr>
        <w:tc>
          <w:tcPr>
            <w:tcW w:type="dxa" w:w="5018"/>
          </w:tcPr>
          <w:p>
            <w:r>
              <w:rPr>
                <w:sz w:val="18"/>
              </w:rPr>
              <w:t>Semana 2: piloto pequeño</w:t>
            </w:r>
          </w:p>
        </w:tc>
        <w:tc>
          <w:tcPr>
            <w:tcW w:type="dxa" w:w="5018"/>
          </w:tcPr>
          <w:p>
            <w:r>
              <w:rPr>
                <w:sz w:val="18"/>
              </w:rPr>
              <w:t>Objetivo orientativo: contactar 10 gimnasios de una misma zona y conseguir entre 3 y 5 participantes para una prueba operativa controlada. Son metas, no resultados conseguidos. No activar pruebas comerciales sin explicar que el pago aún está pendiente.</w:t>
            </w:r>
          </w:p>
        </w:tc>
      </w:tr>
      <w:tr>
        <w:tc>
          <w:tcPr>
            <w:tcW w:type="dxa" w:w="5018"/>
          </w:tcPr>
          <w:p>
            <w:r>
              <w:rPr>
                <w:sz w:val="18"/>
              </w:rPr>
              <w:t>Semana 3: utilidad y disciplina</w:t>
            </w:r>
          </w:p>
        </w:tc>
        <w:tc>
          <w:tcPr>
            <w:tcW w:type="dxa" w:w="5018"/>
          </w:tcPr>
          <w:p>
            <w:r>
              <w:rPr>
                <w:sz w:val="18"/>
              </w:rPr>
              <w:t>Observar si el personal reporta, qué horas quedan sin datos y si las personas consultan los perfiles. Corregir primero problemas que impidan usar el servicio.</w:t>
            </w:r>
          </w:p>
        </w:tc>
      </w:tr>
      <w:tr>
        <w:tc>
          <w:tcPr>
            <w:tcW w:type="dxa" w:w="5018"/>
          </w:tcPr>
          <w:p>
            <w:r>
              <w:rPr>
                <w:sz w:val="18"/>
              </w:rPr>
              <w:t>Semana 4: decisión comercial</w:t>
            </w:r>
          </w:p>
        </w:tc>
        <w:tc>
          <w:tcPr>
            <w:tcW w:type="dxa" w:w="5018"/>
          </w:tcPr>
          <w:p>
            <w:r>
              <w:rPr>
                <w:sz w:val="18"/>
              </w:rPr>
              <w:t>Cuando el cobro esté integrado y probado, ofrecer el plan confirmado, medir contratación y objeciones y decidir si ampliar el piloto, ajustar la oferta o mejorar el producto.</w:t>
            </w:r>
          </w:p>
        </w:tc>
      </w:tr>
    </w:tbl>
    <w:p/>
    <w:p>
      <w:pPr/>
      <w:r>
        <w:t>No se promete que el alta de una pasarela o las ventas concluyan dentro de esos plazos; dependen de requisitos externos y de la respuesta del mercado.</w:t>
      </w:r>
    </w:p>
    <w:p>
      <w:pPr>
        <w:pStyle w:val="Heading2"/>
      </w:pPr>
      <w:r>
        <w:t>17. Hipótesis que hay que resolver</w:t>
      </w:r>
    </w:p>
    <w:p>
      <w:pPr>
        <w:pStyle w:val="ListBullet"/>
      </w:pPr>
      <w:r>
        <w:t>¿El gimnasio percibe suficiente valor como para pagar RD$1,599 mensuales?</w:t>
      </w:r>
    </w:p>
    <w:p>
      <w:pPr>
        <w:pStyle w:val="ListBullet"/>
      </w:pPr>
      <w:r>
        <w:t>¿Su personal puede mantener los reportes actualizados sin añadir una carga excesiva?</w:t>
      </w:r>
    </w:p>
    <w:p>
      <w:pPr>
        <w:pStyle w:val="ListBullet"/>
      </w:pPr>
      <w:r>
        <w:t>¿Las personas consultan la información y vuelven a utilizarla?</w:t>
      </w:r>
    </w:p>
    <w:p>
      <w:pPr>
        <w:pStyle w:val="ListBullet"/>
      </w:pPr>
      <w:r>
        <w:t>¿Siete días permiten demostrar valor, teniendo en cuenta que el historial comienza con pocos reportes?</w:t>
      </w:r>
    </w:p>
    <w:p>
      <w:pPr>
        <w:pStyle w:val="ListBullet"/>
      </w:pPr>
      <w:r>
        <w:t>¿El costo de vender y dar soporte permite sostener el precio?</w:t>
      </w:r>
    </w:p>
    <w:p>
      <w:pPr>
        <w:pStyle w:val="ListBullet"/>
      </w:pPr>
      <w:r>
        <w:t>¿La información manual resulta suficientemente fiable o será necesaria una integración con entradas y salidas?</w:t>
      </w:r>
    </w:p>
    <w:p>
      <w:pPr>
        <w:pStyle w:val="Heading2"/>
      </w:pPr>
      <w:r>
        <w:t>18. Riesgos principales y respuesta propuesta</w:t>
      </w:r>
    </w:p>
    <w:tbl>
      <w:tblPr>
        <w:tblStyle w:val="LightShading-Accent1"/>
        <w:tblW w:type="auto" w:w="0"/>
        <w:tblLook w:firstColumn="1" w:firstRow="1" w:lastColumn="0" w:lastRow="0" w:noHBand="0" w:noVBand="1" w:val="04A0"/>
      </w:tblPr>
      <w:tblGrid>
        <w:gridCol w:w="5018"/>
        <w:gridCol w:w="5018"/>
      </w:tblGrid>
      <w:tr>
        <w:tc>
          <w:tcPr>
            <w:tcW w:type="dxa" w:w="5018"/>
            <w:shd w:fill="E9F1E2"/>
          </w:tcPr>
          <w:p>
            <w:r>
              <w:rPr>
                <w:b/>
                <w:sz w:val="18"/>
              </w:rPr>
              <w:t>Riesgo observado</w:t>
            </w:r>
          </w:p>
        </w:tc>
        <w:tc>
          <w:tcPr>
            <w:tcW w:type="dxa" w:w="5018"/>
            <w:shd w:fill="E9F1E2"/>
          </w:tcPr>
          <w:p>
            <w:r>
              <w:rPr>
                <w:b/>
                <w:sz w:val="18"/>
              </w:rPr>
              <w:t>Respuesta propuesta</w:t>
            </w:r>
          </w:p>
        </w:tc>
      </w:tr>
      <w:tr>
        <w:tc>
          <w:tcPr>
            <w:tcW w:type="dxa" w:w="5018"/>
          </w:tcPr>
          <w:p>
            <w:r>
              <w:rPr>
                <w:sz w:val="18"/>
              </w:rPr>
              <w:t>Pocos gimnasios o información antigua</w:t>
            </w:r>
          </w:p>
        </w:tc>
        <w:tc>
          <w:tcPr>
            <w:tcW w:type="dxa" w:w="5018"/>
          </w:tcPr>
          <w:p>
            <w:r>
              <w:rPr>
                <w:sz w:val="18"/>
              </w:rPr>
              <w:t>Lanzamiento por zona y seguimiento de cobertura y recencia.</w:t>
            </w:r>
          </w:p>
        </w:tc>
      </w:tr>
      <w:tr>
        <w:tc>
          <w:tcPr>
            <w:tcW w:type="dxa" w:w="5018"/>
          </w:tcPr>
          <w:p>
            <w:r>
              <w:rPr>
                <w:sz w:val="18"/>
              </w:rPr>
              <w:t>Confundir ejemplos con datos reales</w:t>
            </w:r>
          </w:p>
        </w:tc>
        <w:tc>
          <w:tcPr>
            <w:tcW w:type="dxa" w:w="5018"/>
          </w:tcPr>
          <w:p>
            <w:r>
              <w:rPr>
                <w:sz w:val="18"/>
              </w:rPr>
              <w:t>Mantener etiquetas de demostración, comunidad y fuente; nunca inventar personas o porcentajes.</w:t>
            </w:r>
          </w:p>
        </w:tc>
      </w:tr>
      <w:tr>
        <w:tc>
          <w:tcPr>
            <w:tcW w:type="dxa" w:w="5018"/>
          </w:tcPr>
          <w:p>
            <w:r>
              <w:rPr>
                <w:sz w:val="18"/>
              </w:rPr>
              <w:t>Pruebas que vencen sin poder pagar</w:t>
            </w:r>
          </w:p>
        </w:tc>
        <w:tc>
          <w:tcPr>
            <w:tcW w:type="dxa" w:w="5018"/>
          </w:tcPr>
          <w:p>
            <w:r>
              <w:rPr>
                <w:sz w:val="18"/>
              </w:rPr>
              <w:t>Completar la integración antes de una campaña comercial y explicar el estado actual.</w:t>
            </w:r>
          </w:p>
        </w:tc>
      </w:tr>
      <w:tr>
        <w:tc>
          <w:tcPr>
            <w:tcW w:type="dxa" w:w="5018"/>
          </w:tcPr>
          <w:p>
            <w:r>
              <w:rPr>
                <w:sz w:val="18"/>
              </w:rPr>
              <w:t>Pérdida de datos por base gratuita que caduca</w:t>
            </w:r>
          </w:p>
        </w:tc>
        <w:tc>
          <w:tcPr>
            <w:tcW w:type="dxa" w:w="5018"/>
          </w:tcPr>
          <w:p>
            <w:r>
              <w:rPr>
                <w:sz w:val="18"/>
              </w:rPr>
              <w:t>Definir alojamiento permanente y copias de seguridad antes del 15 de noviembre de 2026.</w:t>
            </w:r>
          </w:p>
        </w:tc>
      </w:tr>
      <w:tr>
        <w:tc>
          <w:tcPr>
            <w:tcW w:type="dxa" w:w="5018"/>
          </w:tcPr>
          <w:p>
            <w:r>
              <w:rPr>
                <w:sz w:val="18"/>
              </w:rPr>
              <w:t>Confundir un commit con un despliegue activo</w:t>
            </w:r>
          </w:p>
        </w:tc>
        <w:tc>
          <w:tcPr>
            <w:tcW w:type="dxa" w:w="5018"/>
          </w:tcPr>
          <w:p>
            <w:r>
              <w:rPr>
                <w:sz w:val="18"/>
              </w:rPr>
              <w:t>Comprobar en Render el commit Live y realizar una prueba funcional del sitio real.</w:t>
            </w:r>
          </w:p>
        </w:tc>
      </w:tr>
      <w:tr>
        <w:tc>
          <w:tcPr>
            <w:tcW w:type="dxa" w:w="5018"/>
          </w:tcPr>
          <w:p>
            <w:r>
              <w:rPr>
                <w:sz w:val="18"/>
              </w:rPr>
              <w:t>Abuso de perfiles o nombres</w:t>
            </w:r>
          </w:p>
        </w:tc>
        <w:tc>
          <w:tcPr>
            <w:tcW w:type="dxa" w:w="5018"/>
          </w:tcPr>
          <w:p>
            <w:r>
              <w:rPr>
                <w:sz w:val="18"/>
              </w:rPr>
              <w:t>Verificación comercial proporcional, reglas públicas y avisos privados de moderación.</w:t>
            </w:r>
          </w:p>
        </w:tc>
      </w:tr>
    </w:tbl>
    <w:p/>
    <w:p>
      <w:pPr>
        <w:pStyle w:val="Heading2"/>
      </w:pPr>
      <w:r>
        <w:t>19. Punto de partida para la próxima sesión</w:t>
      </w:r>
    </w:p>
    <w:p>
      <w:pPr/>
      <w:r>
        <w:t xml:space="preserve">La aplicación queda en pausa a petición de Hairon; este documento no cambia su código ni publica otra versión. La última versión guardada es </w:t>
      </w:r>
      <w:r>
        <w:rPr>
          <w:rFonts w:ascii="Consolas" w:hAnsi="Consolas"/>
          <w:sz w:val="18"/>
        </w:rPr>
        <w:t>bc41489</w:t>
      </w:r>
      <w:r>
        <w:t>. La primera comprobación al retomar será su estado real en Render y la ejecución de la retirada solicitada.</w:t>
      </w:r>
    </w:p>
    <w:p>
      <w:pPr/>
      <w:r>
        <w:t xml:space="preserve">La prioridad comercial es </w:t>
      </w:r>
      <w:r>
        <w:rPr>
          <w:b/>
        </w:rPr>
        <w:t>elegir y habilitar un medio de cobro recurrente en DOP</w:t>
      </w:r>
      <w:r>
        <w:t xml:space="preserve">. La prioridad de validación es </w:t>
      </w:r>
      <w:r>
        <w:rPr>
          <w:b/>
        </w:rPr>
        <w:t>probar con pocos gimnasios si el producto se usa y justifica el precio</w:t>
      </w:r>
      <w:r>
        <w:t>. No se proponen nuevas funciones como sustituto de comprobar esas dos condiciones.</w:t>
      </w:r>
    </w:p>
    <w:p>
      <w:pPr/>
      <w:r/>
      <w:r>
        <w:rPr>
          <w:b/>
        </w:rPr>
        <w:t>Material de referencia:</w:t>
      </w:r>
      <w:r>
        <w:t xml:space="preserve"> repositorio https://github.com/haironmanuel/kenatural y documentación técnica </w:t>
      </w:r>
      <w:r>
        <w:rPr>
          <w:rFonts w:ascii="Consolas" w:hAnsi="Consolas"/>
          <w:sz w:val="18"/>
        </w:rPr>
        <w:t>README.md</w:t>
      </w:r>
      <w:r>
        <w:t>. Este informe resume el trabajo de la conversación y la evidencia de código y capturas; no constituye un estudio de mercado ni una previsión financiera validada.</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Preliminar · 16 de octubre de 2026 · Hipótesis comerciales por validar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GYMHORA RD  |  Informe de avances y modelo de negocio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172E28"/>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172E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color w:val="172E2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GymHora RD · Informe de avances y modelo de negocio</dc:title>
  <dc:subject>Resumen de trabajo y propuesta comercial preliminar</dc:subject>
  <dc:creator>Preparado para Hairon Manuel</dc:creator>
  <cp:keywords/>
  <dc:description>generated by python-docx</dc:description>
  <cp:lastModifiedBy/>
  <cp:revision>1</cp:revision>
  <dcterms:created xsi:type="dcterms:W3CDTF">2013-12-23T23:15:00Z</dcterms:created>
  <dcterms:modified xsi:type="dcterms:W3CDTF">2013-12-23T23:15:00Z</dcterms:modified>
  <cp:category/>
</cp:coreProperties>
</file>