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032 — MODALITAS PEMBELAJARAN (BUTIR IX KPT 2024)</w:t>
      </w:r>
    </w:p>
    <w:p>
      <w:pPr>
        <w:spacing w:before="0" w:after="80" w:line="276" w:lineRule="auto"/>
      </w:pPr>
      <w:r>
        <w:rPr>
          <w:rFonts w:ascii="Calibri" w:hAnsi="Calibri"/>
          <w:b/>
          <w:color w:val="262626"/>
          <w:sz w:val="21"/>
        </w:rPr>
        <w:t>Program Studi Sistem dan Teknologi Informasi (S1) — FSTI Universitas Widyagama Malang</w:t>
      </w:r>
    </w:p>
    <w:p>
      <w:pPr>
        <w:spacing w:before="0" w:after="80" w:line="276" w:lineRule="auto"/>
      </w:pPr>
      <w:r>
        <w:rPr>
          <w:rFonts w:ascii="Calibri" w:hAnsi="Calibri"/>
          <w:b/>
          <w:color w:val="262626"/>
          <w:sz w:val="21"/>
        </w:rPr>
        <w:t>Status:</w:t>
      </w:r>
      <w:r>
        <w:rPr>
          <w:rFonts w:ascii="Calibri" w:hAnsi="Calibri"/>
          <w:color w:val="262626"/>
          <w:sz w:val="21"/>
        </w:rPr>
        <w:t xml:space="preserve"> 🆕 BARU — mengisi gap Butir IX KPT 2024 (Modalitas Pembelajaran) yang sebelumnya kosong pada naskah 023 Bab IX.1</w:t>
      </w:r>
    </w:p>
    <w:p>
      <w:pPr>
        <w:spacing w:before="0" w:after="80" w:line="276" w:lineRule="auto"/>
      </w:pPr>
      <w:r>
        <w:rPr>
          <w:rFonts w:ascii="Calibri" w:hAnsi="Calibri"/>
          <w:b/>
          <w:color w:val="262626"/>
          <w:sz w:val="21"/>
        </w:rPr>
        <w:t>Rujukan:</w:t>
      </w:r>
      <w:r>
        <w:rPr>
          <w:rFonts w:ascii="Calibri" w:hAnsi="Calibri"/>
          <w:color w:val="262626"/>
          <w:sz w:val="21"/>
        </w:rPr>
        <w:t xml:space="preserve"> KPT 2024 hlm. 77–81 (Tabel 22–24); Permendikbudristek 53/2023 Pasal 14; Dok 007, 008</w:t>
      </w:r>
    </w:p>
    <w:p>
      <w:pPr>
        <w:spacing w:before="80" w:after="80"/>
      </w:pPr>
      <w:r>
        <w:rPr>
          <w:color w:val="C8D2E1"/>
          <w:sz w:val="14"/>
        </w:rPr>
        <w:t>————————————————————————————————————————————————————————————————————————————————————————————————————————————————————————</w:t>
      </w:r>
    </w:p>
    <w:p>
      <w:pPr>
        <w:keepNext/>
        <w:spacing w:before="240" w:after="80"/>
      </w:pPr>
      <w:r>
        <w:rPr>
          <w:rFonts w:ascii="Calibri" w:hAnsi="Calibri"/>
          <w:b/>
          <w:color w:val="1F3864"/>
          <w:sz w:val="26"/>
        </w:rPr>
        <w:t>0. Kedudukan Dokumen Ini</w:t>
      </w:r>
    </w:p>
    <w:p>
      <w:pPr>
        <w:spacing w:before="0" w:after="80" w:line="276" w:lineRule="auto"/>
      </w:pPr>
      <w:r>
        <w:rPr>
          <w:rFonts w:ascii="Calibri" w:hAnsi="Calibri"/>
          <w:color w:val="262626"/>
          <w:sz w:val="21"/>
        </w:rPr>
        <w:t xml:space="preserve">KPT 2024 mengubah judul butir IX dari "RPS" menjadi </w:t>
      </w:r>
      <w:r>
        <w:rPr>
          <w:rFonts w:ascii="Calibri" w:hAnsi="Calibri"/>
          <w:b/>
          <w:color w:val="262626"/>
          <w:sz w:val="21"/>
        </w:rPr>
        <w:t>"Modalitas Pembelajaran dalam Perencanaan Proses Pembelajaran"</w:t>
      </w:r>
      <w:r>
        <w:rPr>
          <w:rFonts w:ascii="Calibri" w:hAnsi="Calibri"/>
          <w:color w:val="262626"/>
          <w:sz w:val="21"/>
        </w:rPr>
        <w:t xml:space="preserve">. Konsekuensinya, bab ini wajib membahas tiga hal yang tidak boleh dianggap sekadar pengantar: </w:t>
      </w:r>
      <w:r>
        <w:rPr>
          <w:rFonts w:ascii="Calibri" w:hAnsi="Calibri"/>
          <w:b/>
          <w:color w:val="262626"/>
          <w:sz w:val="21"/>
        </w:rPr>
        <w:t>gaya belajar mahasiswa</w:t>
      </w:r>
      <w:r>
        <w:rPr>
          <w:rFonts w:ascii="Calibri" w:hAnsi="Calibri"/>
          <w:color w:val="262626"/>
          <w:sz w:val="21"/>
        </w:rPr>
        <w:t xml:space="preserve">, </w:t>
      </w:r>
      <w:r>
        <w:rPr>
          <w:rFonts w:ascii="Calibri" w:hAnsi="Calibri"/>
          <w:b/>
          <w:color w:val="262626"/>
          <w:sz w:val="21"/>
        </w:rPr>
        <w:t>metode pembelajaran berpusat pada mahasiswa (SCL)</w:t>
      </w:r>
      <w:r>
        <w:rPr>
          <w:rFonts w:ascii="Calibri" w:hAnsi="Calibri"/>
          <w:color w:val="262626"/>
          <w:sz w:val="21"/>
        </w:rPr>
        <w:t xml:space="preserve">, dan </w:t>
      </w:r>
      <w:r>
        <w:rPr>
          <w:rFonts w:ascii="Calibri" w:hAnsi="Calibri"/>
          <w:b/>
          <w:color w:val="262626"/>
          <w:sz w:val="21"/>
        </w:rPr>
        <w:t>penggunaan teknologi (pembelajaran bauran)</w:t>
      </w:r>
      <w:r>
        <w:rPr>
          <w:rFonts w:ascii="Calibri" w:hAnsi="Calibri"/>
          <w:color w:val="262626"/>
          <w:sz w:val="21"/>
        </w:rPr>
        <w:t>. Dokumen ini menyediakan isi ketiga komponen tersebut untuk dirakit ke Bab IX naskah 023.</w:t>
      </w:r>
    </w:p>
    <w:p>
      <w:pPr>
        <w:spacing w:before="80" w:after="80"/>
      </w:pPr>
      <w:r>
        <w:rPr>
          <w:color w:val="C8D2E1"/>
          <w:sz w:val="14"/>
        </w:rPr>
        <w:t>————————————————————————————————————————————————————————————————————————————————————————————————————————————————————————</w:t>
      </w:r>
    </w:p>
    <w:p>
      <w:pPr>
        <w:keepNext/>
        <w:spacing w:before="240" w:after="80"/>
      </w:pPr>
      <w:r>
        <w:rPr>
          <w:rFonts w:ascii="Calibri" w:hAnsi="Calibri"/>
          <w:b/>
          <w:color w:val="1F3864"/>
          <w:sz w:val="26"/>
        </w:rPr>
        <w:t>1. Gaya Belajar Mahasiswa (Learning Modality)</w:t>
      </w:r>
    </w:p>
    <w:p>
      <w:pPr>
        <w:spacing w:before="0" w:after="80" w:line="276" w:lineRule="auto"/>
      </w:pPr>
      <w:r>
        <w:rPr>
          <w:rFonts w:ascii="Calibri" w:hAnsi="Calibri"/>
          <w:color w:val="262626"/>
          <w:sz w:val="21"/>
        </w:rPr>
        <w:t xml:space="preserve">KPT 2024 menyebut gaya belajar </w:t>
      </w:r>
      <w:r>
        <w:rPr>
          <w:rFonts w:ascii="Calibri" w:hAnsi="Calibri"/>
          <w:b/>
          <w:color w:val="262626"/>
          <w:sz w:val="21"/>
        </w:rPr>
        <w:t>visual, auditorial, kinestetik</w:t>
      </w:r>
      <w:r>
        <w:rPr>
          <w:rFonts w:ascii="Calibri" w:hAnsi="Calibri"/>
          <w:color w:val="262626"/>
          <w:sz w:val="21"/>
        </w:rPr>
        <w:t>, dan verbal sebagai modalitas yang wajib diakomodasi dosen dalam merancang pembelajaran. SISTEKIN menetapkan kebijakan sebagai berikut.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Gaya Belajar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Karakteristik Mahasiswa</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Akomodasi dalam Pembelajaran SISTEKIN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Visual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Belajar optimal melalui teks, diagram, bagan, papan tulis, kode sumber, dan visualisasi data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Slide bermakna, diagram arsitektur sistem, diagram alir, infografis, kode beranotasi, papan tulis virtual, video demonstrasi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Auditorial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Belajar optimal melalui ceramah, diskusi, dan penjelasan lisan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Ceramah interaktif, diskusi kelompok, presentasi, tanya-jawab, </w:t>
            </w:r>
            <w:r>
              <w:rPr>
                <w:rFonts w:ascii="Calibri" w:hAnsi="Calibri"/>
                <w:i/>
                <w:color w:val="262626"/>
                <w:sz w:val="19"/>
              </w:rPr>
              <w:t>think-pair-share</w:t>
            </w:r>
            <w:r>
              <w:rPr>
                <w:rFonts w:ascii="Calibri" w:hAnsi="Calibri"/>
                <w:color w:val="262626"/>
                <w:sz w:val="19"/>
              </w:rPr>
              <w:t>, rekaman penjelasan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Kinestetik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Belajar optimal melalui praktik langsung dan gerak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Praktikum laboratorium, </w:t>
            </w:r>
            <w:r>
              <w:rPr>
                <w:rFonts w:ascii="Calibri" w:hAnsi="Calibri"/>
                <w:i/>
                <w:color w:val="262626"/>
                <w:sz w:val="19"/>
              </w:rPr>
              <w:t>live coding</w:t>
            </w:r>
            <w:r>
              <w:rPr>
                <w:rFonts w:ascii="Calibri" w:hAnsi="Calibri"/>
                <w:color w:val="262626"/>
                <w:sz w:val="19"/>
              </w:rPr>
              <w:t xml:space="preserve">, simulasi, perakitan perangkat IoT, demo produk, </w:t>
            </w:r>
            <w:r>
              <w:rPr>
                <w:rFonts w:ascii="Calibri" w:hAnsi="Calibri"/>
                <w:i/>
                <w:color w:val="262626"/>
                <w:sz w:val="19"/>
              </w:rPr>
              <w:t>role-play</w:t>
            </w:r>
            <w:r>
              <w:rPr>
                <w:rFonts w:ascii="Calibri" w:hAnsi="Calibri"/>
                <w:color w:val="262626"/>
                <w:sz w:val="19"/>
              </w:rPr>
              <w:t xml:space="preserve"> sidang tugas akhir</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Verbal/Read-Write</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Belajar optimal melalui membaca-menulis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Jurnal/bacaan wajib, </w:t>
            </w:r>
            <w:r>
              <w:rPr>
                <w:rFonts w:ascii="Calibri" w:hAnsi="Calibri"/>
                <w:i/>
                <w:color w:val="262626"/>
                <w:sz w:val="19"/>
              </w:rPr>
              <w:t>literature review</w:t>
            </w:r>
            <w:r>
              <w:rPr>
                <w:rFonts w:ascii="Calibri" w:hAnsi="Calibri"/>
                <w:color w:val="262626"/>
                <w:sz w:val="19"/>
              </w:rPr>
              <w:t>, penulisan laporan, dokumentasi teknis, esai reflektif</w:t>
            </w:r>
          </w:p>
        </w:tc>
      </w:tr>
    </w:tbl>
    <w:p>
      <w:pPr>
        <w:spacing w:after="100"/>
      </w:pPr>
    </w:p>
    <w:p>
      <w:pPr>
        <w:spacing w:before="0" w:after="80" w:line="276" w:lineRule="auto"/>
      </w:pPr>
      <w:r>
        <w:rPr>
          <w:rFonts w:ascii="Calibri" w:hAnsi="Calibri"/>
          <w:b/>
          <w:color w:val="262626"/>
          <w:sz w:val="21"/>
        </w:rPr>
        <w:t>Prinsip penerapan:</w:t>
      </w:r>
      <w:r>
        <w:rPr>
          <w:rFonts w:ascii="Calibri" w:hAnsi="Calibri"/>
          <w:color w:val="262626"/>
          <w:sz w:val="21"/>
        </w:rPr>
        <w:t xml:space="preserve"> satu mata kuliah tidak mengunci pada satu gaya. Setiap minggu pertemuan merancang kombinasi minimal dua gaya (misal: konsep visual-auditorial pada bagian pembuka, lalu kinestetik pada praktikum), sehingga mahasiswa dengan preferensi berbeda tetap terlayani. Rincian aktivitas per gaya sudah tertanam pada matriks 16 pekan (Dok 007 Tabel C) melalui kolom bentuk/metode/penugasan.</w:t>
      </w:r>
    </w:p>
    <w:p>
      <w:pPr>
        <w:spacing w:before="80" w:after="80"/>
      </w:pPr>
      <w:r>
        <w:rPr>
          <w:color w:val="C8D2E1"/>
          <w:sz w:val="14"/>
        </w:rPr>
        <w:t>————————————————————————————————————————————————————————————————————————————————————————————————————————————————————————</w:t>
      </w:r>
    </w:p>
    <w:p>
      <w:pPr>
        <w:keepNext/>
        <w:spacing w:before="240" w:after="80"/>
      </w:pPr>
      <w:r>
        <w:rPr>
          <w:rFonts w:ascii="Calibri" w:hAnsi="Calibri"/>
          <w:b/>
          <w:color w:val="1F3864"/>
          <w:sz w:val="26"/>
        </w:rPr>
        <w:t>2. Metode Pembelajaran Berpusat pada Mahasiswa (SCL)</w:t>
      </w:r>
    </w:p>
    <w:p>
      <w:pPr>
        <w:spacing w:before="0" w:after="80" w:line="276" w:lineRule="auto"/>
      </w:pPr>
      <w:r>
        <w:rPr>
          <w:rFonts w:ascii="Calibri" w:hAnsi="Calibri"/>
          <w:color w:val="262626"/>
          <w:sz w:val="21"/>
        </w:rPr>
        <w:t xml:space="preserve">Sesuai Permendikbudristek 53/2023 Pasal 14 dan KPT 2024 Bagian C, pembelajaran SISTEKIN berorientasi pada pengaktifan mahasiswa secara partisipatif dan kolaboratif. Target </w:t>
      </w:r>
      <w:r>
        <w:rPr>
          <w:rFonts w:ascii="Calibri" w:hAnsi="Calibri"/>
          <w:b/>
          <w:color w:val="262626"/>
          <w:sz w:val="21"/>
        </w:rPr>
        <w:t>IKU 7 ≥ 50%</w:t>
      </w:r>
      <w:r>
        <w:rPr>
          <w:rFonts w:ascii="Calibri" w:hAnsi="Calibri"/>
          <w:color w:val="262626"/>
          <w:sz w:val="21"/>
        </w:rPr>
        <w:t xml:space="preserve"> mata kuliah menerapkan pembelajaran partisipatif-kolaboratif (Case Method / PjBL).</w:t>
      </w:r>
    </w:p>
    <w:p>
      <w:pPr>
        <w:keepNext/>
        <w:spacing w:before="180" w:after="60"/>
      </w:pPr>
      <w:r>
        <w:rPr>
          <w:rFonts w:ascii="Calibri" w:hAnsi="Calibri"/>
          <w:b/>
          <w:color w:val="2E75B6"/>
          <w:sz w:val="23"/>
        </w:rPr>
        <w:t>2.1 Metode Utama (sesuai karakteristik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Metode</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Penerapan di SISTEKIN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Contoh MK</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Project-Based Learning (PjBL)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Proyek berjangka (2–8 pekan) dengan deliverable produk nyata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STI-624</w:t>
            </w:r>
            <w:r>
              <w:rPr>
                <w:rFonts w:ascii="Calibri" w:hAnsi="Calibri"/>
                <w:color w:val="262626"/>
                <w:sz w:val="19"/>
              </w:rPr>
              <w:t xml:space="preserve"> Integrasi AI, </w:t>
            </w:r>
            <w:r>
              <w:rPr>
                <w:rFonts w:ascii="Consolas" w:hAnsi="Consolas"/>
                <w:color w:val="A02828"/>
                <w:sz w:val="18"/>
              </w:rPr>
              <w:t>STI-627</w:t>
            </w:r>
            <w:r>
              <w:rPr>
                <w:rFonts w:ascii="Calibri" w:hAnsi="Calibri"/>
                <w:color w:val="262626"/>
                <w:sz w:val="19"/>
              </w:rPr>
              <w:t xml:space="preserve"> Platform Eng, </w:t>
            </w:r>
            <w:r>
              <w:rPr>
                <w:rFonts w:ascii="Consolas" w:hAnsi="Consolas"/>
                <w:color w:val="A02828"/>
                <w:sz w:val="18"/>
              </w:rPr>
              <w:t>FST-610</w:t>
            </w:r>
            <w:r>
              <w:rPr>
                <w:rFonts w:ascii="Calibri" w:hAnsi="Calibri"/>
                <w:color w:val="262626"/>
                <w:sz w:val="19"/>
              </w:rPr>
              <w:t xml:space="preserve"> Capstone</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Problem/Case-Based Learning (PBL/CBL)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Analisis kasus nyata industri/masyarakat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STI-418</w:t>
            </w:r>
            <w:r>
              <w:rPr>
                <w:rFonts w:ascii="Calibri" w:hAnsi="Calibri"/>
                <w:color w:val="262626"/>
                <w:sz w:val="19"/>
              </w:rPr>
              <w:t xml:space="preserve"> Dasar Keamanan Informasi, </w:t>
            </w:r>
            <w:r>
              <w:rPr>
                <w:rFonts w:ascii="Consolas" w:hAnsi="Consolas"/>
                <w:color w:val="A02828"/>
                <w:sz w:val="18"/>
              </w:rPr>
              <w:t>STI-625</w:t>
            </w:r>
            <w:r>
              <w:rPr>
                <w:rFonts w:ascii="Calibri" w:hAnsi="Calibri"/>
                <w:color w:val="262626"/>
                <w:sz w:val="19"/>
              </w:rPr>
              <w:t xml:space="preserve"> Smart City</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Collaborative/Cooperative Learning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Kerja kelompok dengan pembagian peran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 MK berpraktikum (63 SKS / 43,2%)</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Discovery &amp; Inquiry</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Mahasiswa menelusuri sumber, merumuskan pertanyaan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STI-204</w:t>
            </w:r>
            <w:r>
              <w:rPr>
                <w:rFonts w:ascii="Calibri" w:hAnsi="Calibri"/>
                <w:color w:val="262626"/>
                <w:sz w:val="19"/>
              </w:rPr>
              <w:t xml:space="preserve"> Matematika Diskrit &amp; Logika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Self-Directed Learning (SDL)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Belajar mandiri berbasis LMS &amp; repositori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Pendukung CPL KU3 (lifelong learning)</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Flipped Learning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Materi dipelajari daring sebelum kelas; kelas untuk diskusi &amp; klarifikasi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teori tahun ke-2 dan ke-3</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Peer Teaching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Mahasiswa mengajarkan konsep kepada rekan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Presentasi kelompok per pekan</w:t>
            </w:r>
          </w:p>
        </w:tc>
      </w:tr>
    </w:tbl>
    <w:p>
      <w:pPr>
        <w:spacing w:after="100"/>
      </w:pPr>
    </w:p>
    <w:p>
      <w:pPr>
        <w:spacing w:before="0" w:after="80" w:line="276" w:lineRule="auto"/>
      </w:pPr>
      <w:r>
        <w:rPr>
          <w:rFonts w:ascii="Calibri" w:hAnsi="Calibri"/>
          <w:color w:val="262626"/>
          <w:sz w:val="21"/>
        </w:rPr>
        <w:t>Metode per mata kuliah tertuang pada Dok 004 §7 (rekapitulasi kepatuhan IKU 7).</w:t>
      </w:r>
    </w:p>
    <w:p>
      <w:pPr>
        <w:keepNext/>
        <w:spacing w:before="180" w:after="60"/>
      </w:pPr>
      <w:r>
        <w:rPr>
          <w:rFonts w:ascii="Calibri" w:hAnsi="Calibri"/>
          <w:b/>
          <w:color w:val="2E75B6"/>
          <w:sz w:val="23"/>
        </w:rPr>
        <w:t>2.2 Strategi SCL (8 bentuk, KPT 2024 hlm. 77)</w:t>
      </w:r>
    </w:p>
    <w:p>
      <w:pPr>
        <w:spacing w:before="0" w:after="80" w:line="276" w:lineRule="auto"/>
      </w:pPr>
      <w:r>
        <w:rPr>
          <w:rFonts w:ascii="Calibri" w:hAnsi="Calibri"/>
          <w:color w:val="262626"/>
          <w:sz w:val="21"/>
        </w:rPr>
        <w:t xml:space="preserve">PjBL · Diskusi Kelompok · Pembelajaran Kooperatif · PBL · Pembelajaran Berbasis Inkuiri · </w:t>
      </w:r>
      <w:r>
        <w:rPr>
          <w:rFonts w:ascii="Calibri" w:hAnsi="Calibri"/>
          <w:i/>
          <w:color w:val="262626"/>
          <w:sz w:val="21"/>
        </w:rPr>
        <w:t>Peer Teaching</w:t>
      </w:r>
      <w:r>
        <w:rPr>
          <w:rFonts w:ascii="Calibri" w:hAnsi="Calibri"/>
          <w:color w:val="262626"/>
          <w:sz w:val="21"/>
        </w:rPr>
        <w:t xml:space="preserve"> · </w:t>
      </w:r>
      <w:r>
        <w:rPr>
          <w:rFonts w:ascii="Calibri" w:hAnsi="Calibri"/>
          <w:i/>
          <w:color w:val="262626"/>
          <w:sz w:val="21"/>
        </w:rPr>
        <w:t>Flipped Learning</w:t>
      </w:r>
      <w:r>
        <w:rPr>
          <w:rFonts w:ascii="Calibri" w:hAnsi="Calibri"/>
          <w:color w:val="262626"/>
          <w:sz w:val="21"/>
        </w:rPr>
        <w:t xml:space="preserve"> · </w:t>
      </w:r>
      <w:r>
        <w:rPr>
          <w:rFonts w:ascii="Calibri" w:hAnsi="Calibri"/>
          <w:i/>
          <w:color w:val="262626"/>
          <w:sz w:val="21"/>
        </w:rPr>
        <w:t>Self-paced Learning</w:t>
      </w:r>
      <w:r>
        <w:rPr>
          <w:rFonts w:ascii="Calibri" w:hAnsi="Calibri"/>
          <w:color w:val="262626"/>
          <w:sz w:val="21"/>
        </w:rPr>
        <w:t>. Strategi dipilih per Sub-CPMK, bukan seragam per mata kuliah, agar selaras dengan level taksonomi Bloom (C2–C6) yang ditargetkan.</w:t>
      </w:r>
    </w:p>
    <w:p>
      <w:pPr>
        <w:spacing w:before="80" w:after="80"/>
      </w:pPr>
      <w:r>
        <w:rPr>
          <w:color w:val="C8D2E1"/>
          <w:sz w:val="14"/>
        </w:rPr>
        <w:t>————————————————————————————————————————————————————————————————————————————————————————————————————————————————————————</w:t>
      </w:r>
    </w:p>
    <w:p>
      <w:pPr>
        <w:keepNext/>
        <w:spacing w:before="240" w:after="80"/>
      </w:pPr>
      <w:r>
        <w:rPr>
          <w:rFonts w:ascii="Calibri" w:hAnsi="Calibri"/>
          <w:b/>
          <w:color w:val="1F3864"/>
          <w:sz w:val="26"/>
        </w:rPr>
        <w:t>3. Penggunaan Teknologi dan Pembelajaran Bauran (Blended Learning)</w:t>
      </w:r>
    </w:p>
    <w:p>
      <w:pPr>
        <w:keepNext/>
        <w:spacing w:before="180" w:after="60"/>
      </w:pPr>
      <w:r>
        <w:rPr>
          <w:rFonts w:ascii="Calibri" w:hAnsi="Calibri"/>
          <w:b/>
          <w:color w:val="2E75B6"/>
          <w:sz w:val="23"/>
        </w:rPr>
        <w:t>3.1 Batasan Definisi Bauran (KPT 2024 Tabel 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Proporsi Daring</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Konsekuensi Pelabelan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0%</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Tatap Muka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Tanpa teknologi daring</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1%–29%</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Terfasilitasi Jaringan</w:t>
            </w:r>
            <w:r>
              <w:rPr>
                <w:rFonts w:ascii="Calibri" w:hAnsi="Calibri"/>
                <w:color w:val="262626"/>
                <w:sz w:val="19"/>
              </w:rPr>
              <w:t xml:space="preserve"> (</w:t>
            </w:r>
            <w:r>
              <w:rPr>
                <w:rFonts w:ascii="Calibri" w:hAnsi="Calibri"/>
                <w:i/>
                <w:color w:val="262626"/>
                <w:sz w:val="19"/>
              </w:rPr>
              <w:t>web enhanced</w:t>
            </w:r>
            <w:r>
              <w:rPr>
                <w:rFonts w:ascii="Calibri" w:hAnsi="Calibri"/>
                <w:color w:val="262626"/>
                <w:sz w:val="19"/>
              </w:rPr>
              <w: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Hanya menaruh RPS/materi di LMS — </w:t>
            </w:r>
            <w:r>
              <w:rPr>
                <w:rFonts w:ascii="Calibri" w:hAnsi="Calibri"/>
                <w:b/>
                <w:color w:val="262626"/>
                <w:sz w:val="19"/>
              </w:rPr>
              <w:t>bukan</w:t>
            </w:r>
            <w:r>
              <w:rPr>
                <w:rFonts w:ascii="Calibri" w:hAnsi="Calibri"/>
                <w:color w:val="262626"/>
                <w:sz w:val="19"/>
              </w:rPr>
              <w:t xml:space="preserve"> bauran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30%–79%</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Pembelajaran Bauran</w:t>
            </w:r>
            <w:r>
              <w:rPr>
                <w:rFonts w:ascii="Calibri" w:hAnsi="Calibri"/>
                <w:color w:val="262626"/>
                <w:sz w:val="19"/>
              </w:rPr>
              <w:t xml:space="preserve"> (</w:t>
            </w:r>
            <w:r>
              <w:rPr>
                <w:rFonts w:ascii="Calibri" w:hAnsi="Calibri"/>
                <w:i/>
                <w:color w:val="262626"/>
                <w:sz w:val="19"/>
              </w:rPr>
              <w:t>blended/hybrid</w:t>
            </w:r>
            <w:r>
              <w:rPr>
                <w:rFonts w:ascii="Calibri" w:hAnsi="Calibri"/>
                <w:color w:val="262626"/>
                <w:sz w:val="19"/>
              </w:rPr>
              <w: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Penyampaian materi + proses + asesmen dominan daring, terintegrasi sistematis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80%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Pembelajaran Daring Penuh</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Sepenuhnya daring</w:t>
            </w:r>
          </w:p>
        </w:tc>
      </w:tr>
    </w:tbl>
    <w:p>
      <w:pPr>
        <w:spacing w:after="100"/>
      </w:pPr>
    </w:p>
    <w:p>
      <w:pPr>
        <w:spacing w:before="0" w:after="80" w:line="276" w:lineRule="auto"/>
      </w:pPr>
      <w:r>
        <w:rPr>
          <w:rFonts w:ascii="Calibri" w:hAnsi="Calibri"/>
          <w:b/>
          <w:color w:val="262626"/>
          <w:sz w:val="21"/>
        </w:rPr>
        <w:t>Kebijakan SISTEKIN:</w:t>
      </w:r>
      <w:r>
        <w:rPr>
          <w:rFonts w:ascii="Calibri" w:hAnsi="Calibri"/>
          <w:color w:val="262626"/>
          <w:sz w:val="21"/>
        </w:rPr>
        <w:t xml:space="preserve"> pembelajaran dijalankan pada mode </w:t>
      </w:r>
      <w:r>
        <w:rPr>
          <w:rFonts w:ascii="Calibri" w:hAnsi="Calibri"/>
          <w:b/>
          <w:color w:val="262626"/>
          <w:sz w:val="21"/>
        </w:rPr>
        <w:t>bauran</w:t>
      </w:r>
      <w:r>
        <w:rPr>
          <w:rFonts w:ascii="Calibri" w:hAnsi="Calibri"/>
          <w:color w:val="262626"/>
          <w:sz w:val="21"/>
        </w:rPr>
        <w:t xml:space="preserve"> dengan proporsi daring 30–50% (bukan sekadar </w:t>
      </w:r>
      <w:r>
        <w:rPr>
          <w:rFonts w:ascii="Calibri" w:hAnsi="Calibri"/>
          <w:i/>
          <w:color w:val="262626"/>
          <w:sz w:val="21"/>
        </w:rPr>
        <w:t>web enhanced</w:t>
      </w:r>
      <w:r>
        <w:rPr>
          <w:rFonts w:ascii="Calibri" w:hAnsi="Calibri"/>
          <w:color w:val="262626"/>
          <w:sz w:val="21"/>
        </w:rPr>
        <w:t>). LMS Universitas digunakan untuk menaruh materi, kuis daring, diskusi asinkron, dan pengumpulan tugas; sesi tatap muka difokuskan pada praktikum, diskusi, dan asesmen formatif. Dengan demikian klaim "pembelajaran bauran" di RPS sah dan terukur.</w:t>
      </w:r>
    </w:p>
    <w:p>
      <w:pPr>
        <w:keepNext/>
        <w:spacing w:before="180" w:after="60"/>
      </w:pPr>
      <w:r>
        <w:rPr>
          <w:rFonts w:ascii="Calibri" w:hAnsi="Calibri"/>
          <w:b/>
          <w:color w:val="2E75B6"/>
          <w:sz w:val="23"/>
        </w:rPr>
        <w:t>3.2 Model Bauran yang Diadopsi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Model</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Penerapan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Flipped Learning</w:t>
            </w:r>
            <w:r>
              <w:rPr>
                <w:rFonts w:ascii="Calibri" w:hAnsi="Calibri"/>
                <w:color w:val="262626"/>
                <w:sz w:val="19"/>
              </w:rPr>
              <w:t xml:space="preserve"> (model rotasi)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Materi konsep dipelajari daring di luar kelas (menggunakan 2×60 menit penugasan terstruktur + mandiri); kelas untuk diskusi &amp; praktik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teori Sem 1–4</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Enriched Virtual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Tatap muka dikurangi, daring diperkaya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dengan repositori daring kaya (AI/Cloud)</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4. Estimasi Waktu Pembelajaran (KPT 2024 Tabel 22)</w:t>
      </w:r>
    </w:p>
    <w:p>
      <w:pPr>
        <w:spacing w:before="0" w:after="80" w:line="276" w:lineRule="auto"/>
      </w:pPr>
      <w:r>
        <w:rPr>
          <w:rFonts w:ascii="Calibri" w:hAnsi="Calibri"/>
          <w:color w:val="262626"/>
          <w:sz w:val="21"/>
        </w:rPr>
        <w:t xml:space="preserve">Satu SKS setara </w:t>
      </w:r>
      <w:r>
        <w:rPr>
          <w:rFonts w:ascii="Calibri" w:hAnsi="Calibri"/>
          <w:b/>
          <w:color w:val="262626"/>
          <w:sz w:val="21"/>
        </w:rPr>
        <w:t>170 menit per minggu per semester</w:t>
      </w:r>
      <w:r>
        <w:rPr>
          <w:rFonts w:ascii="Calibri" w:hAnsi="Calibri"/>
          <w:color w:val="262626"/>
          <w:sz w:val="21"/>
        </w:rPr>
        <w:t>. Beban 1 SKS untuk kuliah terurai menjadi tiga komponen; untuk praktikum dan MBKM 170 menit dipakai sebagai kesatuan kegiatan.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Tipe Pembelajaran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(per SKS)</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Kuliah / responsi / tutorial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50′ kegiatan belajar terbimbing (tatap muka/daring) + 60′ penugasan terstruktur + 60′ kegiatan mandiri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170 menit</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Seminar</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Kegiatan seminar terbimbing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170 menit</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Praktikum / studio / bengkel / lapangan / penelitian / perancangan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Kegiatan praktik terbimbing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170 menit</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Di luar prodi (MBKM)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Pertukaran, magang, wirausaha, asistensi mengajar, riset, studi independen, KKNT, proyek kemanusiaan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170 menit</w:t>
            </w:r>
          </w:p>
        </w:tc>
      </w:tr>
    </w:tbl>
    <w:p>
      <w:pPr>
        <w:spacing w:after="100"/>
      </w:pPr>
    </w:p>
    <w:p>
      <w:pPr>
        <w:spacing w:before="0" w:after="80" w:line="276" w:lineRule="auto"/>
      </w:pPr>
      <w:r>
        <w:rPr>
          <w:rFonts w:ascii="Calibri" w:hAnsi="Calibri"/>
          <w:b/>
          <w:color w:val="262626"/>
          <w:sz w:val="21"/>
        </w:rPr>
        <w:t>Konsekuensi per mata kuliah</w:t>
      </w:r>
      <w:r>
        <w:rPr>
          <w:rFonts w:ascii="Calibri" w:hAnsi="Calibri"/>
          <w:color w:val="262626"/>
          <w:sz w:val="21"/>
        </w:rPr>
        <w:t xml:space="preserve"> (contoh MK 3 SKS): total </w:t>
      </w:r>
      <w:r>
        <w:rPr>
          <w:rFonts w:ascii="Calibri" w:hAnsi="Calibri"/>
          <w:b/>
          <w:color w:val="262626"/>
          <w:sz w:val="21"/>
        </w:rPr>
        <w:t>510 menit/minggu</w:t>
      </w:r>
      <w:r>
        <w:rPr>
          <w:rFonts w:ascii="Calibri" w:hAnsi="Calibri"/>
          <w:color w:val="262626"/>
          <w:sz w:val="21"/>
        </w:rPr>
        <w:t xml:space="preserve"> = 150′ terbimbing + 180′ terstruktur + 180′ mandiri. Matriks 16 pekan Dok 007 memuat durasi agregat; kolom ini dilengkapi dengan rincian tiga komponen pada saat pengisian kolom Luring/Daring (lihat naskah 023 IX.5.2–IX.5.3).</w:t>
      </w:r>
    </w:p>
    <w:p>
      <w:pPr>
        <w:spacing w:before="80" w:after="80"/>
      </w:pPr>
      <w:r>
        <w:rPr>
          <w:color w:val="C8D2E1"/>
          <w:sz w:val="14"/>
        </w:rPr>
        <w:t>————————————————————————————————————————————————————————————————————————————————————————————————————————————————————————</w:t>
      </w:r>
    </w:p>
    <w:p>
      <w:pPr>
        <w:keepNext/>
        <w:spacing w:before="240" w:after="80"/>
      </w:pPr>
      <w:r>
        <w:rPr>
          <w:rFonts w:ascii="Calibri" w:hAnsi="Calibri"/>
          <w:b/>
          <w:color w:val="1F3864"/>
          <w:sz w:val="26"/>
        </w:rPr>
        <w:t>5. Karakteristik Pelaksanaan Proses Pembelajaran (Pasal 14)</w:t>
      </w:r>
    </w:p>
    <w:p>
      <w:pPr>
        <w:pStyle w:val="ListNumber"/>
        <w:spacing w:before="20" w:after="40" w:line="276" w:lineRule="auto"/>
      </w:pPr>
      <w:r>
        <w:rPr>
          <w:rFonts w:ascii="Calibri" w:hAnsi="Calibri"/>
          <w:color w:val="262626"/>
          <w:sz w:val="21"/>
        </w:rPr>
        <w:t xml:space="preserve">Menciptakan suasana belajar yang </w:t>
      </w:r>
      <w:r>
        <w:rPr>
          <w:rFonts w:ascii="Calibri" w:hAnsi="Calibri"/>
          <w:b/>
          <w:color w:val="262626"/>
          <w:sz w:val="21"/>
        </w:rPr>
        <w:t>menyenangkan, inklusif, kolaboratif, kreatif, dan efektif</w:t>
      </w:r>
      <w:r>
        <w:rPr>
          <w:rFonts w:ascii="Calibri" w:hAnsi="Calibri"/>
          <w:color w:val="262626"/>
          <w:sz w:val="21"/>
        </w:rPr>
        <w:t>.</w:t>
      </w:r>
    </w:p>
    <w:p>
      <w:pPr>
        <w:pStyle w:val="ListNumber"/>
        <w:spacing w:before="20" w:after="40" w:line="276" w:lineRule="auto"/>
      </w:pPr>
      <w:r>
        <w:rPr>
          <w:rFonts w:ascii="Calibri" w:hAnsi="Calibri"/>
          <w:color w:val="262626"/>
          <w:sz w:val="21"/>
        </w:rPr>
        <w:t xml:space="preserve">Memberi kesempatan belajar </w:t>
      </w:r>
      <w:r>
        <w:rPr>
          <w:rFonts w:ascii="Calibri" w:hAnsi="Calibri"/>
          <w:b/>
          <w:color w:val="262626"/>
          <w:sz w:val="21"/>
        </w:rPr>
        <w:t>setara</w:t>
      </w:r>
      <w:r>
        <w:rPr>
          <w:rFonts w:ascii="Calibri" w:hAnsi="Calibri"/>
          <w:color w:val="262626"/>
          <w:sz w:val="21"/>
        </w:rPr>
        <w:t xml:space="preserve"> tanpa membedakan latar belakang pendidikan, sosial, ekonomi, budaya, bahasa, jalur penerimaan, dan kebutuhan khusus.</w:t>
      </w:r>
    </w:p>
    <w:p>
      <w:pPr>
        <w:pStyle w:val="ListNumber"/>
        <w:spacing w:before="20" w:after="40" w:line="276" w:lineRule="auto"/>
      </w:pPr>
      <w:r>
        <w:rPr>
          <w:rFonts w:ascii="Calibri" w:hAnsi="Calibri"/>
          <w:color w:val="262626"/>
          <w:sz w:val="21"/>
        </w:rPr>
        <w:t xml:space="preserve">Menjamin </w:t>
      </w:r>
      <w:r>
        <w:rPr>
          <w:rFonts w:ascii="Calibri" w:hAnsi="Calibri"/>
          <w:b/>
          <w:color w:val="262626"/>
          <w:sz w:val="21"/>
        </w:rPr>
        <w:t>keamanan, kenyamanan, dan kesejahteraan</w:t>
      </w:r>
      <w:r>
        <w:rPr>
          <w:rFonts w:ascii="Calibri" w:hAnsi="Calibri"/>
          <w:color w:val="262626"/>
          <w:sz w:val="21"/>
        </w:rPr>
        <w:t xml:space="preserve"> sivitas akademika.</w:t>
      </w:r>
    </w:p>
    <w:p>
      <w:pPr>
        <w:pStyle w:val="ListNumber"/>
        <w:spacing w:before="20" w:after="40" w:line="276" w:lineRule="auto"/>
      </w:pPr>
      <w:r>
        <w:rPr>
          <w:rFonts w:ascii="Calibri" w:hAnsi="Calibri"/>
          <w:color w:val="262626"/>
          <w:sz w:val="21"/>
        </w:rPr>
        <w:t xml:space="preserve">Memberi </w:t>
      </w:r>
      <w:r>
        <w:rPr>
          <w:rFonts w:ascii="Calibri" w:hAnsi="Calibri"/>
          <w:b/>
          <w:color w:val="262626"/>
          <w:sz w:val="21"/>
        </w:rPr>
        <w:t>fleksibilitas</w:t>
      </w:r>
      <w:r>
        <w:rPr>
          <w:rFonts w:ascii="Calibri" w:hAnsi="Calibri"/>
          <w:color w:val="262626"/>
          <w:sz w:val="21"/>
        </w:rPr>
        <w:t xml:space="preserve"> untuk pendidikan berkelanjutan sepanjang hayat.</w:t>
      </w:r>
    </w:p>
    <w:p>
      <w:pPr>
        <w:spacing w:before="80" w:after="80"/>
      </w:pPr>
      <w:r>
        <w:rPr>
          <w:color w:val="C8D2E1"/>
          <w:sz w:val="14"/>
        </w:rPr>
        <w:t>————————————————————————————————————————————————————————————————————————————————————————————————————————————————————————</w:t>
      </w:r>
    </w:p>
    <w:p>
      <w:pPr>
        <w:keepNext/>
        <w:spacing w:before="240" w:after="80"/>
      </w:pPr>
      <w:r>
        <w:rPr>
          <w:rFonts w:ascii="Calibri" w:hAnsi="Calibri"/>
          <w:b/>
          <w:color w:val="1F3864"/>
          <w:sz w:val="26"/>
        </w:rPr>
        <w:t>6. Perangkat Pembelajaran yang Menyertai (Butir IX)</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Perangkat</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di SISTEKIN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RPS seluruh MK</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Dok 007 (67 MK) — kolom Indikator &amp; Kriteria dilengkapi bertahap</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Rencana Tugas</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dirancang dalam matriks pekan (kolom penugasan) — lihat 037</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Penilaian &amp; Evaluasi</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Dok 008, 018</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Instrumen (rubrik/portofolio)</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analitik (008, 018) + holistik &amp; skala persepsi (033)</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Bahan Ajar</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disusun bertahap per MK</w:t>
            </w:r>
          </w:p>
        </w:tc>
      </w:tr>
    </w:tbl>
    <w:p>
      <w:pPr>
        <w:spacing w:after="100"/>
      </w:pPr>
    </w:p>
    <w:p>
      <w:pPr>
        <w:spacing w:before="80" w:after="80"/>
      </w:pPr>
      <w:r>
        <w:rPr>
          <w:color w:val="C8D2E1"/>
          <w:sz w:val="14"/>
        </w:rPr>
        <w:t>————————————————————————————————————————————————————————————————————————————————————————————————————————————————————————</w:t>
      </w:r>
    </w:p>
    <w:p>
      <w:pPr>
        <w:spacing w:before="0" w:after="80" w:line="276" w:lineRule="auto"/>
      </w:pPr>
      <w:r>
        <w:rPr>
          <w:rFonts w:ascii="Calibri" w:hAnsi="Calibri"/>
          <w:i/>
          <w:color w:val="262626"/>
          <w:sz w:val="21"/>
        </w:rPr>
        <w:t>Dokumen 032 — Isi Butir IX (Modalitas Pembelajaran). Siap dirakit ke Bab IX naskah 023.</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