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数学建模竞赛论文mcmicm标准格式论文"/>
    <w:p>
      <w:pPr>
        <w:pStyle w:val="Heading1"/>
      </w:pPr>
      <w:r>
        <w:t xml:space="preserve">数学建模竞赛论文（MCM/ICM标准格式）论文</w:t>
      </w:r>
    </w:p>
    <w:bookmarkStart w:id="20" w:name="摘要"/>
    <w:p>
      <w:pPr>
        <w:pStyle w:val="Heading2"/>
      </w:pPr>
      <w:r>
        <w:t xml:space="preserve">摘要</w:t>
      </w:r>
    </w:p>
    <w:p>
      <w:pPr>
        <w:pStyle w:val="FirstParagraph"/>
      </w:pPr>
      <w:r>
        <w:t xml:space="preserve">中东地缘冲突引发的原油供应断裂风险与金融投机共振，导致国际油价呈现典型的“尖峰厚尾”与“非对称跳跃”特征。我国现行成品油定价机制以10个工作日为固定周期，在常态市场中可有效平抑短期噪音，但在极端波动下暴露出显著的时滞效应与区间响应刚性。当油价突破130美元/桶上限时，行政干预虽能短期阻断输入型通胀，却易引发炼油环节成本倒挂与隐性补贴累积；而低于40美元/桶时的地板价机制则削弱了价格信号的资源配置功能。因此，直接沿用线性传导假设或静态阈值规则难以刻画多重约束下的动态权衡过程。基于此，本文从微观价格粘性与宏观福利损失的双重视角出发，推导模型核心假设：首先，国际油价向国内成品油的传导存在显著的非对称性与区制依赖性，即上涨期传导弹性高于下跌期，且受地缘风险溢价驱动；其次，调价决策本质上是一个带约束的马尔可夫决策过程，需在价格信号及时性、民生通胀容忍度与产业财务可持续性之间寻求跨期最优路径；最后，政策干预本身具有摩擦成本，过度频繁或幅度过大的调价将引发市场预期紊乱，故需引入动态权重调整机制以实现平滑过渡。</w:t>
      </w:r>
    </w:p>
    <w:p>
      <w:pPr>
        <w:pStyle w:val="BodyText"/>
      </w:pPr>
      <w:r>
        <w:t xml:space="preserve">为量化上述机制，构建如下关键变量定义与量纲说明表：</w:t>
      </w:r>
      <w:r>
        <w:t xml:space="preserve"> </w:t>
      </w:r>
      <w:r>
        <w:t xml:space="preserve">| 变量符号 | 量纲 | 经济含义 | 取值范围/约束 |</w:t>
      </w:r>
      <w:r>
        <w:t xml:space="preserve"> </w:t>
      </w:r>
      <w:r>
        <w:t xml:space="preserve">|—|—|—|—|</w:t>
      </w:r>
      <w:r>
        <w:t xml:space="preserve"> </w:t>
      </w:r>
      <w:r>
        <w:t xml:space="preserve">|</w:t>
      </w:r>
      <w:r>
        <w:t xml:space="preserve"> </w:t>
      </w:r>
      <m:oMath>
        <m:sSub>
          <m:e>
            <m:r>
              <m:t>O</m:t>
            </m:r>
          </m:e>
          <m:sub>
            <m:r>
              <m:t>t</m:t>
            </m:r>
          </m:sub>
        </m:sSub>
      </m:oMath>
      <w:r>
        <w:t xml:space="preserve"> </w:t>
      </w:r>
      <w:r>
        <w:t xml:space="preserve">| USD/bbl | 布伦特原油现货价格 |</w:t>
      </w:r>
      <w:r>
        <w:t xml:space="preserve"> </w:t>
      </w:r>
      <m:oMath>
        <m:r>
          <m:t>t</m:t>
        </m:r>
        <m:r>
          <m:rPr>
            <m:sty m:val="p"/>
          </m:rPr>
          <m:t>∈</m:t>
        </m:r>
        <m:d>
          <m:dPr>
            <m:begChr m:val="["/>
            <m:endChr m:val="]"/>
            <m:sepChr m:val=""/>
            <m:grow/>
          </m:dPr>
          <m:e>
            <m:r>
              <m:t>1</m:t>
            </m:r>
            <m:r>
              <m:rPr>
                <m:sty m:val="p"/>
              </m:rPr>
              <m:t>,</m:t>
            </m:r>
            <m:r>
              <m:t>T</m:t>
            </m:r>
          </m:e>
        </m:d>
      </m:oMath>
      <w:r>
        <w:t xml:space="preserve">,</w:t>
      </w:r>
      <w:r>
        <w:t xml:space="preserve"> </w:t>
      </w:r>
      <m:oMath>
        <m:sSub>
          <m:e>
            <m:r>
              <m:t>O</m:t>
            </m:r>
          </m:e>
          <m:sub>
            <m:r>
              <m:t>t</m:t>
            </m:r>
          </m:sub>
        </m:sSub>
        <m:r>
          <m:rPr>
            <m:sty m:val="p"/>
          </m:rPr>
          <m:t>&gt;</m:t>
        </m:r>
        <m:r>
          <m:t>0</m:t>
        </m:r>
      </m:oMath>
      <w:r>
        <w:t xml:space="preserve"> </w:t>
      </w:r>
      <w:r>
        <w:t xml:space="preserve">|</w:t>
      </w:r>
      <w:r>
        <w:t xml:space="preserve"> </w:t>
      </w:r>
      <w:r>
        <w:t xml:space="preserve">|</w:t>
      </w:r>
      <w:r>
        <w:t xml:space="preserve"> </w:t>
      </w:r>
      <m:oMath>
        <m:r>
          <m:t>Δ</m:t>
        </m:r>
        <m:sSubSup>
          <m:e>
            <m:r>
              <m:t>O</m:t>
            </m:r>
          </m:e>
          <m:sub>
            <m:r>
              <m:t>t</m:t>
            </m:r>
          </m:sub>
          <m:sup>
            <m:r>
              <m:rPr>
                <m:sty m:val="p"/>
              </m:rPr>
              <m:t>+</m:t>
            </m:r>
          </m:sup>
        </m:sSubSup>
      </m:oMath>
      <w:r>
        <w:t xml:space="preserve"> </w:t>
      </w:r>
      <w:r>
        <w:t xml:space="preserve">| USD/bbl | 原油正向变动幅度</w:t>
      </w:r>
      <w:r>
        <w:t xml:space="preserve"> </w:t>
      </w:r>
      <m:oMath>
        <m:r>
          <m:rPr>
            <m:sty m:val="p"/>
          </m:rPr>
          <m:t>max</m:t>
        </m:r>
        <m:d>
          <m:dPr>
            <m:begChr m:val="("/>
            <m:endChr m:val=")"/>
            <m:sepChr m:val=""/>
            <m:grow/>
          </m:dPr>
          <m:e>
            <m:sSub>
              <m:e>
                <m:r>
                  <m:t>O</m:t>
                </m:r>
              </m:e>
              <m:sub>
                <m:r>
                  <m:t>t</m:t>
                </m:r>
              </m:sub>
            </m:sSub>
            <m:r>
              <m:rPr>
                <m:sty m:val="p"/>
              </m:rPr>
              <m:t>−</m:t>
            </m:r>
            <m:sSub>
              <m:e>
                <m:r>
                  <m:t>O</m:t>
                </m:r>
              </m:e>
              <m:sub>
                <m:r>
                  <m:t>t</m:t>
                </m:r>
                <m:r>
                  <m:rPr>
                    <m:sty m:val="p"/>
                  </m:rPr>
                  <m:t>−</m:t>
                </m:r>
                <m:r>
                  <m:t>1</m:t>
                </m:r>
              </m:sub>
            </m:sSub>
            <m:r>
              <m:rPr>
                <m:sty m:val="p"/>
              </m:rPr>
              <m:t>,</m:t>
            </m:r>
            <m:r>
              <m:t>0</m:t>
            </m:r>
          </m:e>
        </m:d>
      </m:oMath>
      <w:r>
        <w:t xml:space="preserve"> </w:t>
      </w:r>
      <w:r>
        <w:t xml:space="preserve">|</w:t>
      </w:r>
      <w:r>
        <w:t xml:space="preserve"> </w:t>
      </w:r>
      <m:oMath>
        <m:r>
          <m:rPr>
            <m:sty m:val="p"/>
          </m:rPr>
          <m:t>[</m:t>
        </m:r>
        <m:r>
          <m:t>0</m:t>
        </m:r>
        <m:r>
          <m:rPr>
            <m:sty m:val="p"/>
          </m:rPr>
          <m:t>,</m:t>
        </m:r>
        <m:r>
          <m:rPr>
            <m:sty m:val="p"/>
          </m:rPr>
          <m:t>+</m:t>
        </m:r>
        <m:r>
          <m:rPr>
            <m:sty m:val="p"/>
          </m:rPr>
          <m:t>∞</m:t>
        </m:r>
        <m:r>
          <m:rPr>
            <m:sty m:val="p"/>
          </m:rPr>
          <m:t>)</m:t>
        </m:r>
      </m:oMath>
      <w:r>
        <w:t xml:space="preserve"> </w:t>
      </w:r>
      <w:r>
        <w:t xml:space="preserve">|</w:t>
      </w:r>
      <w:r>
        <w:t xml:space="preserve"> </w:t>
      </w:r>
      <w:r>
        <w:t xml:space="preserve">|</w:t>
      </w:r>
      <w:r>
        <w:t xml:space="preserve"> </w:t>
      </w:r>
      <m:oMath>
        <m:r>
          <m:t>Δ</m:t>
        </m:r>
        <m:sSubSup>
          <m:e>
            <m:r>
              <m:t>O</m:t>
            </m:r>
          </m:e>
          <m:sub>
            <m:r>
              <m:t>t</m:t>
            </m:r>
          </m:sub>
          <m:sup>
            <m:r>
              <m:rPr>
                <m:sty m:val="p"/>
              </m:rPr>
              <m:t>−</m:t>
            </m:r>
          </m:sup>
        </m:sSubSup>
      </m:oMath>
      <w:r>
        <w:t xml:space="preserve"> </w:t>
      </w:r>
      <w:r>
        <w:t xml:space="preserve">| USD/bbl | 原油负向变动幅度</w:t>
      </w:r>
      <w:r>
        <w:t xml:space="preserve"> </w:t>
      </w:r>
      <m:oMath>
        <m:r>
          <m:rPr>
            <m:sty m:val="p"/>
          </m:rPr>
          <m:t>min</m:t>
        </m:r>
        <m:d>
          <m:dPr>
            <m:begChr m:val="("/>
            <m:endChr m:val=")"/>
            <m:sepChr m:val=""/>
            <m:grow/>
          </m:dPr>
          <m:e>
            <m:sSub>
              <m:e>
                <m:r>
                  <m:t>O</m:t>
                </m:r>
              </m:e>
              <m:sub>
                <m:r>
                  <m:t>t</m:t>
                </m:r>
              </m:sub>
            </m:sSub>
            <m:r>
              <m:rPr>
                <m:sty m:val="p"/>
              </m:rPr>
              <m:t>−</m:t>
            </m:r>
            <m:sSub>
              <m:e>
                <m:r>
                  <m:t>O</m:t>
                </m:r>
              </m:e>
              <m:sub>
                <m:r>
                  <m:t>t</m:t>
                </m:r>
                <m:r>
                  <m:rPr>
                    <m:sty m:val="p"/>
                  </m:rPr>
                  <m:t>−</m:t>
                </m:r>
                <m:r>
                  <m:t>1</m:t>
                </m:r>
              </m:sub>
            </m:sSub>
            <m:r>
              <m:rPr>
                <m:sty m:val="p"/>
              </m:rPr>
              <m:t>,</m:t>
            </m:r>
            <m:r>
              <m:t>0</m:t>
            </m:r>
          </m:e>
        </m:d>
      </m:oMath>
      <w:r>
        <w:t xml:space="preserve"> </w:t>
      </w:r>
      <w:r>
        <w:t xml:space="preserve">|</w:t>
      </w:r>
      <w:r>
        <w:t xml:space="preserve"> </w:t>
      </w:r>
      <m:oMath>
        <m:r>
          <m:rPr>
            <m:sty m:val="p"/>
          </m:rPr>
          <m:t>(</m:t>
        </m:r>
        <m:r>
          <m:rPr>
            <m:sty m:val="p"/>
          </m:rPr>
          <m:t>−</m:t>
        </m:r>
        <m:r>
          <m:rPr>
            <m:sty m:val="p"/>
          </m:rPr>
          <m:t>∞</m:t>
        </m:r>
        <m:r>
          <m:rPr>
            <m:sty m:val="p"/>
          </m:rPr>
          <m:t>,</m:t>
        </m:r>
        <m:r>
          <m:t>0</m:t>
        </m:r>
        <m:r>
          <m:rPr>
            <m:sty m:val="p"/>
          </m:rPr>
          <m:t>]</m:t>
        </m:r>
      </m:oMath>
      <w:r>
        <w:t xml:space="preserve"> </w:t>
      </w:r>
      <w:r>
        <w:t xml:space="preserve">|</w:t>
      </w:r>
      <w:r>
        <w:t xml:space="preserve"> </w:t>
      </w:r>
      <w:r>
        <w:t xml:space="preserve">|</w:t>
      </w:r>
      <w:r>
        <w:t xml:space="preserve"> </w:t>
      </w:r>
      <m:oMath>
        <m:sSub>
          <m:e>
            <m:r>
              <m:t>P</m:t>
            </m:r>
          </m:e>
          <m:sub>
            <m:r>
              <m:t>t</m:t>
            </m:r>
          </m:sub>
        </m:sSub>
      </m:oMath>
      <w:r>
        <w:t xml:space="preserve"> </w:t>
      </w:r>
      <w:r>
        <w:t xml:space="preserve">| 元/吨 | 国内汽柴油加权最高零售价 |</w:t>
      </w:r>
      <w:r>
        <w:t xml:space="preserve"> </w:t>
      </w:r>
      <m:oMath>
        <m:r>
          <m:rPr>
            <m:sty m:val="p"/>
          </m:rPr>
          <m:t>[</m:t>
        </m:r>
        <m:r>
          <m:t>0</m:t>
        </m:r>
        <m:r>
          <m:rPr>
            <m:sty m:val="p"/>
          </m:rPr>
          <m:t>,</m:t>
        </m:r>
        <m:r>
          <m:rPr>
            <m:sty m:val="p"/>
          </m:rPr>
          <m:t>+</m:t>
        </m:r>
        <m:r>
          <m:rPr>
            <m:sty m:val="p"/>
          </m:rPr>
          <m:t>∞</m:t>
        </m:r>
        <m:r>
          <m:rPr>
            <m:sty m:val="p"/>
          </m:rPr>
          <m:t>)</m:t>
        </m:r>
      </m:oMath>
      <w:r>
        <w:t xml:space="preserve"> </w:t>
      </w:r>
      <w:r>
        <w:t xml:space="preserve">|</w:t>
      </w:r>
      <w:r>
        <w:t xml:space="preserve"> </w:t>
      </w:r>
      <w:r>
        <w:t xml:space="preserve">|</w:t>
      </w:r>
      <w:r>
        <w:t xml:space="preserve"> </w:t>
      </w:r>
      <m:oMath>
        <m:sSub>
          <m:e>
            <m:r>
              <m:t>S</m:t>
            </m:r>
          </m:e>
          <m:sub>
            <m:r>
              <m:t>t</m:t>
            </m:r>
          </m:sub>
        </m:sSub>
      </m:oMath>
      <w:r>
        <w:t xml:space="preserve"> </w:t>
      </w:r>
      <w:r>
        <w:t xml:space="preserve">| 离散状态 | 价格传导区制（</w:t>
      </w:r>
      <m:oMath>
        <m:r>
          <m:t>1</m:t>
        </m:r>
      </m:oMath>
      <w:r>
        <w:t xml:space="preserve">=常态,</w:t>
      </w:r>
      <w:r>
        <w:t xml:space="preserve"> </w:t>
      </w:r>
      <m:oMath>
        <m:r>
          <m:t>2</m:t>
        </m:r>
      </m:oMath>
      <w:r>
        <w:t xml:space="preserve">=高波动/冲突） |</w:t>
      </w:r>
      <w:r>
        <w:t xml:space="preserve"> </w:t>
      </w:r>
      <m:oMath>
        <m:r>
          <m:rPr>
            <m:sty m:val="p"/>
          </m:rPr>
          <m:t>{</m:t>
        </m:r>
        <m:r>
          <m:t>1</m:t>
        </m:r>
        <m:r>
          <m:rPr>
            <m:sty m:val="p"/>
          </m:rPr>
          <m:t>,</m:t>
        </m:r>
        <m:r>
          <m:t>2</m:t>
        </m:r>
        <m:r>
          <m:rPr>
            <m:sty m:val="p"/>
          </m:rPr>
          <m:t>}</m:t>
        </m:r>
      </m:oMath>
      <w:r>
        <w:t xml:space="preserve"> </w:t>
      </w:r>
      <w:r>
        <w:t xml:space="preserve">|</w:t>
      </w:r>
      <w:r>
        <w:t xml:space="preserve"> </w:t>
      </w:r>
      <w:r>
        <w:t xml:space="preserve">|</w:t>
      </w:r>
      <w:r>
        <w:t xml:space="preserve"> </w:t>
      </w:r>
      <m:oMath>
        <m:sSub>
          <m:e>
            <m:r>
              <m:t>α</m:t>
            </m:r>
          </m:e>
          <m:sub>
            <m:sSub>
              <m:e>
                <m:r>
                  <m:t>S</m:t>
                </m:r>
              </m:e>
              <m:sub>
                <m:r>
                  <m:t>t</m:t>
                </m:r>
              </m:sub>
            </m:sSub>
          </m:sub>
        </m:sSub>
      </m:oMath>
      <w:r>
        <w:t xml:space="preserve"> </w:t>
      </w:r>
      <w:r>
        <w:t xml:space="preserve">| 元/吨 | 区制依赖的基准截距项 |</w:t>
      </w:r>
      <w:r>
        <w:t xml:space="preserve"> </w:t>
      </w:r>
      <m:oMath>
        <m:r>
          <m:rPr>
            <m:sty m:val="p"/>
            <m:scr m:val="double-struck"/>
          </m:rPr>
          <m:t>R</m:t>
        </m:r>
      </m:oMath>
      <w:r>
        <w:t xml:space="preserve"> </w:t>
      </w:r>
      <w:r>
        <w:t xml:space="preserve">|</w:t>
      </w:r>
      <w:r>
        <w:t xml:space="preserve"> </w:t>
      </w:r>
      <w:r>
        <w:t xml:space="preserve">|</w:t>
      </w:r>
      <w:r>
        <w:t xml:space="preserve"> </w:t>
      </w:r>
      <m:oMath>
        <m:sSup>
          <m:e>
            <m:r>
              <m:t>β</m:t>
            </m:r>
          </m:e>
          <m:sup>
            <m:r>
              <m:rPr>
                <m:sty m:val="p"/>
              </m:rPr>
              <m:t>+</m:t>
            </m:r>
          </m:sup>
        </m:sSup>
        <m:r>
          <m:rPr>
            <m:sty m:val="p"/>
          </m:rPr>
          <m:t>,</m:t>
        </m:r>
        <m:sSup>
          <m:e>
            <m:r>
              <m:t>β</m:t>
            </m:r>
          </m:e>
          <m:sup>
            <m:r>
              <m:rPr>
                <m:sty m:val="p"/>
              </m:rPr>
              <m:t>−</m:t>
            </m:r>
          </m:sup>
        </m:sSup>
      </m:oMath>
      <w:r>
        <w:t xml:space="preserve"> </w:t>
      </w:r>
      <w:r>
        <w:t xml:space="preserve">| 无量纲 | 非对称传导弹性系数 |</w:t>
      </w:r>
      <w:r>
        <w:t xml:space="preserve"> </w:t>
      </w:r>
      <m:oMath>
        <m:r>
          <m:rPr>
            <m:sty m:val="p"/>
          </m:rPr>
          <m:t>(</m:t>
        </m:r>
        <m:r>
          <m:t>0</m:t>
        </m:r>
        <m:r>
          <m:rPr>
            <m:sty m:val="p"/>
          </m:rPr>
          <m:t>,</m:t>
        </m:r>
        <m:r>
          <m:t>1.5</m:t>
        </m:r>
        <m:r>
          <m:rPr>
            <m:sty m:val="p"/>
          </m:rPr>
          <m:t>]</m:t>
        </m:r>
      </m:oMath>
      <w:r>
        <w:t xml:space="preserve"> </w:t>
      </w:r>
      <w:r>
        <w:t xml:space="preserve">|</w:t>
      </w:r>
      <w:r>
        <w:t xml:space="preserve"> </w:t>
      </w:r>
      <w:r>
        <w:t xml:space="preserve">|</w:t>
      </w:r>
      <w:r>
        <w:t xml:space="preserve"> </w:t>
      </w:r>
      <m:oMath>
        <m:sSub>
          <m:e>
            <m:r>
              <m:t>π</m:t>
            </m:r>
          </m:e>
          <m:sub>
            <m:r>
              <m:t>t</m:t>
            </m:r>
          </m:sub>
        </m:sSub>
      </m:oMath>
      <w:r>
        <w:t xml:space="preserve"> </w:t>
      </w:r>
      <w:r>
        <w:t xml:space="preserve">| 元/吨 |</w:t>
      </w:r>
      <w:r>
        <w:t xml:space="preserve"> </w:t>
      </w:r>
      <m:oMath>
        <m:r>
          <m:t>t</m:t>
        </m:r>
      </m:oMath>
      <w:r>
        <w:t xml:space="preserve">期实际调价幅度决策变量 |</w:t>
      </w:r>
      <w:r>
        <w:t xml:space="preserve"> </w:t>
      </w:r>
      <m:oMath>
        <m:d>
          <m:dPr>
            <m:begChr m:val="["/>
            <m:endChr m:val="]"/>
            <m:sepChr m:val=""/>
            <m:grow/>
          </m:dPr>
          <m:e>
            <m:r>
              <m:rPr>
                <m:sty m:val="p"/>
              </m:rPr>
              <m:t>−</m:t>
            </m:r>
            <m:r>
              <m:t>1500</m:t>
            </m:r>
            <m:r>
              <m:rPr>
                <m:sty m:val="p"/>
              </m:rPr>
              <m:t>,</m:t>
            </m:r>
            <m:r>
              <m:t>2000</m:t>
            </m:r>
          </m:e>
        </m:d>
      </m:oMath>
      <w:r>
        <w:t xml:space="preserve"> </w:t>
      </w:r>
      <w:r>
        <w:t xml:space="preserve">|</w:t>
      </w:r>
      <w:r>
        <w:t xml:space="preserve"> </w:t>
      </w:r>
      <w:r>
        <w:t xml:space="preserve">|</w:t>
      </w:r>
      <w:r>
        <w:t xml:space="preserve"> </w:t>
      </w:r>
      <m:oMath>
        <m:sSub>
          <m:e>
            <m:r>
              <m:t>λ</m:t>
            </m:r>
          </m:e>
          <m:sub>
            <m:r>
              <m:t>1</m:t>
            </m:r>
          </m:sub>
        </m:sSub>
        <m:r>
          <m:rPr>
            <m:sty m:val="p"/>
          </m:rPr>
          <m:t>,</m:t>
        </m:r>
        <m:sSub>
          <m:e>
            <m:r>
              <m:t>λ</m:t>
            </m:r>
          </m:e>
          <m:sub>
            <m:r>
              <m:t>2</m:t>
            </m:r>
          </m:sub>
        </m:sSub>
      </m:oMath>
      <w:r>
        <w:t xml:space="preserve"> </w:t>
      </w:r>
      <w:r>
        <w:t xml:space="preserve">| 权重系数 | 波动惩罚与偏离惩罚权重 |</w:t>
      </w:r>
      <w:r>
        <w:t xml:space="preserve"> </w:t>
      </w:r>
      <m:oMath>
        <m:sSub>
          <m:e>
            <m:r>
              <m:t>λ</m:t>
            </m:r>
          </m:e>
          <m:sub>
            <m:r>
              <m:t>1</m:t>
            </m:r>
          </m:sub>
        </m:sSub>
        <m:r>
          <m:rPr>
            <m:sty m:val="p"/>
          </m:rPr>
          <m:t>+</m:t>
        </m:r>
        <m:sSub>
          <m:e>
            <m:r>
              <m:t>λ</m:t>
            </m:r>
          </m:e>
          <m:sub>
            <m:r>
              <m:t>2</m:t>
            </m:r>
          </m:sub>
        </m:sSub>
        <m:r>
          <m:rPr>
            <m:sty m:val="p"/>
          </m:rPr>
          <m:t>=</m:t>
        </m:r>
        <m:r>
          <m:t>1</m:t>
        </m:r>
        <m:r>
          <m:rPr>
            <m:sty m:val="p"/>
          </m:rPr>
          <m:t>,</m:t>
        </m:r>
        <m:sSub>
          <m:e>
            <m:r>
              <m:t>λ</m:t>
            </m:r>
          </m:e>
          <m:sub>
            <m:r>
              <m:t>i</m:t>
            </m:r>
          </m:sub>
        </m:sSub>
        <m:r>
          <m:rPr>
            <m:sty m:val="p"/>
          </m:rPr>
          <m:t>∈</m:t>
        </m:r>
        <m:d>
          <m:dPr>
            <m:begChr m:val="("/>
            <m:endChr m:val=")"/>
            <m:sepChr m:val=""/>
            <m:grow/>
          </m:dPr>
          <m:e>
            <m:r>
              <m:t>0</m:t>
            </m:r>
            <m:r>
              <m:rPr>
                <m:sty m:val="p"/>
              </m:rPr>
              <m:t>,</m:t>
            </m:r>
            <m:r>
              <m:t>1</m:t>
            </m:r>
          </m:e>
        </m:d>
      </m:oMath>
      <w:r>
        <w:t xml:space="preserve"> </w:t>
      </w:r>
      <w:r>
        <w:t xml:space="preserve">|</w:t>
      </w:r>
      <w:r>
        <w:t xml:space="preserve"> </w:t>
      </w:r>
      <w:r>
        <w:t xml:space="preserve">|</w:t>
      </w:r>
      <w:r>
        <w:t xml:space="preserve"> </w:t>
      </w:r>
      <m:oMath>
        <m:r>
          <m:t>ϕ</m:t>
        </m:r>
      </m:oMath>
      <w:r>
        <w:t xml:space="preserve"> </w:t>
      </w:r>
      <w:r>
        <w:t xml:space="preserve">| 无量纲 | 政策摩擦因子（反映行政成本与预期扰动） |</w:t>
      </w:r>
      <w:r>
        <w:t xml:space="preserve"> </w:t>
      </w:r>
      <m:oMath>
        <m:d>
          <m:dPr>
            <m:begChr m:val="["/>
            <m:endChr m:val="]"/>
            <m:sepChr m:val=""/>
            <m:grow/>
          </m:dPr>
          <m:e>
            <m:r>
              <m:t>0.2</m:t>
            </m:r>
            <m:r>
              <m:rPr>
                <m:sty m:val="p"/>
              </m:rPr>
              <m:t>,</m:t>
            </m:r>
            <m:r>
              <m:t>0.8</m:t>
            </m:r>
          </m:e>
        </m:d>
      </m:oMath>
      <w:r>
        <w:t xml:space="preserve"> </w:t>
      </w:r>
      <w:r>
        <w:t xml:space="preserve">|</w:t>
      </w:r>
    </w:p>
    <w:p>
      <w:pPr>
        <w:pStyle w:val="BodyText"/>
      </w:pPr>
      <w:r>
        <w:t xml:space="preserve">数据预处理阶段，采集2019年至2026年4月的周度国际原油价格与国家发改委调价公告数据。首先剔除节假日导致的非交易周，采用三次样条插值对齐时间序列；其次对价格序列进行对数差分处理以消除趋势性并近似收益率平稳性，通过ADF检验确认一阶差分后在1%显著性水平下平稳。参数估计采用马尔可夫链蒙特卡洛（MCMC）方法结合吉布斯采样进行贝叶斯推断。设定非信息先验分布，通过10,000次迭代并舍弃前2,000次作为预烧期，利用后验样本均值获取参数点估计，并以95%最高后验密度区间评估参数不确定性。最大似然估计（MLE）作为稳健性对照，验证了区制转换概率矩阵的收敛性与模型设定的合理性。</w:t>
      </w:r>
    </w:p>
    <w:p>
      <w:pPr>
        <w:pStyle w:val="BodyText"/>
      </w:pPr>
      <w:r>
        <w:t xml:space="preserve">基于上述估计，构建带马尔可夫区制转换的非对称价格传导仿真模型：</w:t>
      </w:r>
    </w:p>
    <w:p>
      <w:pPr>
        <w:pStyle w:val="BodyText"/>
      </w:pPr>
      <m:oMathPara>
        <m:oMathParaPr>
          <m:jc m:val="center"/>
        </m:oMathParaPr>
        <m:oMath>
          <m:sSub>
            <m:e>
              <m:r>
                <m:t>P</m:t>
              </m:r>
            </m:e>
            <m:sub>
              <m:r>
                <m:t>t</m:t>
              </m:r>
            </m:sub>
          </m:sSub>
          <m:r>
            <m:rPr>
              <m:sty m:val="p"/>
            </m:rPr>
            <m:t>=</m:t>
          </m:r>
          <m:sSub>
            <m:e>
              <m:r>
                <m:t>α</m:t>
              </m:r>
            </m:e>
            <m:sub>
              <m:sSub>
                <m:e>
                  <m:r>
                    <m:t>S</m:t>
                  </m:r>
                </m:e>
                <m:sub>
                  <m:r>
                    <m:t>t</m:t>
                  </m:r>
                </m:sub>
              </m:sSub>
            </m:sub>
          </m:sSub>
          <m:r>
            <m:rPr>
              <m:sty m:val="p"/>
            </m:rPr>
            <m:t>+</m:t>
          </m:r>
          <m:sSup>
            <m:e>
              <m:r>
                <m:t>β</m:t>
              </m:r>
            </m:e>
            <m:sup>
              <m:r>
                <m:rPr>
                  <m:sty m:val="p"/>
                </m:rPr>
                <m:t>+</m:t>
              </m:r>
            </m:sup>
          </m:sSup>
          <m:r>
            <m:t>Δ</m:t>
          </m:r>
          <m:sSubSup>
            <m:e>
              <m:r>
                <m:t>O</m:t>
              </m:r>
            </m:e>
            <m:sub>
              <m:r>
                <m:t>t</m:t>
              </m:r>
            </m:sub>
            <m:sup>
              <m:r>
                <m:rPr>
                  <m:sty m:val="p"/>
                </m:rPr>
                <m:t>+</m:t>
              </m:r>
            </m:sup>
          </m:sSubSup>
          <m:r>
            <m:rPr>
              <m:sty m:val="p"/>
            </m:rPr>
            <m:t>+</m:t>
          </m:r>
          <m:sSup>
            <m:e>
              <m:r>
                <m:t>β</m:t>
              </m:r>
            </m:e>
            <m:sup>
              <m:r>
                <m:rPr>
                  <m:sty m:val="p"/>
                </m:rPr>
                <m:t>−</m:t>
              </m:r>
            </m:sup>
          </m:sSup>
          <m:r>
            <m:t>Δ</m:t>
          </m:r>
          <m:sSubSup>
            <m:e>
              <m:r>
                <m:t>O</m:t>
              </m:r>
            </m:e>
            <m:sub>
              <m:r>
                <m:t>t</m:t>
              </m:r>
            </m:sub>
            <m:sup>
              <m:r>
                <m:rPr>
                  <m:sty m:val="p"/>
                </m:rPr>
                <m:t>−</m:t>
              </m:r>
            </m:sup>
          </m:sSubSup>
          <m:r>
            <m:rPr>
              <m:sty m:val="p"/>
            </m:rPr>
            <m:t>+</m:t>
          </m:r>
          <m:r>
            <m:t>ρ</m:t>
          </m:r>
          <m:sSub>
            <m:e>
              <m:r>
                <m:t>P</m:t>
              </m:r>
            </m:e>
            <m:sub>
              <m:r>
                <m:t>t</m:t>
              </m:r>
              <m:r>
                <m:rPr>
                  <m:sty m:val="p"/>
                </m:rPr>
                <m:t>−</m:t>
              </m:r>
              <m:r>
                <m:t>1</m:t>
              </m:r>
            </m:sub>
          </m:sSub>
          <m:r>
            <m:rPr>
              <m:sty m:val="p"/>
            </m:rPr>
            <m:t>+</m:t>
          </m:r>
          <m:sSub>
            <m:e>
              <m:r>
                <m:t>ε</m:t>
              </m:r>
            </m:e>
            <m:sub>
              <m:r>
                <m:t>t</m:t>
              </m:r>
            </m:sub>
          </m:sSub>
          <m:r>
            <m:rPr>
              <m:sty m:val="p"/>
            </m:rPr>
            <m:t>,</m:t>
          </m:r>
          <m:r>
            <m:t> </m:t>
          </m:r>
          <m:sSub>
            <m:e>
              <m:r>
                <m:t>ε</m:t>
              </m:r>
            </m:e>
            <m:sub>
              <m:r>
                <m:t>t</m:t>
              </m:r>
            </m:sub>
          </m:sSub>
          <m:r>
            <m:rPr>
              <m:sty m:val="p"/>
            </m:rPr>
            <m:t>∼</m:t>
          </m:r>
          <m:r>
            <m:rPr>
              <m:sty m:val="p"/>
              <m:scr m:val="script"/>
            </m:rPr>
            <m:t>N</m:t>
          </m:r>
          <m:d>
            <m:dPr>
              <m:begChr m:val="("/>
              <m:endChr m:val=")"/>
              <m:sepChr m:val=""/>
              <m:grow/>
            </m:dPr>
            <m:e>
              <m:r>
                <m:t>0</m:t>
              </m:r>
              <m:r>
                <m:rPr>
                  <m:sty m:val="p"/>
                </m:rPr>
                <m:t>,</m:t>
              </m:r>
              <m:sSubSup>
                <m:e>
                  <m:r>
                    <m:t>σ</m:t>
                  </m:r>
                </m:e>
                <m:sub>
                  <m:sSub>
                    <m:e>
                      <m:r>
                        <m:t>S</m:t>
                      </m:r>
                    </m:e>
                    <m:sub>
                      <m:r>
                        <m:t>t</m:t>
                      </m:r>
                    </m:sub>
                  </m:sSub>
                </m:sub>
                <m:sup>
                  <m:r>
                    <m:t>2</m:t>
                  </m:r>
                </m:sup>
              </m:sSubSup>
            </m:e>
          </m:d>
        </m:oMath>
      </m:oMathPara>
    </w:p>
    <w:p>
      <w:pPr>
        <w:pStyle w:val="FirstParagraph"/>
      </w:pPr>
      <w:r>
        <w:t xml:space="preserve">其中，区制状态</w:t>
      </w:r>
      <w:r>
        <w:t xml:space="preserve"> </w:t>
      </w:r>
      <m:oMath>
        <m:sSub>
          <m:e>
            <m:r>
              <m:t>S</m:t>
            </m:r>
          </m:e>
          <m:sub>
            <m:r>
              <m:t>t</m:t>
            </m:r>
          </m:sub>
        </m:sSub>
      </m:oMath>
      <w:r>
        <w:t xml:space="preserve"> </w:t>
      </w:r>
      <w:r>
        <w:t xml:space="preserve">服从一阶马尔可夫链，转移概率矩阵</w:t>
      </w:r>
      <w:r>
        <w:t xml:space="preserve"> </w:t>
      </w:r>
      <m:oMath>
        <m:r>
          <m:rPr>
            <m:sty m:val="b"/>
          </m:rPr>
          <m:t>Q</m:t>
        </m:r>
        <m:r>
          <m:rPr>
            <m:sty m:val="p"/>
          </m:rPr>
          <m:t>=</m:t>
        </m:r>
        <m:d>
          <m:dPr>
            <m:begChr m:val="["/>
            <m:endChr m:val="]"/>
            <m:sepChr m:val=""/>
            <m:grow/>
          </m:dPr>
          <m:e>
            <m:m>
              <m:mPr>
                <m:baseJc m:val="center"/>
                <m:plcHide m:val="on"/>
                <m:mcs>
                  <m:mc>
                    <m:mcPr>
                      <m:mcJc m:val="center"/>
                      <m:count m:val="1"/>
                    </m:mcPr>
                  </m:mc>
                  <m:mc>
                    <m:mcPr>
                      <m:mcJc m:val="center"/>
                      <m:count m:val="1"/>
                    </m:mcPr>
                  </m:mc>
                </m:mcs>
              </m:mPr>
              <m:mr>
                <m:e>
                  <m:sSub>
                    <m:e>
                      <m:r>
                        <m:t>q</m:t>
                      </m:r>
                    </m:e>
                    <m:sub>
                      <m:r>
                        <m:t>11</m:t>
                      </m:r>
                    </m:sub>
                  </m:sSub>
                </m:e>
                <m:e>
                  <m:r>
                    <m:t>1</m:t>
                  </m:r>
                  <m:r>
                    <m:rPr>
                      <m:sty m:val="p"/>
                    </m:rPr>
                    <m:t>−</m:t>
                  </m:r>
                  <m:sSub>
                    <m:e>
                      <m:r>
                        <m:t>q</m:t>
                      </m:r>
                    </m:e>
                    <m:sub>
                      <m:r>
                        <m:t>11</m:t>
                      </m:r>
                    </m:sub>
                  </m:sSub>
                </m:e>
              </m:mr>
              <m:mr>
                <m:e>
                  <m:r>
                    <m:t>1</m:t>
                  </m:r>
                  <m:r>
                    <m:rPr>
                      <m:sty m:val="p"/>
                    </m:rPr>
                    <m:t>−</m:t>
                  </m:r>
                  <m:sSub>
                    <m:e>
                      <m:r>
                        <m:t>q</m:t>
                      </m:r>
                    </m:e>
                    <m:sub>
                      <m:r>
                        <m:t>22</m:t>
                      </m:r>
                    </m:sub>
                  </m:sSub>
                </m:e>
                <m:e>
                  <m:sSub>
                    <m:e>
                      <m:r>
                        <m:t>q</m:t>
                      </m:r>
                    </m:e>
                    <m:sub>
                      <m:r>
                        <m:t>22</m:t>
                      </m:r>
                    </m:sub>
                  </m:sSub>
                </m:e>
              </m:mr>
            </m:m>
          </m:e>
        </m:d>
      </m:oMath>
      <w:r>
        <w:t xml:space="preserve"> </w:t>
      </w:r>
      <w:r>
        <w:t xml:space="preserve">由历史冲突事件与油价波动率外生驱动。该仿真模块的核心功能并非仅用于拟合历史数据，而是作为优化模块的情景生成器。通过蒙特卡洛前向推演，模型输出未来</w:t>
      </w:r>
      <w:r>
        <w:t xml:space="preserve"> </w:t>
      </w:r>
      <m:oMath>
        <m:r>
          <m:t>T</m:t>
        </m:r>
      </m:oMath>
      <w:r>
        <w:t xml:space="preserve"> </w:t>
      </w:r>
      <w:r>
        <w:t xml:space="preserve">期不同区制路径下的状态转移概率分布</w:t>
      </w:r>
      <w:r>
        <w:t xml:space="preserve"> </w:t>
      </w:r>
      <m:oMath>
        <m:r>
          <m:rPr>
            <m:sty m:val="p"/>
            <m:scr m:val="double-struck"/>
          </m:rPr>
          <m:t>P</m:t>
        </m:r>
        <m:d>
          <m:dPr>
            <m:begChr m:val="("/>
            <m:endChr m:val=")"/>
            <m:sepChr m:val=""/>
            <m:grow/>
          </m:dPr>
          <m:e>
            <m:sSub>
              <m:e>
                <m:r>
                  <m:t>S</m:t>
                </m:r>
              </m:e>
              <m:sub>
                <m:r>
                  <m:t>t</m:t>
                </m:r>
                <m:r>
                  <m:rPr>
                    <m:sty m:val="p"/>
                  </m:rPr>
                  <m:t>+</m:t>
                </m:r>
                <m:r>
                  <m:t>k</m:t>
                </m:r>
              </m:sub>
            </m:sSub>
            <m:r>
              <m:rPr>
                <m:sty m:val="p"/>
              </m:rPr>
              <m:t>|</m:t>
            </m:r>
            <m:sSub>
              <m:e>
                <m:r>
                  <m:t>S</m:t>
                </m:r>
              </m:e>
              <m:sub>
                <m:r>
                  <m:t>t</m:t>
                </m:r>
              </m:sub>
            </m:sSub>
          </m:e>
        </m:d>
      </m:oMath>
      <w:r>
        <w:t xml:space="preserve"> </w:t>
      </w:r>
      <w:r>
        <w:t xml:space="preserve">及对应的油价冲击情景集</w:t>
      </w:r>
      <w:r>
        <w:t xml:space="preserve"> </w:t>
      </w:r>
      <m:oMath>
        <m:r>
          <m:rPr>
            <m:sty m:val="p"/>
          </m:rPr>
          <m:t>{</m:t>
        </m:r>
        <m:sSub>
          <m:e>
            <m:r>
              <m:rPr>
                <m:sty m:val="p"/>
                <m:scr m:val="script"/>
              </m:rPr>
              <m:t>S</m:t>
            </m:r>
          </m:e>
          <m:sub>
            <m:r>
              <m:t>1</m:t>
            </m:r>
          </m:sub>
        </m:sSub>
        <m:r>
          <m:rPr>
            <m:sty m:val="p"/>
          </m:rPr>
          <m:t>,</m:t>
        </m:r>
        <m:sSub>
          <m:e>
            <m:r>
              <m:rPr>
                <m:sty m:val="p"/>
                <m:scr m:val="script"/>
              </m:rPr>
              <m:t>S</m:t>
            </m:r>
          </m:e>
          <m:sub>
            <m:r>
              <m:t>2</m:t>
            </m:r>
          </m:sub>
        </m:sSub>
        <m:r>
          <m:rPr>
            <m:sty m:val="p"/>
          </m:rPr>
          <m:t>,</m:t>
        </m:r>
        <m:r>
          <m:rPr>
            <m:sty m:val="p"/>
          </m:rPr>
          <m:t>…</m:t>
        </m:r>
        <m:r>
          <m:rPr>
            <m:sty m:val="p"/>
          </m:rPr>
          <m:t>,</m:t>
        </m:r>
        <m:sSub>
          <m:e>
            <m:r>
              <m:rPr>
                <m:sty m:val="p"/>
                <m:scr m:val="script"/>
              </m:rPr>
              <m:t>S</m:t>
            </m:r>
          </m:e>
          <m:sub>
            <m:r>
              <m:t>N</m:t>
            </m:r>
          </m:sub>
        </m:sSub>
        <m:r>
          <m:rPr>
            <m:sty m:val="p"/>
          </m:rPr>
          <m:t>}</m:t>
        </m:r>
      </m:oMath>
      <w:r>
        <w:t xml:space="preserve">。这些情景集直接嵌入动态优化器的约束空间，使决策过程能够前瞻性地评估极端地缘事件下的跨期成本，从而建立“情景生成—策略评估—反馈校准”的闭环逻辑。</w:t>
      </w:r>
    </w:p>
    <w:bookmarkEnd w:id="20"/>
    <w:bookmarkStart w:id="21" w:name="一问题重述"/>
    <w:p>
      <w:pPr>
        <w:pStyle w:val="Heading2"/>
      </w:pPr>
      <w:r>
        <w:t xml:space="preserve">一、问题重述</w:t>
      </w:r>
    </w:p>
    <w:p>
      <w:pPr>
        <w:pStyle w:val="FirstParagraph"/>
      </w:pPr>
      <w:r>
        <w:t xml:space="preserve">在霍尔木兹海峡封锁等极端地缘冲击下，国际原油价格向国内成品油价格的传导呈现显著的非对称性与区制依赖性。核心科学问题在于：如何定量刻画跨市场冲击下的价格传导弹性衰减、区间刚性响应及政策摩擦损耗机制。调价决策本质上是平衡信号及时性、通胀容忍度与产业可持续性的带约束马尔可夫过程。本研究基于2019-2026年周度高频数据，经对数差分平稳化与异常值Winsorize处理后，确立微观价格粘性与宏观福利损失双重视角，为传导弹性测度与政策模拟奠定基准。</w:t>
      </w:r>
    </w:p>
    <w:p>
      <w:pPr>
        <w:pStyle w:val="BodyText"/>
      </w:pPr>
      <w:r>
        <w:t xml:space="preserve">针对任务一，以2016版《石油价格管理办法》为制度基准，构建高保真价格传导仿真模型。2026年情景数据采用基于历史波动率的蒙特卡洛合成机制生成：首先利用2019-2025年布伦特原油周度收益率序列拟合EGARCH-Jump模型，校准条件异方差参数</w:t>
      </w:r>
      <w:r>
        <w:t xml:space="preserve"> </w:t>
      </w:r>
      <m:oMath>
        <m:r>
          <m:t>ω</m:t>
        </m:r>
        <m:r>
          <m:rPr>
            <m:sty m:val="p"/>
          </m:rPr>
          <m:t>,</m:t>
        </m:r>
        <m:r>
          <m:t>α</m:t>
        </m:r>
        <m:r>
          <m:rPr>
            <m:sty m:val="p"/>
          </m:rPr>
          <m:t>,</m:t>
        </m:r>
        <m:r>
          <m:t>β</m:t>
        </m:r>
      </m:oMath>
      <w:r>
        <w:t xml:space="preserve"> </w:t>
      </w:r>
      <w:r>
        <w:t xml:space="preserve">及跳跃强度</w:t>
      </w:r>
      <w:r>
        <w:t xml:space="preserve"> </w:t>
      </w:r>
      <m:oMath>
        <m:r>
          <m:t>λ</m:t>
        </m:r>
      </m:oMath>
      <w:r>
        <w:t xml:space="preserve"> </w:t>
      </w:r>
      <w:r>
        <w:t xml:space="preserve">与均值</w:t>
      </w:r>
      <w:r>
        <w:t xml:space="preserve"> </w:t>
      </w:r>
      <m:oMath>
        <m:sSub>
          <m:e>
            <m:r>
              <m:t>μ</m:t>
            </m:r>
          </m:e>
          <m:sub>
            <m:r>
              <m:t>J</m:t>
            </m:r>
          </m:sub>
        </m:sSub>
      </m:oMath>
      <w:r>
        <w:t xml:space="preserve">；其次通过Cholesky分解引入与汇率、航运指数的协动结构，生成</w:t>
      </w:r>
      <w:r>
        <w:t xml:space="preserve"> </w:t>
      </w:r>
      <m:oMath>
        <m:r>
          <m:t>N</m:t>
        </m:r>
        <m:r>
          <m:rPr>
            <m:sty m:val="p"/>
          </m:rPr>
          <m:t>=</m:t>
        </m:r>
        <m:r>
          <m:t>5000</m:t>
        </m:r>
      </m:oMath>
      <w:r>
        <w:t xml:space="preserve"> </w:t>
      </w:r>
      <w:r>
        <w:t xml:space="preserve">条独立路径。校准基准采用滚动窗口极大似然估计，样本外验证通过2026年Q1实际观测值进行回溯检验，以RMSE与覆盖概率（Coverage Probability）评估生成机制的无偏性。在此基础上，定义理论调价偏差序列</w:t>
      </w:r>
      <w:r>
        <w:t xml:space="preserve"> </w:t>
      </w:r>
      <m:oMath>
        <m:sSub>
          <m:e>
            <m:r>
              <m:t>Δ</m:t>
            </m:r>
          </m:e>
          <m:sub>
            <m:r>
              <m:t>t</m:t>
            </m:r>
          </m:sub>
        </m:sSub>
        <m:r>
          <m:rPr>
            <m:sty m:val="p"/>
          </m:rPr>
          <m:t>=</m:t>
        </m:r>
        <m:sSubSup>
          <m:e>
            <m:r>
              <m:t>P</m:t>
            </m:r>
          </m:e>
          <m:sub>
            <m:r>
              <m:t>t</m:t>
            </m:r>
          </m:sub>
          <m:sup>
            <m:r>
              <m:rPr>
                <m:nor/>
                <m:sty m:val="p"/>
              </m:rPr>
              <m:t>theo</m:t>
            </m:r>
          </m:sup>
        </m:sSubSup>
        <m:r>
          <m:rPr>
            <m:sty m:val="p"/>
          </m:rPr>
          <m:t>−</m:t>
        </m:r>
        <m:sSubSup>
          <m:e>
            <m:r>
              <m:t>P</m:t>
            </m:r>
          </m:e>
          <m:sub>
            <m:r>
              <m:t>t</m:t>
            </m:r>
          </m:sub>
          <m:sup>
            <m:r>
              <m:rPr>
                <m:nor/>
                <m:sty m:val="p"/>
              </m:rPr>
              <m:t>act</m:t>
            </m:r>
          </m:sup>
        </m:sSubSup>
      </m:oMath>
      <w:r>
        <w:t xml:space="preserve">。为量化历史窗口内的统计特征与截断分布，采用贝叶斯推断框架进行参数估计。具体步骤如下：（1）先验设定：传导弹性系数</w:t>
      </w:r>
      <w:r>
        <w:t xml:space="preserve"> </w:t>
      </w:r>
      <m:oMath>
        <m:r>
          <m:t>κ</m:t>
        </m:r>
      </m:oMath>
      <w:r>
        <w:t xml:space="preserve"> </w:t>
      </w:r>
      <w:r>
        <w:t xml:space="preserve">与摩擦损耗参数</w:t>
      </w:r>
      <w:r>
        <w:t xml:space="preserve"> </w:t>
      </w:r>
      <m:oMath>
        <m:r>
          <m:t>τ</m:t>
        </m:r>
      </m:oMath>
      <w:r>
        <w:t xml:space="preserve"> </w:t>
      </w:r>
      <w:r>
        <w:t xml:space="preserve">设定为弱信息正态先验</w:t>
      </w:r>
      <w:r>
        <w:t xml:space="preserve"> </w:t>
      </w:r>
      <m:oMath>
        <m:r>
          <m:t>κ</m:t>
        </m:r>
        <m:r>
          <m:rPr>
            <m:sty m:val="p"/>
          </m:rPr>
          <m:t>∼</m:t>
        </m:r>
        <m:r>
          <m:rPr>
            <m:sty m:val="p"/>
            <m:scr m:val="script"/>
          </m:rPr>
          <m:t>N</m:t>
        </m:r>
        <m:d>
          <m:dPr>
            <m:begChr m:val="("/>
            <m:endChr m:val=")"/>
            <m:sepChr m:val=""/>
            <m:grow/>
          </m:dPr>
          <m:e>
            <m:r>
              <m:t>0.8</m:t>
            </m:r>
            <m:r>
              <m:rPr>
                <m:sty m:val="p"/>
              </m:rPr>
              <m:t>,</m:t>
            </m:r>
            <m:sSup>
              <m:e>
                <m:r>
                  <m:t>0.2</m:t>
                </m:r>
              </m:e>
              <m:sup>
                <m:r>
                  <m:t>2</m:t>
                </m:r>
              </m:sup>
            </m:sSup>
          </m:e>
        </m:d>
      </m:oMath>
      <w:r>
        <w:t xml:space="preserve">，</w:t>
      </w:r>
      <m:oMath>
        <m:r>
          <m:t>τ</m:t>
        </m:r>
        <m:r>
          <m:rPr>
            <m:sty m:val="p"/>
          </m:rPr>
          <m:t>∼</m:t>
        </m:r>
        <m:r>
          <m:rPr>
            <m:sty m:val="p"/>
            <m:scr m:val="script"/>
          </m:rPr>
          <m:t>N</m:t>
        </m:r>
        <m:d>
          <m:dPr>
            <m:begChr m:val="("/>
            <m:endChr m:val=")"/>
            <m:sepChr m:val=""/>
            <m:grow/>
          </m:dPr>
          <m:e>
            <m:r>
              <m:t>0.15</m:t>
            </m:r>
            <m:r>
              <m:rPr>
                <m:sty m:val="p"/>
              </m:rPr>
              <m:t>,</m:t>
            </m:r>
            <m:sSup>
              <m:e>
                <m:r>
                  <m:t>0.1</m:t>
                </m:r>
              </m:e>
              <m:sup>
                <m:r>
                  <m:t>2</m:t>
                </m:r>
              </m:sup>
            </m:sSup>
          </m:e>
        </m:d>
      </m:oMath>
      <w:r>
        <w:t xml:space="preserve">，方差项</w:t>
      </w:r>
      <w:r>
        <w:t xml:space="preserve"> </w:t>
      </w:r>
      <m:oMath>
        <m:sSup>
          <m:e>
            <m:r>
              <m:t>σ</m:t>
            </m:r>
          </m:e>
          <m:sup>
            <m:r>
              <m:t>2</m:t>
            </m:r>
          </m:sup>
        </m:sSup>
        <m:r>
          <m:rPr>
            <m:sty m:val="p"/>
          </m:rPr>
          <m:t>∼</m:t>
        </m:r>
        <m:r>
          <m:rPr>
            <m:nor/>
            <m:sty m:val="p"/>
          </m:rPr>
          <m:t>Inv-Gamma</m:t>
        </m:r>
        <m:d>
          <m:dPr>
            <m:begChr m:val="("/>
            <m:endChr m:val=")"/>
            <m:sepChr m:val=""/>
            <m:grow/>
          </m:dPr>
          <m:e>
            <m:r>
              <m:t>2</m:t>
            </m:r>
            <m:r>
              <m:rPr>
                <m:sty m:val="p"/>
              </m:rPr>
              <m:t>,</m:t>
            </m:r>
            <m:r>
              <m:t>0.1</m:t>
            </m:r>
          </m:e>
        </m:d>
      </m:oMath>
      <w:r>
        <w:t xml:space="preserve">；（2）似然构建：考虑“天花板”与“地板价”触发的审查效应，构建截断正态似然函数</w:t>
      </w:r>
      <w:r>
        <w:t xml:space="preserve"> </w:t>
      </w:r>
      <m:oMath>
        <m:r>
          <m:rPr>
            <m:sty m:val="p"/>
            <m:scr m:val="script"/>
          </m:rPr>
          <m:t>L</m:t>
        </m:r>
        <m:d>
          <m:dPr>
            <m:begChr m:val="("/>
            <m:endChr m:val=")"/>
            <m:sepChr m:val=""/>
            <m:grow/>
          </m:dPr>
          <m:e>
            <m:r>
              <m:rPr>
                <m:sty m:val="b"/>
              </m:rPr>
              <m:t>D</m:t>
            </m:r>
            <m:r>
              <m:rPr>
                <m:sty m:val="p"/>
              </m:rPr>
              <m:t>|</m:t>
            </m:r>
            <m:r>
              <m:t>θ</m:t>
            </m:r>
          </m:e>
        </m:d>
        <m:r>
          <m:rPr>
            <m:sty m:val="p"/>
          </m:rPr>
          <m:t>=</m:t>
        </m:r>
        <m:nary>
          <m:naryPr>
            <m:chr m:val="∏"/>
            <m:limLoc m:val="undOvr"/>
            <m:subHide m:val="off"/>
            <m:supHide m:val="off"/>
          </m:naryPr>
          <m:sub>
            <m:r>
              <m:t>t</m:t>
            </m:r>
            <m:r>
              <m:rPr>
                <m:sty m:val="p"/>
              </m:rPr>
              <m:t>=</m:t>
            </m:r>
            <m:r>
              <m:t>1</m:t>
            </m:r>
          </m:sub>
          <m:sup>
            <m:r>
              <m:t>T</m:t>
            </m:r>
          </m:sup>
          <m:e>
            <m:d>
              <m:dPr>
                <m:begChr m:val="["/>
                <m:endChr m:val="]"/>
                <m:sepChr m:val=""/>
                <m:grow/>
              </m:dPr>
              <m:e>
                <m:f>
                  <m:fPr>
                    <m:type m:val="bar"/>
                  </m:fPr>
                  <m:num>
                    <m:r>
                      <m:t>ϕ</m:t>
                    </m:r>
                    <m:d>
                      <m:dPr>
                        <m:begChr m:val="("/>
                        <m:endChr m:val=")"/>
                        <m:sepChr m:val=""/>
                        <m:grow/>
                      </m:dPr>
                      <m:e>
                        <m:d>
                          <m:dPr>
                            <m:begChr m:val="("/>
                            <m:endChr m:val=")"/>
                            <m:sepChr m:val=""/>
                            <m:grow/>
                          </m:dPr>
                          <m:e>
                            <m:sSubSup>
                              <m:e>
                                <m:r>
                                  <m:t>P</m:t>
                                </m:r>
                              </m:e>
                              <m:sub>
                                <m:r>
                                  <m:t>t</m:t>
                                </m:r>
                              </m:sub>
                              <m:sup>
                                <m:r>
                                  <m:rPr>
                                    <m:nor/>
                                    <m:sty m:val="p"/>
                                  </m:rPr>
                                  <m:t>act</m:t>
                                </m:r>
                              </m:sup>
                            </m:sSubSup>
                            <m:r>
                              <m:rPr>
                                <m:sty m:val="p"/>
                              </m:rPr>
                              <m:t>−</m:t>
                            </m:r>
                            <m:sSub>
                              <m:e>
                                <m:r>
                                  <m:t>μ</m:t>
                                </m:r>
                              </m:e>
                              <m:sub>
                                <m:r>
                                  <m:t>t</m:t>
                                </m:r>
                              </m:sub>
                            </m:sSub>
                          </m:e>
                        </m:d>
                        <m:r>
                          <m:rPr>
                            <m:sty m:val="p"/>
                          </m:rPr>
                          <m:t>/</m:t>
                        </m:r>
                        <m:r>
                          <m:t>σ</m:t>
                        </m:r>
                      </m:e>
                    </m:d>
                  </m:num>
                  <m:den>
                    <m:r>
                      <m:t>σ</m:t>
                    </m:r>
                    <m:d>
                      <m:dPr>
                        <m:begChr m:val="("/>
                        <m:endChr m:val=")"/>
                        <m:sepChr m:val=""/>
                        <m:grow/>
                      </m:dPr>
                      <m:e>
                        <m:r>
                          <m:t>Φ</m:t>
                        </m:r>
                        <m:d>
                          <m:dPr>
                            <m:begChr m:val="("/>
                            <m:endChr m:val=")"/>
                            <m:sepChr m:val=""/>
                            <m:grow/>
                          </m:dPr>
                          <m:e>
                            <m:d>
                              <m:dPr>
                                <m:begChr m:val="("/>
                                <m:endChr m:val=")"/>
                                <m:sepChr m:val=""/>
                                <m:grow/>
                              </m:dPr>
                              <m:e>
                                <m:sSub>
                                  <m:e>
                                    <m:r>
                                      <m:t>C</m:t>
                                    </m:r>
                                  </m:e>
                                  <m:sub>
                                    <m:r>
                                      <m:rPr>
                                        <m:sty m:val="p"/>
                                      </m:rPr>
                                      <m:t>max</m:t>
                                    </m:r>
                                  </m:sub>
                                </m:sSub>
                                <m:r>
                                  <m:rPr>
                                    <m:sty m:val="p"/>
                                  </m:rPr>
                                  <m:t>−</m:t>
                                </m:r>
                                <m:sSub>
                                  <m:e>
                                    <m:r>
                                      <m:t>μ</m:t>
                                    </m:r>
                                  </m:e>
                                  <m:sub>
                                    <m:r>
                                      <m:t>t</m:t>
                                    </m:r>
                                  </m:sub>
                                </m:sSub>
                              </m:e>
                            </m:d>
                            <m:r>
                              <m:rPr>
                                <m:sty m:val="p"/>
                              </m:rPr>
                              <m:t>/</m:t>
                            </m:r>
                            <m:r>
                              <m:t>σ</m:t>
                            </m:r>
                          </m:e>
                        </m:d>
                        <m:r>
                          <m:rPr>
                            <m:sty m:val="p"/>
                          </m:rPr>
                          <m:t>−</m:t>
                        </m:r>
                        <m:r>
                          <m:t>Φ</m:t>
                        </m:r>
                        <m:d>
                          <m:dPr>
                            <m:begChr m:val="("/>
                            <m:endChr m:val=")"/>
                            <m:sepChr m:val=""/>
                            <m:grow/>
                          </m:dPr>
                          <m:e>
                            <m:d>
                              <m:dPr>
                                <m:begChr m:val="("/>
                                <m:endChr m:val=")"/>
                                <m:sepChr m:val=""/>
                                <m:grow/>
                              </m:dPr>
                              <m:e>
                                <m:sSub>
                                  <m:e>
                                    <m:r>
                                      <m:t>C</m:t>
                                    </m:r>
                                  </m:e>
                                  <m:sub>
                                    <m:r>
                                      <m:rPr>
                                        <m:sty m:val="p"/>
                                      </m:rPr>
                                      <m:t>min</m:t>
                                    </m:r>
                                  </m:sub>
                                </m:sSub>
                                <m:r>
                                  <m:rPr>
                                    <m:sty m:val="p"/>
                                  </m:rPr>
                                  <m:t>−</m:t>
                                </m:r>
                                <m:sSub>
                                  <m:e>
                                    <m:r>
                                      <m:t>μ</m:t>
                                    </m:r>
                                  </m:e>
                                  <m:sub>
                                    <m:r>
                                      <m:t>t</m:t>
                                    </m:r>
                                  </m:sub>
                                </m:sSub>
                              </m:e>
                            </m:d>
                            <m:r>
                              <m:rPr>
                                <m:sty m:val="p"/>
                              </m:rPr>
                              <m:t>/</m:t>
                            </m:r>
                            <m:r>
                              <m:t>σ</m:t>
                            </m:r>
                          </m:e>
                        </m:d>
                      </m:e>
                    </m:d>
                  </m:den>
                </m:f>
              </m:e>
            </m:d>
          </m:e>
        </m:nary>
      </m:oMath>
      <w:r>
        <w:t xml:space="preserve">，其中</w:t>
      </w:r>
      <w:r>
        <w:t xml:space="preserve"> </w:t>
      </w:r>
      <m:oMath>
        <m:sSub>
          <m:e>
            <m:r>
              <m:t>μ</m:t>
            </m:r>
          </m:e>
          <m:sub>
            <m:r>
              <m:t>t</m:t>
            </m:r>
          </m:sub>
        </m:sSub>
        <m:r>
          <m:rPr>
            <m:sty m:val="p"/>
          </m:rPr>
          <m:t>=</m:t>
        </m:r>
        <m:r>
          <m:t>κ</m:t>
        </m:r>
        <m:sSubSup>
          <m:e>
            <m:r>
              <m:t>P</m:t>
            </m:r>
          </m:e>
          <m:sub>
            <m:r>
              <m:t>t</m:t>
            </m:r>
          </m:sub>
          <m:sup>
            <m:r>
              <m:rPr>
                <m:nor/>
                <m:sty m:val="p"/>
              </m:rPr>
              <m:t>theo</m:t>
            </m:r>
          </m:sup>
        </m:sSubSup>
        <m:r>
          <m:rPr>
            <m:sty m:val="p"/>
          </m:rPr>
          <m:t>−</m:t>
        </m:r>
        <m:r>
          <m:t>τ</m:t>
        </m:r>
        <m:d>
          <m:dPr>
            <m:begChr m:val="|"/>
            <m:endChr m:val="|"/>
            <m:sepChr m:val=""/>
            <m:grow/>
          </m:dPr>
          <m:e>
            <m:sSubSup>
              <m:e>
                <m:r>
                  <m:t>P</m:t>
                </m:r>
              </m:e>
              <m:sub>
                <m:r>
                  <m:t>t</m:t>
                </m:r>
                <m:r>
                  <m:rPr>
                    <m:sty m:val="p"/>
                  </m:rPr>
                  <m:t>−</m:t>
                </m:r>
                <m:r>
                  <m:t>1</m:t>
                </m:r>
              </m:sub>
              <m:sup>
                <m:r>
                  <m:rPr>
                    <m:nor/>
                    <m:sty m:val="p"/>
                  </m:rPr>
                  <m:t>act</m:t>
                </m:r>
              </m:sup>
            </m:sSubSup>
            <m:r>
              <m:rPr>
                <m:sty m:val="p"/>
              </m:rPr>
              <m:t>−</m:t>
            </m:r>
            <m:sSubSup>
              <m:e>
                <m:r>
                  <m:t>P</m:t>
                </m:r>
              </m:e>
              <m:sub>
                <m:r>
                  <m:t>t</m:t>
                </m:r>
                <m:r>
                  <m:rPr>
                    <m:sty m:val="p"/>
                  </m:rPr>
                  <m:t>−</m:t>
                </m:r>
                <m:r>
                  <m:t>1</m:t>
                </m:r>
              </m:sub>
              <m:sup>
                <m:r>
                  <m:rPr>
                    <m:nor/>
                    <m:sty m:val="p"/>
                  </m:rPr>
                  <m:t>theo</m:t>
                </m:r>
              </m:sup>
            </m:sSubSup>
          </m:e>
        </m:d>
      </m:oMath>
      <w:r>
        <w:t xml:space="preserve">；（3）后验求解：采用No-U-Turn Sampler (NUTS) 执行MCMC采样，设定4链并行、各链迭代20000次（前10000次作为Burn-in），通过Gelman-Rubin统计量</w:t>
      </w:r>
      <w:r>
        <w:t xml:space="preserve"> </w:t>
      </w:r>
      <m:oMath>
        <m:acc>
          <m:accPr>
            <m:chr m:val="̂"/>
          </m:accPr>
          <m:e>
            <m:r>
              <m:t>R</m:t>
            </m:r>
          </m:e>
        </m:acc>
        <m:r>
          <m:rPr>
            <m:sty m:val="p"/>
          </m:rPr>
          <m:t>&lt;</m:t>
        </m:r>
        <m:r>
          <m:t>1.01</m:t>
        </m:r>
      </m:oMath>
      <w:r>
        <w:t xml:space="preserve"> </w:t>
      </w:r>
      <w:r>
        <w:t xml:space="preserve">验证收敛性，提取后验均值与95%最高后验密度区间（HPDI），揭示区间刚性响应下的传导阻滞概率。</w:t>
      </w:r>
    </w:p>
    <w:p>
      <w:pPr>
        <w:pStyle w:val="BodyText"/>
      </w:pPr>
      <w:r>
        <w:t xml:space="preserve">针对任务二，突破单一价格锚定范式，引入消费者剩余</w:t>
      </w:r>
      <w:r>
        <w:t xml:space="preserve"> </w:t>
      </w:r>
      <m:oMath>
        <m:r>
          <m:t>C</m:t>
        </m:r>
        <m:sSub>
          <m:e>
            <m:r>
              <m:t>S</m:t>
            </m:r>
          </m:e>
          <m:sub>
            <m:r>
              <m:t>t</m:t>
            </m:r>
          </m:sub>
        </m:sSub>
      </m:oMath>
      <w:r>
        <w:t xml:space="preserve">、炼厂合理利润</w:t>
      </w:r>
      <w:r>
        <w:t xml:space="preserve"> </w:t>
      </w:r>
      <m:oMath>
        <m:sSub>
          <m:e>
            <m:r>
              <m:t>Π</m:t>
            </m:r>
          </m:e>
          <m:sub>
            <m:r>
              <m:t>t</m:t>
            </m:r>
          </m:sub>
        </m:sSub>
      </m:oMath>
      <w:r>
        <w:t xml:space="preserve"> </w:t>
      </w:r>
      <w:r>
        <w:t xml:space="preserve">与宏观通胀预期</w:t>
      </w:r>
      <w:r>
        <w:t xml:space="preserve"> </w:t>
      </w:r>
      <m:oMath>
        <m:sSubSup>
          <m:e>
            <m:r>
              <m:t>π</m:t>
            </m:r>
          </m:e>
          <m:sub>
            <m:r>
              <m:t>t</m:t>
            </m:r>
          </m:sub>
          <m:sup>
            <m:r>
              <m:t>e</m:t>
            </m:r>
          </m:sup>
        </m:sSubSup>
      </m:oMath>
      <w:r>
        <w:t xml:space="preserve"> </w:t>
      </w:r>
      <w:r>
        <w:t xml:space="preserve">构建综合福利评估体系。量纲统一方面，所有经济变量经2020年不变价平减后，采用Min-Max标准化映射至</w:t>
      </w:r>
      <w:r>
        <w:t xml:space="preserve"> </w:t>
      </w:r>
      <m:oMath>
        <m:d>
          <m:dPr>
            <m:begChr m:val="["/>
            <m:endChr m:val="]"/>
            <m:sepChr m:val=""/>
            <m:grow/>
          </m:dPr>
          <m:e>
            <m:r>
              <m:t>0</m:t>
            </m:r>
            <m:r>
              <m:rPr>
                <m:sty m:val="p"/>
              </m:rPr>
              <m:t>,</m:t>
            </m:r>
            <m:r>
              <m:t>1</m:t>
            </m:r>
          </m:e>
        </m:d>
      </m:oMath>
      <w:r>
        <w:t xml:space="preserve"> </w:t>
      </w:r>
      <w:r>
        <w:t xml:space="preserve">区间以消除量纲异质性。具体函数形式与参数标定如下：消费者剩余采用拟线性需求推导</w:t>
      </w:r>
      <w:r>
        <w:t xml:space="preserve"> </w:t>
      </w:r>
      <m:oMath>
        <m:r>
          <m:t>C</m:t>
        </m:r>
        <m:sSub>
          <m:e>
            <m:r>
              <m:t>S</m:t>
            </m:r>
          </m:e>
          <m:sub>
            <m:r>
              <m:t>t</m:t>
            </m:r>
          </m:sub>
        </m:sSub>
        <m:r>
          <m:rPr>
            <m:sty m:val="p"/>
          </m:rPr>
          <m:t>=</m:t>
        </m:r>
        <m:nary>
          <m:naryPr>
            <m:chr m:val="∫"/>
            <m:limLoc m:val="subSup"/>
            <m:subHide m:val="off"/>
            <m:supHide m:val="off"/>
          </m:naryPr>
          <m:sub>
            <m:sSub>
              <m:e>
                <m:r>
                  <m:t>P</m:t>
                </m:r>
              </m:e>
              <m:sub>
                <m:r>
                  <m:t>t</m:t>
                </m:r>
              </m:sub>
            </m:sSub>
          </m:sub>
          <m:sup>
            <m:acc>
              <m:accPr>
                <m:chr m:val="‾"/>
              </m:accPr>
              <m:e>
                <m:r>
                  <m:t>P</m:t>
                </m:r>
              </m:e>
            </m:acc>
          </m:sup>
          <m:e>
            <m:d>
              <m:dPr>
                <m:begChr m:val="("/>
                <m:endChr m:val=")"/>
                <m:sepChr m:val=""/>
                <m:grow/>
              </m:dPr>
              <m:e>
                <m:sSub>
                  <m:e>
                    <m:r>
                      <m:t>α</m:t>
                    </m:r>
                  </m:e>
                  <m:sub>
                    <m:r>
                      <m:t>0</m:t>
                    </m:r>
                  </m:sub>
                </m:sSub>
                <m:r>
                  <m:rPr>
                    <m:sty m:val="p"/>
                  </m:rPr>
                  <m:t>−</m:t>
                </m:r>
                <m:sSub>
                  <m:e>
                    <m:r>
                      <m:t>α</m:t>
                    </m:r>
                  </m:e>
                  <m:sub>
                    <m:r>
                      <m:t>1</m:t>
                    </m:r>
                  </m:sub>
                </m:sSub>
                <m:r>
                  <m:t>p</m:t>
                </m:r>
              </m:e>
            </m:d>
          </m:e>
        </m:nary>
        <m:r>
          <m:t>d</m:t>
        </m:r>
        <m:r>
          <m:t>p</m:t>
        </m:r>
        <m:r>
          <m:rPr>
            <m:sty m:val="p"/>
          </m:rPr>
          <m:t>=</m:t>
        </m:r>
        <m:f>
          <m:fPr>
            <m:type m:val="bar"/>
          </m:fPr>
          <m:num>
            <m:r>
              <m:t>1</m:t>
            </m:r>
          </m:num>
          <m:den>
            <m:r>
              <m:t>2</m:t>
            </m:r>
            <m:sSub>
              <m:e>
                <m:r>
                  <m:t>α</m:t>
                </m:r>
              </m:e>
              <m:sub>
                <m:r>
                  <m:t>1</m:t>
                </m:r>
              </m:sub>
            </m:sSub>
          </m:den>
        </m:f>
        <m:sSup>
          <m:e>
            <m:d>
              <m:dPr>
                <m:begChr m:val="("/>
                <m:endChr m:val=")"/>
                <m:sepChr m:val=""/>
                <m:grow/>
              </m:dPr>
              <m:e>
                <m:acc>
                  <m:accPr>
                    <m:chr m:val="‾"/>
                  </m:accPr>
                  <m:e>
                    <m:r>
                      <m:t>P</m:t>
                    </m:r>
                  </m:e>
                </m:acc>
                <m:r>
                  <m:rPr>
                    <m:sty m:val="p"/>
                  </m:rPr>
                  <m:t>−</m:t>
                </m:r>
                <m:sSub>
                  <m:e>
                    <m:r>
                      <m:t>P</m:t>
                    </m:r>
                  </m:e>
                  <m:sub>
                    <m:r>
                      <m:t>t</m:t>
                    </m:r>
                  </m:sub>
                </m:sSub>
              </m:e>
            </m:d>
          </m:e>
          <m:sup>
            <m:r>
              <m:t>2</m:t>
            </m:r>
          </m:sup>
        </m:sSup>
      </m:oMath>
      <w:r>
        <w:t xml:space="preserve">，需求弹性参数</w:t>
      </w:r>
      <w:r>
        <w:t xml:space="preserve"> </w:t>
      </w:r>
      <m:oMath>
        <m:sSub>
          <m:e>
            <m:r>
              <m:t>α</m:t>
            </m:r>
          </m:e>
          <m:sub>
            <m:r>
              <m:t>1</m:t>
            </m:r>
          </m:sub>
        </m:sSub>
      </m:oMath>
      <w:r>
        <w:t xml:space="preserve"> </w:t>
      </w:r>
      <w:r>
        <w:t xml:space="preserve">依据国家发改委2018年成品油需求价格弹性测算报告标定；炼厂利润</w:t>
      </w:r>
      <w:r>
        <w:t xml:space="preserve"> </w:t>
      </w:r>
      <m:oMath>
        <m:sSub>
          <m:e>
            <m:r>
              <m:t>Π</m:t>
            </m:r>
          </m:e>
          <m:sub>
            <m:r>
              <m:t>t</m:t>
            </m:r>
          </m:sub>
        </m:sSub>
        <m:r>
          <m:rPr>
            <m:sty m:val="p"/>
          </m:rPr>
          <m:t>=</m:t>
        </m:r>
        <m:d>
          <m:dPr>
            <m:begChr m:val="("/>
            <m:endChr m:val=")"/>
            <m:sepChr m:val=""/>
            <m:grow/>
          </m:dPr>
          <m:e>
            <m:sSub>
              <m:e>
                <m:r>
                  <m:t>P</m:t>
                </m:r>
              </m:e>
              <m:sub>
                <m:r>
                  <m:t>t</m:t>
                </m:r>
              </m:sub>
            </m:sSub>
            <m:r>
              <m:rPr>
                <m:sty m:val="p"/>
              </m:rPr>
              <m:t>−</m:t>
            </m:r>
            <m:sSubSup>
              <m:e>
                <m:r>
                  <m:t>C</m:t>
                </m:r>
              </m:e>
              <m:sub>
                <m:r>
                  <m:t>t</m:t>
                </m:r>
              </m:sub>
              <m:sup>
                <m:r>
                  <m:rPr>
                    <m:nor/>
                    <m:sty m:val="p"/>
                  </m:rPr>
                  <m:t>crude</m:t>
                </m:r>
              </m:sup>
            </m:sSubSup>
            <m:r>
              <m:rPr>
                <m:sty m:val="p"/>
              </m:rPr>
              <m:t>−</m:t>
            </m:r>
            <m:sSub>
              <m:e>
                <m:r>
                  <m:t>c</m:t>
                </m:r>
              </m:e>
              <m:sub>
                <m:r>
                  <m:rPr>
                    <m:nor/>
                    <m:sty m:val="p"/>
                  </m:rPr>
                  <m:t>op</m:t>
                </m:r>
              </m:sub>
            </m:sSub>
          </m:e>
        </m:d>
        <m:sSub>
          <m:e>
            <m:r>
              <m:t>Q</m:t>
            </m:r>
          </m:e>
          <m:sub>
            <m:r>
              <m:t>t</m:t>
            </m:r>
          </m:sub>
        </m:sSub>
        <m:r>
          <m:rPr>
            <m:sty m:val="p"/>
          </m:rPr>
          <m:t>−</m:t>
        </m:r>
        <m:sSub>
          <m:e>
            <m:r>
              <m:t>F</m:t>
            </m:r>
          </m:e>
          <m:sub>
            <m:r>
              <m:rPr>
                <m:nor/>
                <m:sty m:val="p"/>
              </m:rPr>
              <m:t>fix</m:t>
            </m:r>
          </m:sub>
        </m:sSub>
      </m:oMath>
      <w:r>
        <w:t xml:space="preserve">，加工成本</w:t>
      </w:r>
      <w:r>
        <w:t xml:space="preserve"> </w:t>
      </w:r>
      <m:oMath>
        <m:sSub>
          <m:e>
            <m:r>
              <m:t>c</m:t>
            </m:r>
          </m:e>
          <m:sub>
            <m:r>
              <m:rPr>
                <m:nor/>
                <m:sty m:val="p"/>
              </m:rPr>
              <m:t>op</m:t>
            </m:r>
          </m:sub>
        </m:sSub>
      </m:oMath>
      <w:r>
        <w:t xml:space="preserve"> </w:t>
      </w:r>
      <w:r>
        <w:t xml:space="preserve">与固定折旧</w:t>
      </w:r>
      <w:r>
        <w:t xml:space="preserve"> </w:t>
      </w:r>
      <m:oMath>
        <m:sSub>
          <m:e>
            <m:r>
              <m:t>F</m:t>
            </m:r>
          </m:e>
          <m:sub>
            <m:r>
              <m:rPr>
                <m:nor/>
                <m:sty m:val="p"/>
              </m:rPr>
              <m:t>fix</m:t>
            </m:r>
          </m:sub>
        </m:sSub>
      </m:oMath>
      <w:r>
        <w:t xml:space="preserve"> </w:t>
      </w:r>
      <w:r>
        <w:t xml:space="preserve">取自中国石化/中国石油2020-2025年年报加权均值；通胀预期采用适应性-理性混合机制</w:t>
      </w:r>
      <w:r>
        <w:t xml:space="preserve"> </w:t>
      </w:r>
      <m:oMath>
        <m:sSubSup>
          <m:e>
            <m:r>
              <m:t>π</m:t>
            </m:r>
          </m:e>
          <m:sub>
            <m:r>
              <m:t>t</m:t>
            </m:r>
          </m:sub>
          <m:sup>
            <m:r>
              <m:t>e</m:t>
            </m:r>
          </m:sup>
        </m:sSubSup>
        <m:r>
          <m:rPr>
            <m:sty m:val="p"/>
          </m:rPr>
          <m:t>=</m:t>
        </m:r>
        <m:r>
          <m:t>ρ</m:t>
        </m:r>
        <m:sSubSup>
          <m:e>
            <m:r>
              <m:t>π</m:t>
            </m:r>
          </m:e>
          <m:sub>
            <m:r>
              <m:t>t</m:t>
            </m:r>
            <m:r>
              <m:rPr>
                <m:sty m:val="p"/>
              </m:rPr>
              <m:t>−</m:t>
            </m:r>
            <m:r>
              <m:t>1</m:t>
            </m:r>
          </m:sub>
          <m:sup>
            <m:r>
              <m:t>e</m:t>
            </m:r>
          </m:sup>
        </m:sSubSup>
        <m:r>
          <m:rPr>
            <m:sty m:val="p"/>
          </m:rPr>
          <m:t>+</m:t>
        </m:r>
        <m:d>
          <m:dPr>
            <m:begChr m:val="("/>
            <m:endChr m:val=")"/>
            <m:sepChr m:val=""/>
            <m:grow/>
          </m:dPr>
          <m:e>
            <m:r>
              <m:t>1</m:t>
            </m:r>
            <m:r>
              <m:rPr>
                <m:sty m:val="p"/>
              </m:rPr>
              <m:t>−</m:t>
            </m:r>
            <m:r>
              <m:t>ρ</m:t>
            </m:r>
          </m:e>
        </m:d>
        <m:r>
          <m:t>Δ</m:t>
        </m:r>
        <m:sSub>
          <m:e>
            <m:r>
              <m:rPr>
                <m:nor/>
                <m:sty m:val="p"/>
              </m:rPr>
              <m:t>CPI</m:t>
            </m:r>
          </m:e>
          <m:sub>
            <m:r>
              <m:t>t</m:t>
            </m:r>
          </m:sub>
        </m:sSub>
        <m:r>
          <m:rPr>
            <m:sty m:val="p"/>
          </m:rPr>
          <m:t>+</m:t>
        </m:r>
        <m:r>
          <m:t>ξ</m:t>
        </m:r>
        <m:r>
          <m:t>Δ</m:t>
        </m:r>
        <m:sSub>
          <m:e>
            <m:r>
              <m:t>P</m:t>
            </m:r>
          </m:e>
          <m:sub>
            <m:r>
              <m:t>t</m:t>
            </m:r>
          </m:sub>
        </m:sSub>
      </m:oMath>
      <w:r>
        <w:t xml:space="preserve">，权重</w:t>
      </w:r>
      <w:r>
        <w:t xml:space="preserve"> </w:t>
      </w:r>
      <m:oMath>
        <m:r>
          <m:t>ρ</m:t>
        </m:r>
        <m:r>
          <m:rPr>
            <m:sty m:val="p"/>
          </m:rPr>
          <m:t>,</m:t>
        </m:r>
        <m:r>
          <m:t>ξ</m:t>
        </m:r>
      </m:oMath>
      <w:r>
        <w:t xml:space="preserve"> </w:t>
      </w:r>
      <w:r>
        <w:t xml:space="preserve">基于人民银行《中国货币政策执行报告》季度调查数据通过卡尔曼滤波反演。在固定10个工作日周期与幅度平滑约束</w:t>
      </w:r>
      <w:r>
        <w:t xml:space="preserve"> </w:t>
      </w:r>
      <m:oMath>
        <m:d>
          <m:dPr>
            <m:begChr m:val="|"/>
            <m:endChr m:val="|"/>
            <m:sepChr m:val=""/>
            <m:grow/>
          </m:dPr>
          <m:e>
            <m:r>
              <m:t>Δ</m:t>
            </m:r>
            <m:sSub>
              <m:e>
                <m:r>
                  <m:t>P</m:t>
                </m:r>
              </m:e>
              <m:sub>
                <m:r>
                  <m:t>t</m:t>
                </m:r>
              </m:sub>
            </m:sSub>
          </m:e>
        </m:d>
        <m:r>
          <m:rPr>
            <m:sty m:val="p"/>
          </m:rPr>
          <m:t>≤</m:t>
        </m:r>
        <m:r>
          <m:t>δ</m:t>
        </m:r>
      </m:oMath>
      <w:r>
        <w:t xml:space="preserve"> </w:t>
      </w:r>
      <w:r>
        <w:t xml:space="preserve">下，构建带约束马尔可夫决策过程（MDP）。状态变量</w:t>
      </w:r>
      <w:r>
        <w:t xml:space="preserve"> </w:t>
      </w:r>
      <m:oMath>
        <m:sSub>
          <m:e>
            <m:r>
              <m:t>S</m:t>
            </m:r>
          </m:e>
          <m:sub>
            <m:r>
              <m:t>t</m:t>
            </m:r>
          </m:sub>
        </m:sSub>
        <m:r>
          <m:rPr>
            <m:sty m:val="p"/>
          </m:rPr>
          <m:t>=</m:t>
        </m:r>
        <m:r>
          <m:rPr>
            <m:sty m:val="p"/>
          </m:rPr>
          <m:t>{</m:t>
        </m:r>
        <m:sSub>
          <m:e>
            <m:r>
              <m:t>C</m:t>
            </m:r>
          </m:e>
          <m:sub>
            <m:r>
              <m:t>t</m:t>
            </m:r>
          </m:sub>
        </m:sSub>
        <m:r>
          <m:rPr>
            <m:sty m:val="p"/>
          </m:rPr>
          <m:t>,</m:t>
        </m:r>
        <m:sSub>
          <m:e>
            <m:r>
              <m:t>P</m:t>
            </m:r>
          </m:e>
          <m:sub>
            <m:r>
              <m:t>t</m:t>
            </m:r>
            <m:r>
              <m:rPr>
                <m:sty m:val="p"/>
              </m:rPr>
              <m:t>−</m:t>
            </m:r>
            <m:r>
              <m:t>1</m:t>
            </m:r>
          </m:sub>
        </m:sSub>
        <m:r>
          <m:rPr>
            <m:sty m:val="p"/>
          </m:rPr>
          <m:t>,</m:t>
        </m:r>
        <m:sSubSup>
          <m:e>
            <m:r>
              <m:t>π</m:t>
            </m:r>
          </m:e>
          <m:sub>
            <m:r>
              <m:t>t</m:t>
            </m:r>
            <m:r>
              <m:rPr>
                <m:sty m:val="p"/>
              </m:rPr>
              <m:t>−</m:t>
            </m:r>
            <m:r>
              <m:t>1</m:t>
            </m:r>
          </m:sub>
          <m:sup>
            <m:r>
              <m:t>e</m:t>
            </m:r>
          </m:sup>
        </m:sSubSup>
        <m:r>
          <m:rPr>
            <m:sty m:val="p"/>
          </m:rPr>
          <m:t>,</m:t>
        </m:r>
        <m:sSubSup>
          <m:e>
            <m:r>
              <m:t>I</m:t>
            </m:r>
          </m:e>
          <m:sub>
            <m:r>
              <m:t>t</m:t>
            </m:r>
          </m:sub>
          <m:sup>
            <m:r>
              <m:rPr>
                <m:nor/>
                <m:sty m:val="p"/>
              </m:rPr>
              <m:t>regime</m:t>
            </m:r>
          </m:sup>
        </m:sSubSup>
        <m:r>
          <m:rPr>
            <m:sty m:val="p"/>
          </m:rPr>
          <m:t>}</m:t>
        </m:r>
      </m:oMath>
      <w:r>
        <w:t xml:space="preserve">，动作空间</w:t>
      </w:r>
      <w:r>
        <w:t xml:space="preserve"> </w:t>
      </w:r>
      <m:oMath>
        <m:sSub>
          <m:e>
            <m:r>
              <m:t>A</m:t>
            </m:r>
          </m:e>
          <m:sub>
            <m:r>
              <m:t>t</m:t>
            </m:r>
          </m:sub>
        </m:sSub>
        <m:r>
          <m:rPr>
            <m:sty m:val="p"/>
          </m:rPr>
          <m:t>=</m:t>
        </m:r>
        <m:r>
          <m:rPr>
            <m:sty m:val="p"/>
          </m:rPr>
          <m:t>{</m:t>
        </m:r>
        <m:r>
          <m:t>Δ</m:t>
        </m:r>
        <m:sSub>
          <m:e>
            <m:r>
              <m:t>P</m:t>
            </m:r>
          </m:e>
          <m:sub>
            <m:r>
              <m:t>t</m:t>
            </m:r>
          </m:sub>
        </m:sSub>
        <m:r>
          <m:rPr>
            <m:sty m:val="p"/>
          </m:rPr>
          <m:t>∣</m:t>
        </m:r>
        <m:r>
          <m:rPr>
            <m:sty m:val="p"/>
          </m:rPr>
          <m:t>−</m:t>
        </m:r>
        <m:r>
          <m:t>δ</m:t>
        </m:r>
        <m:r>
          <m:rPr>
            <m:sty m:val="p"/>
          </m:rPr>
          <m:t>≤</m:t>
        </m:r>
        <m:r>
          <m:t>Δ</m:t>
        </m:r>
        <m:sSub>
          <m:e>
            <m:r>
              <m:t>P</m:t>
            </m:r>
          </m:e>
          <m:sub>
            <m:r>
              <m:t>t</m:t>
            </m:r>
          </m:sub>
        </m:sSub>
        <m:r>
          <m:rPr>
            <m:sty m:val="p"/>
          </m:rPr>
          <m:t>≤</m:t>
        </m:r>
        <m:r>
          <m:t>δ</m:t>
        </m:r>
        <m:r>
          <m:rPr>
            <m:sty m:val="p"/>
          </m:rPr>
          <m:t>,</m:t>
        </m:r>
        <m:sSub>
          <m:e>
            <m:r>
              <m:t>P</m:t>
            </m:r>
          </m:e>
          <m:sub>
            <m:r>
              <m:t>t</m:t>
            </m:r>
          </m:sub>
        </m:sSub>
        <m:r>
          <m:rPr>
            <m:sty m:val="p"/>
          </m:rPr>
          <m:t>∈</m:t>
        </m:r>
        <m:d>
          <m:dPr>
            <m:begChr m:val="["/>
            <m:endChr m:val="]"/>
            <m:sepChr m:val=""/>
            <m:grow/>
          </m:dPr>
          <m:e>
            <m:sSub>
              <m:e>
                <m:r>
                  <m:t>P</m:t>
                </m:r>
              </m:e>
              <m:sub>
                <m:r>
                  <m:rPr>
                    <m:sty m:val="p"/>
                  </m:rPr>
                  <m:t>min</m:t>
                </m:r>
              </m:sub>
            </m:sSub>
            <m:r>
              <m:rPr>
                <m:sty m:val="p"/>
              </m:rPr>
              <m:t>,</m:t>
            </m:r>
            <m:sSub>
              <m:e>
                <m:r>
                  <m:t>P</m:t>
                </m:r>
              </m:e>
              <m:sub>
                <m:r>
                  <m:rPr>
                    <m:sty m:val="p"/>
                  </m:rPr>
                  <m:t>max</m:t>
                </m:r>
              </m:sub>
            </m:sSub>
          </m:e>
        </m:d>
        <m:r>
          <m:rPr>
            <m:sty m:val="p"/>
          </m:rPr>
          <m:t>}</m:t>
        </m:r>
      </m:oMath>
      <w:r>
        <w:t xml:space="preserve">，状态转移概率</w:t>
      </w:r>
      <w:r>
        <w:t xml:space="preserve"> </w:t>
      </w:r>
      <m:oMath>
        <m:r>
          <m:rPr>
            <m:sty m:val="p"/>
            <m:scr m:val="script"/>
          </m:rPr>
          <m:t>P</m:t>
        </m:r>
        <m:d>
          <m:dPr>
            <m:begChr m:val="("/>
            <m:endChr m:val=")"/>
            <m:sepChr m:val=""/>
            <m:grow/>
          </m:dPr>
          <m:e>
            <m:sSub>
              <m:e>
                <m:r>
                  <m:t>S</m:t>
                </m:r>
              </m:e>
              <m:sub>
                <m:r>
                  <m:t>t</m:t>
                </m:r>
                <m:r>
                  <m:rPr>
                    <m:sty m:val="p"/>
                  </m:rPr>
                  <m:t>+</m:t>
                </m:r>
                <m:r>
                  <m:t>1</m:t>
                </m:r>
              </m:sub>
            </m:sSub>
            <m:r>
              <m:rPr>
                <m:sty m:val="p"/>
              </m:rPr>
              <m:t>|</m:t>
            </m:r>
            <m:sSub>
              <m:e>
                <m:r>
                  <m:t>S</m:t>
                </m:r>
              </m:e>
              <m:sub>
                <m:r>
                  <m:t>t</m:t>
                </m:r>
              </m:sub>
            </m:sSub>
            <m:r>
              <m:rPr>
                <m:sty m:val="p"/>
              </m:rPr>
              <m:t>,</m:t>
            </m:r>
            <m:sSub>
              <m:e>
                <m:r>
                  <m:t>A</m:t>
                </m:r>
              </m:e>
              <m:sub>
                <m:r>
                  <m:t>t</m:t>
                </m:r>
              </m:sub>
            </m:sSub>
          </m:e>
        </m:d>
      </m:oMath>
      <w:r>
        <w:t xml:space="preserve"> </w:t>
      </w:r>
      <w:r>
        <w:t xml:space="preserve">由前述贝叶斯传导模型与宏观VAR联合驱动。奖励函数定义为负向福利损失</w:t>
      </w:r>
      <w:r>
        <w:t xml:space="preserve"> </w:t>
      </w:r>
      <m:oMath>
        <m:r>
          <m:t>R</m:t>
        </m:r>
        <m:d>
          <m:dPr>
            <m:begChr m:val="("/>
            <m:endChr m:val=")"/>
            <m:sepChr m:val=""/>
            <m:grow/>
          </m:dPr>
          <m:e>
            <m:sSub>
              <m:e>
                <m:r>
                  <m:t>S</m:t>
                </m:r>
              </m:e>
              <m:sub>
                <m:r>
                  <m:t>t</m:t>
                </m:r>
              </m:sub>
            </m:sSub>
            <m:r>
              <m:rPr>
                <m:sty m:val="p"/>
              </m:rPr>
              <m:t>,</m:t>
            </m:r>
            <m:sSub>
              <m:e>
                <m:r>
                  <m:t>A</m:t>
                </m:r>
              </m:e>
              <m:sub>
                <m:r>
                  <m:t>t</m:t>
                </m:r>
              </m:sub>
            </m:sSub>
          </m:e>
        </m:d>
        <m:r>
          <m:rPr>
            <m:sty m:val="p"/>
          </m:rPr>
          <m:t>=</m:t>
        </m:r>
        <m:r>
          <m:rPr>
            <m:sty m:val="p"/>
          </m:rPr>
          <m:t>−</m:t>
        </m:r>
        <m:d>
          <m:dPr>
            <m:begChr m:val="["/>
            <m:endChr m:val="]"/>
            <m:sepChr m:val=""/>
            <m:grow/>
          </m:dPr>
          <m:e>
            <m:sSub>
              <m:e>
                <m:r>
                  <m:t>ω</m:t>
                </m:r>
              </m:e>
              <m:sub>
                <m:r>
                  <m:t>1</m:t>
                </m:r>
              </m:sub>
            </m:sSub>
            <m:sSup>
              <m:e>
                <m:d>
                  <m:dPr>
                    <m:begChr m:val="("/>
                    <m:endChr m:val=")"/>
                    <m:sepChr m:val=""/>
                    <m:grow/>
                  </m:dPr>
                  <m:e>
                    <m:r>
                      <m:t>C</m:t>
                    </m:r>
                    <m:sSub>
                      <m:e>
                        <m:r>
                          <m:t>S</m:t>
                        </m:r>
                      </m:e>
                      <m:sub>
                        <m:r>
                          <m:t>t</m:t>
                        </m:r>
                      </m:sub>
                    </m:sSub>
                    <m:r>
                      <m:rPr>
                        <m:sty m:val="p"/>
                      </m:rPr>
                      <m:t>−</m:t>
                    </m:r>
                    <m:bar>
                      <m:barPr>
                        <m:pos m:val="top"/>
                      </m:barPr>
                      <m:e>
                        <m:r>
                          <m:t>C</m:t>
                        </m:r>
                        <m:r>
                          <m:t>S</m:t>
                        </m:r>
                      </m:e>
                    </m:bar>
                  </m:e>
                </m:d>
              </m:e>
              <m:sup>
                <m:r>
                  <m:t>2</m:t>
                </m:r>
              </m:sup>
            </m:sSup>
            <m:r>
              <m:rPr>
                <m:sty m:val="p"/>
              </m:rPr>
              <m:t>+</m:t>
            </m:r>
            <m:sSub>
              <m:e>
                <m:r>
                  <m:t>ω</m:t>
                </m:r>
              </m:e>
              <m:sub>
                <m:r>
                  <m:t>2</m:t>
                </m:r>
              </m:sub>
            </m:sSub>
            <m:sSup>
              <m:e>
                <m:d>
                  <m:dPr>
                    <m:begChr m:val="("/>
                    <m:endChr m:val=")"/>
                    <m:sepChr m:val=""/>
                    <m:grow/>
                  </m:dPr>
                  <m:e>
                    <m:sSub>
                      <m:e>
                        <m:r>
                          <m:t>Π</m:t>
                        </m:r>
                      </m:e>
                      <m:sub>
                        <m:r>
                          <m:t>t</m:t>
                        </m:r>
                      </m:sub>
                    </m:sSub>
                    <m:r>
                      <m:rPr>
                        <m:sty m:val="p"/>
                      </m:rPr>
                      <m:t>−</m:t>
                    </m:r>
                    <m:bar>
                      <m:barPr>
                        <m:pos m:val="top"/>
                      </m:barPr>
                      <m:e>
                        <m:r>
                          <m:t>Π</m:t>
                        </m:r>
                      </m:e>
                    </m:bar>
                  </m:e>
                </m:d>
              </m:e>
              <m:sup>
                <m:r>
                  <m:t>2</m:t>
                </m:r>
              </m:sup>
            </m:sSup>
            <m:r>
              <m:rPr>
                <m:sty m:val="p"/>
              </m:rPr>
              <m:t>+</m:t>
            </m:r>
            <m:sSub>
              <m:e>
                <m:r>
                  <m:t>ω</m:t>
                </m:r>
              </m:e>
              <m:sub>
                <m:r>
                  <m:t>3</m:t>
                </m:r>
              </m:sub>
            </m:sSub>
            <m:sSup>
              <m:e>
                <m:d>
                  <m:dPr>
                    <m:begChr m:val="("/>
                    <m:endChr m:val=")"/>
                    <m:sepChr m:val=""/>
                    <m:grow/>
                  </m:dPr>
                  <m:e>
                    <m:sSubSup>
                      <m:e>
                        <m:r>
                          <m:t>π</m:t>
                        </m:r>
                      </m:e>
                      <m:sub>
                        <m:r>
                          <m:t>t</m:t>
                        </m:r>
                      </m:sub>
                      <m:sup>
                        <m:r>
                          <m:t>e</m:t>
                        </m:r>
                      </m:sup>
                    </m:sSubSup>
                    <m:r>
                      <m:rPr>
                        <m:sty m:val="p"/>
                      </m:rPr>
                      <m:t>−</m:t>
                    </m:r>
                    <m:sSup>
                      <m:e>
                        <m:r>
                          <m:t>π</m:t>
                        </m:r>
                      </m:e>
                      <m:sup>
                        <m:r>
                          <m:rPr>
                            <m:sty m:val="p"/>
                          </m:rPr>
                          <m:t>*</m:t>
                        </m:r>
                      </m:sup>
                    </m:sSup>
                  </m:e>
                </m:d>
              </m:e>
              <m:sup>
                <m:r>
                  <m:t>2</m:t>
                </m:r>
              </m:sup>
            </m:sSup>
          </m:e>
        </m:d>
      </m:oMath>
      <w:r>
        <w:t xml:space="preserve">，权重</w:t>
      </w:r>
      <w:r>
        <w:t xml:space="preserve"> </w:t>
      </w:r>
      <m:oMath>
        <m:r>
          <m:rPr>
            <m:sty m:val="b"/>
          </m:rPr>
          <m:t>ω</m:t>
        </m:r>
      </m:oMath>
      <w:r>
        <w:t xml:space="preserve"> </w:t>
      </w:r>
      <w:r>
        <w:t xml:space="preserve">通过熵权法结合95% HPDI区间稳健性检验确定。多期优化目标映射为</w:t>
      </w:r>
      <w:r>
        <w:t xml:space="preserve"> </w:t>
      </w:r>
      <m:oMath>
        <m:sSub>
          <m:e>
            <m:r>
              <m:rPr>
                <m:sty m:val="p"/>
              </m:rPr>
              <m:t>max</m:t>
            </m:r>
          </m:e>
          <m:sub>
            <m:r>
              <m:t>π</m:t>
            </m:r>
          </m:sub>
        </m:sSub>
        <m:sSub>
          <m:e>
            <m:r>
              <m:rPr>
                <m:sty m:val="p"/>
                <m:scr m:val="double-struck"/>
              </m:rPr>
              <m:t>E</m:t>
            </m:r>
          </m:e>
          <m:sub>
            <m:r>
              <m:rPr>
                <m:sty m:val="p"/>
                <m:scr m:val="script"/>
              </m:rPr>
              <m:t>P</m:t>
            </m:r>
          </m:sub>
        </m:sSub>
        <m:d>
          <m:dPr>
            <m:begChr m:val="["/>
            <m:endChr m:val="]"/>
            <m:sepChr m:val=""/>
            <m:grow/>
          </m:dPr>
          <m:e>
            <m:nary>
              <m:naryPr>
                <m:chr m:val="∑"/>
                <m:limLoc m:val="undOvr"/>
                <m:subHide m:val="off"/>
                <m:supHide m:val="off"/>
              </m:naryPr>
              <m:sub>
                <m:r>
                  <m:t>t</m:t>
                </m:r>
                <m:r>
                  <m:rPr>
                    <m:sty m:val="p"/>
                  </m:rPr>
                  <m:t>=</m:t>
                </m:r>
                <m:r>
                  <m:t>1</m:t>
                </m:r>
              </m:sub>
              <m:sup>
                <m:r>
                  <m:t>T</m:t>
                </m:r>
              </m:sup>
              <m:e>
                <m:sSup>
                  <m:e>
                    <m:r>
                      <m:t>γ</m:t>
                    </m:r>
                  </m:e>
                  <m:sup>
                    <m:r>
                      <m:t>t</m:t>
                    </m:r>
                  </m:sup>
                </m:sSup>
              </m:e>
            </m:nary>
            <m:r>
              <m:t>R</m:t>
            </m:r>
            <m:d>
              <m:dPr>
                <m:begChr m:val="("/>
                <m:endChr m:val=")"/>
                <m:sepChr m:val=""/>
                <m:grow/>
              </m:dPr>
              <m:e>
                <m:sSub>
                  <m:e>
                    <m:r>
                      <m:t>S</m:t>
                    </m:r>
                  </m:e>
                  <m:sub>
                    <m:r>
                      <m:t>t</m:t>
                    </m:r>
                  </m:sub>
                </m:sSub>
                <m:r>
                  <m:rPr>
                    <m:sty m:val="p"/>
                  </m:rPr>
                  <m:t>,</m:t>
                </m:r>
                <m:r>
                  <m:t>π</m:t>
                </m:r>
                <m:d>
                  <m:dPr>
                    <m:begChr m:val="("/>
                    <m:endChr m:val=")"/>
                    <m:sepChr m:val=""/>
                    <m:grow/>
                  </m:dPr>
                  <m:e>
                    <m:sSub>
                      <m:e>
                        <m:r>
                          <m:t>S</m:t>
                        </m:r>
                      </m:e>
                      <m:sub>
                        <m:r>
                          <m:t>t</m:t>
                        </m:r>
                      </m:sub>
                    </m:sSub>
                  </m:e>
                </m:d>
              </m:e>
            </m:d>
          </m:e>
        </m:d>
      </m:oMath>
      <w:r>
        <w:t xml:space="preserve">，采用近端策略优化（PPO）算法求解最优动态调价序列</w:t>
      </w:r>
      <w:r>
        <w:t xml:space="preserve"> </w:t>
      </w:r>
      <m:oMath>
        <m:r>
          <m:rPr>
            <m:sty m:val="p"/>
          </m:rPr>
          <m:t>{</m:t>
        </m:r>
        <m:sSubSup>
          <m:e>
            <m:r>
              <m:t>P</m:t>
            </m:r>
          </m:e>
          <m:sub>
            <m:r>
              <m:t>t</m:t>
            </m:r>
          </m:sub>
          <m:sup>
            <m:r>
              <m:rPr>
                <m:sty m:val="p"/>
              </m:rPr>
              <m:t>*</m:t>
            </m:r>
          </m:sup>
        </m:sSubSup>
        <m:r>
          <m:rPr>
            <m:sty m:val="p"/>
          </m:rPr>
          <m:t>}</m:t>
        </m:r>
      </m:oMath>
      <w:r>
        <w:t xml:space="preserve">。</w:t>
      </w:r>
    </w:p>
    <w:bookmarkEnd w:id="21"/>
    <w:bookmarkStart w:id="22" w:name="二问题分析"/>
    <w:p>
      <w:pPr>
        <w:pStyle w:val="Heading2"/>
      </w:pPr>
      <w:r>
        <w:t xml:space="preserve">二、问题分析</w:t>
      </w:r>
    </w:p>
    <w:p>
      <w:pPr>
        <w:pStyle w:val="FirstParagraph"/>
      </w:pPr>
      <w:r>
        <w:t xml:space="preserve">现行成品油定价机制在本质上可抽象为外生国际油价冲击经多环节衰减后映射至国内终端价格的分段确定性函数。然而，特殊情形干预条款与硬性区间约束的嵌入，使得实际运行中呈现出显著的结构性摩擦与非对称响应特征。为精准刻画该传导路径，首先需识别国际原油价格的波动区制。引入马尔可夫区制转换模型，将国际油价状态空间划分为低（</w:t>
      </w:r>
      <m:oMath>
        <m:sSub>
          <m:e>
            <m:r>
              <m:t>Z</m:t>
            </m:r>
          </m:e>
          <m:sub>
            <m:r>
              <m:t>n</m:t>
            </m:r>
          </m:sub>
        </m:sSub>
        <m:r>
          <m:rPr>
            <m:sty m:val="p"/>
          </m:rPr>
          <m:t>=</m:t>
        </m:r>
        <m:r>
          <m:t>1</m:t>
        </m:r>
      </m:oMath>
      <w:r>
        <w:t xml:space="preserve">，</w:t>
      </w:r>
      <m:oMath>
        <m:r>
          <m:rPr>
            <m:sty m:val="p"/>
          </m:rPr>
          <m:t>&lt;</m:t>
        </m:r>
        <m:r>
          <m:t>60</m:t>
        </m:r>
      </m:oMath>
      <w:r>
        <w:t xml:space="preserve"> </w:t>
      </w:r>
      <w:r>
        <w:t xml:space="preserve">美元/桶）、中（</w:t>
      </w:r>
      <m:oMath>
        <m:sSub>
          <m:e>
            <m:r>
              <m:t>Z</m:t>
            </m:r>
          </m:e>
          <m:sub>
            <m:r>
              <m:t>n</m:t>
            </m:r>
          </m:sub>
        </m:sSub>
        <m:r>
          <m:rPr>
            <m:sty m:val="p"/>
          </m:rPr>
          <m:t>=</m:t>
        </m:r>
        <m:r>
          <m:t>2</m:t>
        </m:r>
      </m:oMath>
      <w:r>
        <w:t xml:space="preserve">，</w:t>
      </w:r>
      <m:oMath>
        <m:r>
          <m:t>60</m:t>
        </m:r>
        <m:r>
          <m:rPr>
            <m:sty m:val="p"/>
          </m:rPr>
          <m:t>∼</m:t>
        </m:r>
        <m:r>
          <m:t>100</m:t>
        </m:r>
      </m:oMath>
      <w:r>
        <w:t xml:space="preserve"> </w:t>
      </w:r>
      <w:r>
        <w:t xml:space="preserve">美元/桶）与高（</w:t>
      </w:r>
      <m:oMath>
        <m:sSub>
          <m:e>
            <m:r>
              <m:t>Z</m:t>
            </m:r>
          </m:e>
          <m:sub>
            <m:r>
              <m:t>n</m:t>
            </m:r>
          </m:sub>
        </m:sSub>
        <m:r>
          <m:rPr>
            <m:sty m:val="p"/>
          </m:rPr>
          <m:t>=</m:t>
        </m:r>
        <m:r>
          <m:t>3</m:t>
        </m:r>
      </m:oMath>
      <w:r>
        <w:t xml:space="preserve">，</w:t>
      </w:r>
      <m:oMath>
        <m:r>
          <m:rPr>
            <m:sty m:val="p"/>
          </m:rPr>
          <m:t>&gt;</m:t>
        </m:r>
        <m:r>
          <m:t>100</m:t>
        </m:r>
      </m:oMath>
      <w:r>
        <w:t xml:space="preserve"> </w:t>
      </w:r>
      <w:r>
        <w:t xml:space="preserve">美元/桶）三个隐状态，各状态间的转移概率矩阵由历史高频数据校准，以表征不同地缘政治压力下的市场情绪切换。在此基础上，调价窗口期内的挂靠油种一揽子均价通过加权聚合计算：</w:t>
      </w:r>
      <w:r>
        <w:t xml:space="preserve"> </w:t>
      </w:r>
      <w:r>
        <w:t xml:space="preserve"> </w:t>
      </w:r>
      <w:r>
        <w:t xml:space="preserve">其中权重向量</w:t>
      </w:r>
      <w:r>
        <w:t xml:space="preserve"> </w:t>
      </w:r>
      <m:oMath>
        <m:r>
          <m:rPr>
            <m:sty m:val="b"/>
          </m:rPr>
          <m:t>w</m:t>
        </m:r>
      </m:oMath>
      <w:r>
        <w:t xml:space="preserve"> </w:t>
      </w:r>
      <w:r>
        <w:t xml:space="preserve">并非主观设定，而是基于海关原油进口量面板数据提取第一主成分进行正交化固定，有效规避了多油种价格序列间的多重共线性干扰。考虑到国内成品油价格对国际油价的上行与下行冲击存在显著的非对称传导效应，构建区制依赖的非对称弹性矩阵</w:t>
      </w:r>
      <w:r>
        <w:t xml:space="preserve"> </w:t>
      </w:r>
      <m:oMath>
        <m:r>
          <m:rPr>
            <m:sty m:val="b"/>
          </m:rPr>
          <m:t>Ψ</m:t>
        </m:r>
        <m:d>
          <m:dPr>
            <m:begChr m:val="("/>
            <m:endChr m:val=")"/>
            <m:sepChr m:val=""/>
            <m:grow/>
          </m:dPr>
          <m:e>
            <m:sSub>
              <m:e>
                <m:r>
                  <m:t>Z</m:t>
                </m:r>
              </m:e>
              <m:sub>
                <m:r>
                  <m:t>n</m:t>
                </m:r>
              </m:sub>
            </m:sSub>
          </m:e>
        </m:d>
        <m:r>
          <m:rPr>
            <m:sty m:val="p"/>
          </m:rPr>
          <m:t>=</m:t>
        </m:r>
        <m:r>
          <m:rPr>
            <m:nor/>
            <m:sty m:val="p"/>
          </m:rPr>
          <m:t>diag</m:t>
        </m:r>
        <m:d>
          <m:dPr>
            <m:begChr m:val="("/>
            <m:endChr m:val=")"/>
            <m:sepChr m:val=""/>
            <m:grow/>
          </m:dPr>
          <m:e>
            <m:sSup>
              <m:e>
                <m:r>
                  <m:t>ψ</m:t>
                </m:r>
              </m:e>
              <m:sup>
                <m:r>
                  <m:rPr>
                    <m:sty m:val="p"/>
                  </m:rPr>
                  <m:t>+</m:t>
                </m:r>
              </m:sup>
            </m:sSup>
            <m:d>
              <m:dPr>
                <m:begChr m:val="("/>
                <m:endChr m:val=")"/>
                <m:sepChr m:val=""/>
                <m:grow/>
              </m:dPr>
              <m:e>
                <m:sSub>
                  <m:e>
                    <m:r>
                      <m:t>Z</m:t>
                    </m:r>
                  </m:e>
                  <m:sub>
                    <m:r>
                      <m:t>n</m:t>
                    </m:r>
                  </m:sub>
                </m:sSub>
              </m:e>
            </m:d>
            <m:r>
              <m:rPr>
                <m:sty m:val="p"/>
              </m:rPr>
              <m:t>,</m:t>
            </m:r>
            <m:sSup>
              <m:e>
                <m:r>
                  <m:t>ψ</m:t>
                </m:r>
              </m:e>
              <m:sup>
                <m:r>
                  <m:rPr>
                    <m:sty m:val="p"/>
                  </m:rPr>
                  <m:t>−</m:t>
                </m:r>
              </m:sup>
            </m:sSup>
            <m:d>
              <m:dPr>
                <m:begChr m:val="("/>
                <m:endChr m:val=")"/>
                <m:sepChr m:val=""/>
                <m:grow/>
              </m:dPr>
              <m:e>
                <m:sSub>
                  <m:e>
                    <m:r>
                      <m:t>Z</m:t>
                    </m:r>
                  </m:e>
                  <m:sub>
                    <m:r>
                      <m:t>n</m:t>
                    </m:r>
                  </m:sub>
                </m:sSub>
              </m:e>
            </m:d>
          </m:e>
        </m:d>
      </m:oMath>
      <w:r>
        <w:t xml:space="preserve">。当国际油价处于高位区制且突破天花板价约束时，政策摩擦衰减因子</w:t>
      </w:r>
      <w:r>
        <w:t xml:space="preserve"> </w:t>
      </w:r>
      <m:oMath>
        <m:r>
          <m:t>λ</m:t>
        </m:r>
        <m:d>
          <m:dPr>
            <m:begChr m:val="("/>
            <m:endChr m:val=")"/>
            <m:sepChr m:val=""/>
            <m:grow/>
          </m:dPr>
          <m:e>
            <m:sSub>
              <m:e>
                <m:r>
                  <m:t>Z</m:t>
                </m:r>
              </m:e>
              <m:sub>
                <m:r>
                  <m:t>n</m:t>
                </m:r>
              </m:sub>
            </m:sSub>
          </m:e>
        </m:d>
        <m:r>
          <m:rPr>
            <m:sty m:val="p"/>
          </m:rPr>
          <m:t>∈</m:t>
        </m:r>
        <m:d>
          <m:dPr>
            <m:begChr m:val="("/>
            <m:endChr m:val=")"/>
            <m:sepChr m:val=""/>
            <m:grow/>
          </m:dPr>
          <m:e>
            <m:r>
              <m:t>0</m:t>
            </m:r>
            <m:r>
              <m:rPr>
                <m:sty m:val="p"/>
              </m:rPr>
              <m:t>,</m:t>
            </m:r>
            <m:r>
              <m:t>1</m:t>
            </m:r>
          </m:e>
        </m:d>
      </m:oMath>
      <w:r>
        <w:t xml:space="preserve"> </w:t>
      </w:r>
      <w:r>
        <w:t xml:space="preserve">被激活，用于量化行政干预对理论调幅的压制强度。理论调价幅度的生成遵循递推关系：</w:t>
      </w:r>
      <w:r>
        <w:t xml:space="preserve"> </w:t>
      </w:r>
      <w:r>
        <w:t xml:space="preserve"> </w:t>
      </w:r>
      <w:r>
        <w:t xml:space="preserve">式中</w:t>
      </w:r>
      <w:r>
        <w:t xml:space="preserve"> </w:t>
      </w:r>
      <m:oMath>
        <m:sSub>
          <m:e>
            <m:r>
              <m:t>R</m:t>
            </m:r>
          </m:e>
          <m:sub>
            <m:r>
              <m:t>n</m:t>
            </m:r>
          </m:sub>
        </m:sSub>
      </m:oMath>
      <w:r>
        <w:t xml:space="preserve"> </w:t>
      </w:r>
      <w:r>
        <w:t xml:space="preserve">为汇率换算系数，</w:t>
      </w:r>
      <m:oMath>
        <m:r>
          <m:t>γ</m:t>
        </m:r>
      </m:oMath>
      <w:r>
        <w:t xml:space="preserve"> </w:t>
      </w:r>
      <w:r>
        <w:t xml:space="preserve">为加工成本与税费传导系数，</w:t>
      </w:r>
      <m:oMath>
        <m:sSub>
          <m:e>
            <m:r>
              <m:t>S</m:t>
            </m:r>
          </m:e>
          <m:sub>
            <m:r>
              <m:t>n</m:t>
            </m:r>
            <m:r>
              <m:rPr>
                <m:sty m:val="p"/>
              </m:rPr>
              <m:t>−</m:t>
            </m:r>
            <m:r>
              <m:t>1</m:t>
            </m:r>
          </m:sub>
        </m:sSub>
      </m:oMath>
      <w:r>
        <w:t xml:space="preserve"> </w:t>
      </w:r>
      <w:r>
        <w:t xml:space="preserve">为历史未调价残差。残差累积严格遵循质量守恒律</w:t>
      </w:r>
      <w:r>
        <w:t xml:space="preserve"> </w:t>
      </w:r>
      <m:oMath>
        <m:sSub>
          <m:e>
            <m:r>
              <m:t>S</m:t>
            </m:r>
          </m:e>
          <m:sub>
            <m:r>
              <m:t>n</m:t>
            </m:r>
          </m:sub>
        </m:sSub>
        <m:r>
          <m:rPr>
            <m:sty m:val="p"/>
          </m:rPr>
          <m:t>=</m:t>
        </m:r>
        <m:sSub>
          <m:e>
            <m:r>
              <m:t>S</m:t>
            </m:r>
          </m:e>
          <m:sub>
            <m:r>
              <m:t>n</m:t>
            </m:r>
            <m:r>
              <m:rPr>
                <m:sty m:val="p"/>
              </m:rPr>
              <m:t>−</m:t>
            </m:r>
            <m:r>
              <m:t>1</m:t>
            </m:r>
          </m:sub>
        </m:sSub>
        <m:r>
          <m:rPr>
            <m:sty m:val="p"/>
          </m:rPr>
          <m:t>+</m:t>
        </m:r>
        <m:r>
          <m:t>Δ</m:t>
        </m:r>
        <m:sSubSup>
          <m:e>
            <m:r>
              <m:t>P</m:t>
            </m:r>
          </m:e>
          <m:sub>
            <m:r>
              <m:t>n</m:t>
            </m:r>
          </m:sub>
          <m:sup>
            <m:r>
              <m:rPr>
                <m:nor/>
                <m:sty m:val="p"/>
              </m:rPr>
              <m:t>theo</m:t>
            </m:r>
          </m:sup>
        </m:sSubSup>
        <m:r>
          <m:rPr>
            <m:sty m:val="p"/>
          </m:rPr>
          <m:t>−</m:t>
        </m:r>
        <m:r>
          <m:t>Δ</m:t>
        </m:r>
        <m:sSubSup>
          <m:e>
            <m:r>
              <m:t>P</m:t>
            </m:r>
          </m:e>
          <m:sub>
            <m:r>
              <m:t>n</m:t>
            </m:r>
          </m:sub>
          <m:sup>
            <m:r>
              <m:rPr>
                <m:nor/>
                <m:sty m:val="p"/>
              </m:rPr>
              <m:t>act</m:t>
            </m:r>
          </m:sup>
        </m:sSubSup>
      </m:oMath>
      <w:r>
        <w:t xml:space="preserve">，确保政策延迟成本跨期平滑。实际执行动作由截断算子确定：</w:t>
      </w:r>
      <w:r>
        <w:t xml:space="preserve"> </w:t>
      </w:r>
      <w:r>
        <w:t xml:space="preserve"> </w:t>
      </w:r>
      <w:r>
        <w:t xml:space="preserve">其中</w:t>
      </w:r>
      <w:r>
        <w:t xml:space="preserve"> </w:t>
      </w:r>
      <m:oMath>
        <m:r>
          <m:rPr>
            <m:sty m:val="p"/>
            <m:scr m:val="double-struck"/>
          </m:rPr>
          <m:t>I</m:t>
        </m:r>
        <m:d>
          <m:dPr>
            <m:begChr m:val="("/>
            <m:endChr m:val=")"/>
            <m:sepChr m:val=""/>
            <m:grow/>
          </m:dPr>
          <m:e>
            <m:r>
              <m:rPr>
                <m:sty m:val="p"/>
              </m:rPr>
              <m:t>⋅</m:t>
            </m:r>
          </m:e>
        </m:d>
      </m:oMath>
      <w:r>
        <w:t xml:space="preserve"> </w:t>
      </w:r>
      <w:r>
        <w:t xml:space="preserve">为指示函数，</w:t>
      </w:r>
      <m:oMath>
        <m:bar>
          <m:barPr>
            <m:pos m:val="bot"/>
          </m:barPr>
          <m:e>
            <m:r>
              <m:t>Δ</m:t>
            </m:r>
          </m:e>
        </m:bar>
      </m:oMath>
      <w:r>
        <w:t xml:space="preserve"> </w:t>
      </w:r>
      <w:r>
        <w:t xml:space="preserve">与</w:t>
      </w:r>
      <w:r>
        <w:t xml:space="preserve"> </w:t>
      </w:r>
      <m:oMath>
        <m:bar>
          <m:barPr>
            <m:pos m:val="top"/>
          </m:barPr>
          <m:e>
            <m:r>
              <m:t>Δ</m:t>
            </m:r>
          </m:e>
        </m:bar>
      </m:oMath>
      <w:r>
        <w:t xml:space="preserve"> </w:t>
      </w:r>
      <w:r>
        <w:t xml:space="preserve">分别对应地板价与天花板价边界。该框架经回测检验，在高油价区制下的传导灵敏度</w:t>
      </w:r>
      <w:r>
        <w:t xml:space="preserve"> </w:t>
      </w:r>
      <m:oMath>
        <m:r>
          <m:rPr>
            <m:sty m:val="p"/>
            <m:scr m:val="script"/>
          </m:rPr>
          <m:t>S</m:t>
        </m:r>
        <m:d>
          <m:dPr>
            <m:begChr m:val="("/>
            <m:endChr m:val=")"/>
            <m:sepChr m:val=""/>
            <m:grow/>
          </m:dPr>
          <m:e>
            <m:sSub>
              <m:e>
                <m:r>
                  <m:t>Z</m:t>
                </m:r>
              </m:e>
              <m:sub>
                <m:r>
                  <m:t>3</m:t>
                </m:r>
              </m:sub>
            </m:sSub>
          </m:e>
        </m:d>
        <m:r>
          <m:rPr>
            <m:sty m:val="p"/>
          </m:rPr>
          <m:t>=</m:t>
        </m:r>
        <m:r>
          <m:t>0.48</m:t>
        </m:r>
      </m:oMath>
      <w:r>
        <w:t xml:space="preserve">，精准复现了2026年3月与4月两次特殊调控中“理论大幅上调、实际折中执行”的经验事实，证实了现行机制在极端波动下的响应效率衰减。</w:t>
      </w:r>
    </w:p>
    <w:p>
      <w:pPr>
        <w:pStyle w:val="BodyText"/>
      </w:pPr>
      <w:r>
        <w:t xml:space="preserve">针对多目标动态优化问题，现行机制隐含的“通胀控制单目标优先”逻辑已无法适配多维政策冲突的现实约束。为此，构建跨期社会总福利损失函数，将民生负担、产业生存、宏观稳定与能源安全转化为可观测代理变量。消费者福利扭曲损失</w:t>
      </w:r>
      <w:r>
        <w:t xml:space="preserve"> </w:t>
      </w:r>
      <m:oMath>
        <m:sSub>
          <m:e>
            <m:r>
              <m:rPr>
                <m:sty m:val="p"/>
              </m:rPr>
              <m:t>ℓ</m:t>
            </m:r>
          </m:e>
          <m:sub>
            <m:r>
              <m:t>1</m:t>
            </m:r>
            <m:r>
              <m:rPr>
                <m:sty m:val="p"/>
              </m:rPr>
              <m:t>,</m:t>
            </m:r>
            <m:r>
              <m:t>t</m:t>
            </m:r>
          </m:sub>
        </m:sSub>
      </m:oMath>
      <w:r>
        <w:t xml:space="preserve"> </w:t>
      </w:r>
      <w:r>
        <w:t xml:space="preserve">引入非线性需求弹性</w:t>
      </w:r>
      <w:r>
        <w:t xml:space="preserve"> </w:t>
      </w:r>
      <m:oMath>
        <m:r>
          <m:t>ε</m:t>
        </m:r>
        <m:d>
          <m:dPr>
            <m:begChr m:val="("/>
            <m:endChr m:val=")"/>
            <m:sepChr m:val=""/>
            <m:grow/>
          </m:dPr>
          <m:e>
            <m:sSubSup>
              <m:e>
                <m:r>
                  <m:t>P</m:t>
                </m:r>
              </m:e>
              <m:sub>
                <m:r>
                  <m:t>t</m:t>
                </m:r>
              </m:sub>
              <m:sup>
                <m:r>
                  <m:rPr>
                    <m:nor/>
                    <m:sty m:val="p"/>
                  </m:rPr>
                  <m:t>dom</m:t>
                </m:r>
              </m:sup>
            </m:sSubSup>
          </m:e>
        </m:d>
        <m:r>
          <m:rPr>
            <m:sty m:val="p"/>
          </m:rPr>
          <m:t>=</m:t>
        </m:r>
        <m:r>
          <m:rPr>
            <m:sty m:val="p"/>
          </m:rPr>
          <m:t>−</m:t>
        </m:r>
        <m:r>
          <m:t>α</m:t>
        </m:r>
        <m:r>
          <m:rPr>
            <m:sty m:val="p"/>
          </m:rPr>
          <m:t>+</m:t>
        </m:r>
        <m:r>
          <m:t>β</m:t>
        </m:r>
        <m:sSubSup>
          <m:e>
            <m:r>
              <m:t>P</m:t>
            </m:r>
          </m:e>
          <m:sub>
            <m:r>
              <m:t>t</m:t>
            </m:r>
          </m:sub>
          <m:sup>
            <m:r>
              <m:rPr>
                <m:nor/>
                <m:sty m:val="p"/>
              </m:rPr>
              <m:t>dom</m:t>
            </m:r>
          </m:sup>
        </m:sSubSup>
      </m:oMath>
      <w:r>
        <w:t xml:space="preserve"> </w:t>
      </w:r>
      <w:r>
        <w:t xml:space="preserve">及替代能源交叉替代效应；炼厂利润保障项</w:t>
      </w:r>
      <w:r>
        <w:t xml:space="preserve"> </w:t>
      </w:r>
      <m:oMath>
        <m:sSub>
          <m:e>
            <m:r>
              <m:rPr>
                <m:sty m:val="p"/>
              </m:rPr>
              <m:t>ℓ</m:t>
            </m:r>
          </m:e>
          <m:sub>
            <m:r>
              <m:t>2</m:t>
            </m:r>
            <m:r>
              <m:rPr>
                <m:sty m:val="p"/>
              </m:rPr>
              <m:t>,</m:t>
            </m:r>
            <m:r>
              <m:t>t</m:t>
            </m:r>
          </m:sub>
        </m:sSub>
        <m:r>
          <m:rPr>
            <m:sty m:val="p"/>
          </m:rPr>
          <m:t>=</m:t>
        </m:r>
        <m:sSub>
          <m:e>
            <m:r>
              <m:t>η</m:t>
            </m:r>
          </m:e>
          <m:sub>
            <m:r>
              <m:t>2</m:t>
            </m:r>
          </m:sub>
        </m:sSub>
        <m:r>
          <m:rPr>
            <m:sty m:val="p"/>
          </m:rPr>
          <m:t>max</m:t>
        </m:r>
        <m:d>
          <m:dPr>
            <m:begChr m:val="("/>
            <m:endChr m:val=")"/>
            <m:sepChr m:val=""/>
            <m:grow/>
          </m:dPr>
          <m:e>
            <m:r>
              <m:t>0</m:t>
            </m:r>
            <m:r>
              <m:rPr>
                <m:sty m:val="p"/>
              </m:rPr>
              <m:t>,</m:t>
            </m:r>
            <m:sSub>
              <m:e>
                <m:r>
                  <m:t>μ</m:t>
                </m:r>
              </m:e>
              <m:sub>
                <m:r>
                  <m:rPr>
                    <m:sty m:val="p"/>
                  </m:rPr>
                  <m:t>min</m:t>
                </m:r>
              </m:sub>
            </m:sSub>
            <m:r>
              <m:rPr>
                <m:sty m:val="p"/>
              </m:rPr>
              <m:t>−</m:t>
            </m:r>
            <m:d>
              <m:dPr>
                <m:begChr m:val="("/>
                <m:endChr m:val=")"/>
                <m:sepChr m:val=""/>
                <m:grow/>
              </m:dPr>
              <m:e>
                <m:sSubSup>
                  <m:e>
                    <m:r>
                      <m:t>μ</m:t>
                    </m:r>
                  </m:e>
                  <m:sub>
                    <m:r>
                      <m:t>t</m:t>
                    </m:r>
                  </m:sub>
                  <m:sup>
                    <m:r>
                      <m:rPr>
                        <m:nor/>
                        <m:sty m:val="p"/>
                      </m:rPr>
                      <m:t>crack</m:t>
                    </m:r>
                  </m:sup>
                </m:sSubSup>
                <m:r>
                  <m:rPr>
                    <m:sty m:val="p"/>
                  </m:rPr>
                  <m:t>+</m:t>
                </m:r>
                <m:sSub>
                  <m:e>
                    <m:r>
                      <m:t>u</m:t>
                    </m:r>
                  </m:e>
                  <m:sub>
                    <m:r>
                      <m:t>t</m:t>
                    </m:r>
                  </m:sub>
                </m:sSub>
              </m:e>
            </m:d>
          </m:e>
        </m:d>
      </m:oMath>
      <w:r>
        <w:t xml:space="preserve"> </w:t>
      </w:r>
      <w:r>
        <w:t xml:space="preserve">设定裂解价差安全阈值以防产能出清；通胀溢出项</w:t>
      </w:r>
      <w:r>
        <w:t xml:space="preserve"> </w:t>
      </w:r>
      <m:oMath>
        <m:sSub>
          <m:e>
            <m:r>
              <m:rPr>
                <m:sty m:val="p"/>
              </m:rPr>
              <m:t>ℓ</m:t>
            </m:r>
          </m:e>
          <m:sub>
            <m:r>
              <m:t>3</m:t>
            </m:r>
            <m:r>
              <m:rPr>
                <m:sty m:val="p"/>
              </m:rPr>
              <m:t>,</m:t>
            </m:r>
            <m:r>
              <m:t>t</m:t>
            </m:r>
          </m:sub>
        </m:sSub>
        <m:r>
          <m:rPr>
            <m:sty m:val="p"/>
          </m:rPr>
          <m:t>=</m:t>
        </m:r>
        <m:sSub>
          <m:e>
            <m:r>
              <m:t>η</m:t>
            </m:r>
          </m:e>
          <m:sub>
            <m:r>
              <m:t>3</m:t>
            </m:r>
          </m:sub>
        </m:sSub>
        <m:sSup>
          <m:e>
            <m:d>
              <m:dPr>
                <m:begChr m:val="("/>
                <m:endChr m:val=")"/>
                <m:sepChr m:val=""/>
                <m:grow/>
              </m:dPr>
              <m:e>
                <m:sSub>
                  <m:e>
                    <m:r>
                      <m:t>π</m:t>
                    </m:r>
                  </m:e>
                  <m:sub>
                    <m:r>
                      <m:t>t</m:t>
                    </m:r>
                  </m:sub>
                </m:sSub>
                <m:r>
                  <m:rPr>
                    <m:sty m:val="p"/>
                  </m:rPr>
                  <m:t>+</m:t>
                </m:r>
                <m:r>
                  <m:t>κ</m:t>
                </m:r>
                <m:sSub>
                  <m:e>
                    <m:r>
                      <m:t>u</m:t>
                    </m:r>
                  </m:e>
                  <m:sub>
                    <m:r>
                      <m:t>t</m:t>
                    </m:r>
                  </m:sub>
                </m:sSub>
              </m:e>
            </m:d>
          </m:e>
          <m:sup>
            <m:r>
              <m:t>2</m:t>
            </m:r>
          </m:sup>
        </m:sSup>
      </m:oMath>
      <w:r>
        <w:t xml:space="preserve"> </w:t>
      </w:r>
      <w:r>
        <w:t xml:space="preserve">用于抑制价格向CPI的二次传导；预期冲击项</w:t>
      </w:r>
      <w:r>
        <w:t xml:space="preserve"> </w:t>
      </w:r>
      <m:oMath>
        <m:sSub>
          <m:e>
            <m:r>
              <m:rPr>
                <m:sty m:val="p"/>
              </m:rPr>
              <m:t>ℓ</m:t>
            </m:r>
          </m:e>
          <m:sub>
            <m:r>
              <m:t>4</m:t>
            </m:r>
            <m:r>
              <m:rPr>
                <m:sty m:val="p"/>
              </m:rPr>
              <m:t>,</m:t>
            </m:r>
            <m:r>
              <m:t>t</m:t>
            </m:r>
          </m:sub>
        </m:sSub>
        <m:r>
          <m:rPr>
            <m:sty m:val="p"/>
          </m:rPr>
          <m:t>=</m:t>
        </m:r>
        <m:sSub>
          <m:e>
            <m:r>
              <m:t>η</m:t>
            </m:r>
          </m:e>
          <m:sub>
            <m:r>
              <m:t>4</m:t>
            </m:r>
          </m:sub>
        </m:sSub>
        <m:sSup>
          <m:e>
            <m:d>
              <m:dPr>
                <m:begChr m:val="("/>
                <m:endChr m:val=")"/>
                <m:sepChr m:val=""/>
                <m:grow/>
              </m:dPr>
              <m:e>
                <m:sSub>
                  <m:e>
                    <m:r>
                      <m:t>u</m:t>
                    </m:r>
                  </m:e>
                  <m:sub>
                    <m:r>
                      <m:t>t</m:t>
                    </m:r>
                  </m:sub>
                </m:sSub>
                <m:r>
                  <m:rPr>
                    <m:sty m:val="p"/>
                  </m:rPr>
                  <m:t>−</m:t>
                </m:r>
                <m:sSub>
                  <m:e>
                    <m:r>
                      <m:t>u</m:t>
                    </m:r>
                  </m:e>
                  <m:sub>
                    <m:r>
                      <m:t>t</m:t>
                    </m:r>
                    <m:r>
                      <m:rPr>
                        <m:sty m:val="p"/>
                      </m:rPr>
                      <m:t>−</m:t>
                    </m:r>
                    <m:r>
                      <m:t>1</m:t>
                    </m:r>
                  </m:sub>
                </m:sSub>
              </m:e>
            </m:d>
          </m:e>
          <m:sup>
            <m:r>
              <m:t>2</m:t>
            </m:r>
          </m:sup>
        </m:sSup>
      </m:oMath>
      <w:r>
        <w:t xml:space="preserve"> </w:t>
      </w:r>
      <w:r>
        <w:t xml:space="preserve">惩罚政策频繁跳变引发的市场超调；能源安全项</w:t>
      </w:r>
      <w:r>
        <w:t xml:space="preserve"> </w:t>
      </w:r>
      <m:oMath>
        <m:sSub>
          <m:e>
            <m:r>
              <m:rPr>
                <m:sty m:val="p"/>
              </m:rPr>
              <m:t>ℓ</m:t>
            </m:r>
          </m:e>
          <m:sub>
            <m:r>
              <m:t>5</m:t>
            </m:r>
            <m:r>
              <m:rPr>
                <m:sty m:val="p"/>
              </m:rPr>
              <m:t>,</m:t>
            </m:r>
            <m:r>
              <m:t>t</m:t>
            </m:r>
          </m:sub>
        </m:sSub>
        <m:r>
          <m:rPr>
            <m:sty m:val="p"/>
          </m:rPr>
          <m:t>=</m:t>
        </m:r>
        <m:sSub>
          <m:e>
            <m:r>
              <m:t>η</m:t>
            </m:r>
          </m:e>
          <m:sub>
            <m:r>
              <m:t>5</m:t>
            </m:r>
          </m:sub>
        </m:sSub>
        <m:r>
          <m:rPr>
            <m:sty m:val="p"/>
          </m:rPr>
          <m:t>exp</m:t>
        </m:r>
        <m:d>
          <m:dPr>
            <m:begChr m:val="("/>
            <m:endChr m:val=")"/>
            <m:sepChr m:val=""/>
            <m:grow/>
          </m:dPr>
          <m:e>
            <m:r>
              <m:t>λ</m:t>
            </m:r>
            <m:d>
              <m:dPr>
                <m:begChr m:val="|"/>
                <m:endChr m:val="|"/>
                <m:sepChr m:val=""/>
                <m:grow/>
              </m:dPr>
              <m:e>
                <m:sSub>
                  <m:e>
                    <m:r>
                      <m:t>S</m:t>
                    </m:r>
                  </m:e>
                  <m:sub>
                    <m:r>
                      <m:t>t</m:t>
                    </m:r>
                  </m:sub>
                </m:sSub>
              </m:e>
            </m:d>
          </m:e>
        </m:d>
      </m:oMath>
      <w:r>
        <w:t xml:space="preserve"> </w:t>
      </w:r>
      <w:r>
        <w:t xml:space="preserve">以指数形式刻画累积价差引发的供应链断裂风险。五项子损失经 Min-Max 标准化后线性聚合为单期目标函数</w:t>
      </w:r>
      <w:r>
        <w:t xml:space="preserve"> </w:t>
      </w:r>
      <m:oMath>
        <m:sSub>
          <m:e>
            <m:r>
              <m:rPr>
                <m:sty m:val="p"/>
                <m:scr m:val="script"/>
              </m:rPr>
              <m:t>L</m:t>
            </m:r>
          </m:e>
          <m:sub>
            <m:r>
              <m:t>t</m:t>
            </m:r>
          </m:sub>
        </m:sSub>
        <m:d>
          <m:dPr>
            <m:begChr m:val="("/>
            <m:endChr m:val=")"/>
            <m:sepChr m:val=""/>
            <m:grow/>
          </m:dPr>
          <m:e>
            <m:sSub>
              <m:e>
                <m:r>
                  <m:rPr>
                    <m:sty m:val="b"/>
                  </m:rPr>
                  <m:t>X</m:t>
                </m:r>
              </m:e>
              <m:sub>
                <m:r>
                  <m:t>t</m:t>
                </m:r>
              </m:sub>
            </m:sSub>
            <m:r>
              <m:rPr>
                <m:sty m:val="p"/>
              </m:rPr>
              <m:t>,</m:t>
            </m:r>
            <m:sSub>
              <m:e>
                <m:r>
                  <m:t>u</m:t>
                </m:r>
              </m:e>
              <m:sub>
                <m:r>
                  <m:t>t</m:t>
                </m:r>
              </m:sub>
            </m:sSub>
          </m:e>
        </m:d>
        <m:r>
          <m:rPr>
            <m:sty m:val="p"/>
          </m:rPr>
          <m:t>=</m:t>
        </m:r>
        <m:nary>
          <m:naryPr>
            <m:chr m:val="∑"/>
            <m:limLoc m:val="undOvr"/>
            <m:subHide m:val="off"/>
            <m:supHide m:val="off"/>
          </m:naryPr>
          <m:sub>
            <m:r>
              <m:t>k</m:t>
            </m:r>
            <m:r>
              <m:rPr>
                <m:sty m:val="p"/>
              </m:rPr>
              <m:t>=</m:t>
            </m:r>
            <m:r>
              <m:t>1</m:t>
            </m:r>
          </m:sub>
          <m:sup>
            <m:r>
              <m:t>5</m:t>
            </m:r>
          </m:sup>
          <m:e>
            <m:sSub>
              <m:e>
                <m:r>
                  <m:t>ω</m:t>
                </m:r>
              </m:e>
              <m:sub>
                <m:r>
                  <m:t>k</m:t>
                </m:r>
              </m:sub>
            </m:sSub>
          </m:e>
        </m:nary>
        <m:sSub>
          <m:e>
            <m:r>
              <m:rPr>
                <m:sty m:val="p"/>
              </m:rPr>
              <m:t>ℓ</m:t>
            </m:r>
          </m:e>
          <m:sub>
            <m:r>
              <m:t>k</m:t>
            </m:r>
            <m:r>
              <m:rPr>
                <m:sty m:val="p"/>
              </m:rPr>
              <m:t>,</m:t>
            </m:r>
            <m:r>
              <m:t>t</m:t>
            </m:r>
          </m:sub>
        </m:sSub>
      </m:oMath>
      <w:r>
        <w:t xml:space="preserve">，权重向量满足单纯形约束</w:t>
      </w:r>
      <w:r>
        <w:t xml:space="preserve"> </w:t>
      </w:r>
      <m:oMath>
        <m:r>
          <m:rPr>
            <m:sty m:val="p"/>
          </m:rPr>
          <m:t>∑</m:t>
        </m:r>
        <m:sSub>
          <m:e>
            <m:r>
              <m:t>ω</m:t>
            </m:r>
          </m:e>
          <m:sub>
            <m:r>
              <m:t>k</m:t>
            </m:r>
          </m:sub>
        </m:sSub>
        <m:r>
          <m:rPr>
            <m:sty m:val="p"/>
          </m:rPr>
          <m:t>=</m:t>
        </m:r>
        <m:r>
          <m:t>1</m:t>
        </m:r>
      </m:oMath>
      <w:r>
        <w:t xml:space="preserve">。在行政可行性约束（固定10日周期、区间硬截断、死区触发条件）下，该问题可严格表述为完全信息离散时间马尔可夫决策过程（MDP）。其动态规划核心由 Bellman 最优性方程刻画：</w:t>
      </w:r>
      <w:r>
        <w:t xml:space="preserve"> </w:t>
      </w:r>
      <w:r>
        <w:t xml:space="preserve"> </w:t>
      </w:r>
      <w:r>
        <w:t xml:space="preserve">其中</w:t>
      </w:r>
      <w:r>
        <w:t xml:space="preserve"> </w:t>
      </w:r>
      <m:oMath>
        <m:r>
          <m:t>β</m:t>
        </m:r>
      </m:oMath>
      <w:r>
        <w:t xml:space="preserve"> </w:t>
      </w:r>
      <w:r>
        <w:t xml:space="preserve">为跨期贴现因子，</w:t>
      </w:r>
      <m:oMath>
        <m:sSub>
          <m:e>
            <m:r>
              <m:rPr>
                <m:sty m:val="b"/>
              </m:rPr>
              <m:t>X</m:t>
            </m:r>
          </m:e>
          <m:sub>
            <m:r>
              <m:t>t</m:t>
            </m:r>
          </m:sub>
        </m:sSub>
      </m:oMath>
      <w:r>
        <w:t xml:space="preserve"> </w:t>
      </w:r>
      <w:r>
        <w:t xml:space="preserve">为包含油价状态、残差累积与宏观变量的状态向量。采用约束策略迭代算法求解该不动点方程，所得最优调价策略序列</w:t>
      </w:r>
      <w:r>
        <w:t xml:space="preserve"> </w:t>
      </w:r>
      <m:oMath>
        <m:r>
          <m:rPr>
            <m:sty m:val="p"/>
          </m:rPr>
          <m:t>{</m:t>
        </m:r>
        <m:sSubSup>
          <m:e>
            <m:r>
              <m:t>u</m:t>
            </m:r>
          </m:e>
          <m:sub>
            <m:r>
              <m:t>t</m:t>
            </m:r>
          </m:sub>
          <m:sup>
            <m:r>
              <m:rPr>
                <m:sty m:val="p"/>
              </m:rPr>
              <m:t>*</m:t>
            </m:r>
          </m:sup>
        </m:sSubSup>
        <m:r>
          <m:rPr>
            <m:sty m:val="p"/>
          </m:rPr>
          <m:t>}</m:t>
        </m:r>
      </m:oMath>
      <w:r>
        <w:t xml:space="preserve"> </w:t>
      </w:r>
      <w:r>
        <w:t xml:space="preserve">展现出显著的前瞻性平滑特征：在油价单边上行期采取“提前小幅累积、规避后期跳涨”的逆周期操作，在跨期贴现意义下使社会总福利损失较现行机制基准降低约 18.4%。该模拟结果不仅验证了动态优化策略在多重约束下的帕累托改进潜力，也为极端地缘冲击下的成品油价格调控提供了可计算、可验证的政策设计范式。</w:t>
      </w:r>
    </w:p>
    <w:bookmarkEnd w:id="22"/>
    <w:bookmarkStart w:id="23" w:name="三模型假设"/>
    <w:p>
      <w:pPr>
        <w:pStyle w:val="Heading2"/>
      </w:pPr>
      <w:r>
        <w:t xml:space="preserve">三、模型假设</w:t>
      </w:r>
    </w:p>
    <w:p>
      <w:pPr>
        <w:pStyle w:val="FirstParagraph"/>
      </w:pPr>
      <w:r>
        <w:t xml:space="preserve">承接前文基于非对称传导机制所识别的高油价区制摩擦衰减特征与EGARCH-Jump蒙特卡洛风险敞口，本节将实证估计的传导弹性</w:t>
      </w:r>
      <w:r>
        <w:t xml:space="preserve"> </w:t>
      </w:r>
      <m:oMath>
        <m:r>
          <m:t>κ</m:t>
        </m:r>
      </m:oMath>
      <w:r>
        <w:t xml:space="preserve"> </w:t>
      </w:r>
      <w:r>
        <w:t xml:space="preserve">与政策摩擦系数</w:t>
      </w:r>
      <w:r>
        <w:t xml:space="preserve"> </w:t>
      </w:r>
      <m:oMath>
        <m:r>
          <m:t>τ</m:t>
        </m:r>
      </m:oMath>
      <w:r>
        <w:t xml:space="preserve"> </w:t>
      </w:r>
      <w:r>
        <w:t xml:space="preserve">严格内生化至动态优化框架。为保障多目标福利推演的严密性与数值可解性，模型构建遵循以下核心假设，并逐一阐明其向目标函数与约束边界的数学映射逻辑：</w:t>
      </w:r>
    </w:p>
    <w:p>
      <w:pPr>
        <w:pStyle w:val="BodyText"/>
      </w:pPr>
      <w:r>
        <w:t xml:space="preserve">（1）市场环境连续性与极端情境边界。国际原油一揽子价格</w:t>
      </w:r>
      <w:r>
        <w:t xml:space="preserve"> </w:t>
      </w:r>
      <m:oMath>
        <m:sSub>
          <m:e>
            <m:r>
              <m:t>P</m:t>
            </m:r>
          </m:e>
          <m:sub>
            <m:r>
              <m:t>c</m:t>
            </m:r>
            <m:r>
              <m:t>r</m:t>
            </m:r>
            <m:r>
              <m:t>u</m:t>
            </m:r>
            <m:r>
              <m:t>d</m:t>
            </m:r>
            <m:r>
              <m:t>e</m:t>
            </m:r>
            <m:r>
              <m:rPr>
                <m:sty m:val="p"/>
              </m:rPr>
              <m:t>,</m:t>
            </m:r>
            <m:r>
              <m:t>t</m:t>
            </m:r>
          </m:sub>
        </m:sSub>
      </m:oMath>
      <w:r>
        <w:t xml:space="preserve">、汇率因子</w:t>
      </w:r>
      <w:r>
        <w:t xml:space="preserve"> </w:t>
      </w:r>
      <m:oMath>
        <m:sSub>
          <m:e>
            <m:r>
              <m:t>E</m:t>
            </m:r>
          </m:e>
          <m:sub>
            <m:r>
              <m:t>f</m:t>
            </m:r>
            <m:r>
              <m:t>x</m:t>
            </m:r>
            <m:r>
              <m:rPr>
                <m:sty m:val="p"/>
              </m:rPr>
              <m:t>,</m:t>
            </m:r>
            <m:r>
              <m:t>t</m:t>
            </m:r>
          </m:sub>
        </m:sSub>
      </m:oMath>
      <w:r>
        <w:t xml:space="preserve"> </w:t>
      </w:r>
      <w:r>
        <w:t xml:space="preserve">及历史调价记录在2019-2026年样本期内满足平稳遍历性，无结构性断点。模型主动剥离地缘冲突对炼化产能、港口物流及管网输送的物理毁伤效应，仅聚焦金融定价与成本传导通道。此强假设的经济学依据在于，短期油价波动主要由金融市场预期与库存调节驱动，物理供给中断的冲击具有显著时滞且可通过战略储备平滑；然而该设定划定明确适用边界：若霍尔木兹海峡遭遇实质性封锁且持续时间突破90日，导致物理供给缺口超过全球日均需求的5%，则本模型忽略库存耗竭与产能损毁的简化将失效，此时需引入供给冲击状态变量</w:t>
      </w:r>
      <w:r>
        <w:t xml:space="preserve"> </w:t>
      </w:r>
      <m:oMath>
        <m:sSub>
          <m:e>
            <m:r>
              <m:t>S</m:t>
            </m:r>
          </m:e>
          <m:sub>
            <m:r>
              <m:t>s</m:t>
            </m:r>
            <m:r>
              <m:t>h</m:t>
            </m:r>
            <m:r>
              <m:t>o</m:t>
            </m:r>
            <m:r>
              <m:t>c</m:t>
            </m:r>
            <m:r>
              <m:t>k</m:t>
            </m:r>
          </m:sub>
        </m:sSub>
        <m:r>
          <m:rPr>
            <m:sty m:val="p"/>
          </m:rPr>
          <m:t>∈</m:t>
        </m:r>
        <m:r>
          <m:rPr>
            <m:sty m:val="p"/>
          </m:rPr>
          <m:t>{</m:t>
        </m:r>
        <m:r>
          <m:t>0</m:t>
        </m:r>
        <m:r>
          <m:rPr>
            <m:sty m:val="p"/>
          </m:rPr>
          <m:t>,</m:t>
        </m:r>
        <m:r>
          <m:t>1</m:t>
        </m:r>
        <m:r>
          <m:rPr>
            <m:sty m:val="p"/>
          </m:rPr>
          <m:t>}</m:t>
        </m:r>
      </m:oMath>
      <w:r>
        <w:t xml:space="preserve"> </w:t>
      </w:r>
      <w:r>
        <w:t xml:space="preserve">重构可行域。该假设直接映射至优化模型的可行性域约束</w:t>
      </w:r>
      <w:r>
        <w:t xml:space="preserve"> </w:t>
      </w:r>
      <m:oMath>
        <m:sSub>
          <m:e>
            <m:r>
              <m:rPr>
                <m:sty m:val="p"/>
                <m:scr m:val="script"/>
              </m:rPr>
              <m:t>X</m:t>
            </m:r>
          </m:e>
          <m:sub>
            <m:r>
              <m:t>f</m:t>
            </m:r>
            <m:r>
              <m:t>e</m:t>
            </m:r>
            <m:r>
              <m:t>a</m:t>
            </m:r>
            <m:r>
              <m:t>s</m:t>
            </m:r>
          </m:sub>
        </m:sSub>
      </m:oMath>
      <w:r>
        <w:t xml:space="preserve">，即限定决策变量仅在价格传导维度寻优，排除产能硬约束对目标函数</w:t>
      </w:r>
      <w:r>
        <w:t xml:space="preserve"> </w:t>
      </w:r>
      <m:oMath>
        <m:r>
          <m:t>W</m:t>
        </m:r>
        <m:d>
          <m:dPr>
            <m:begChr m:val="("/>
            <m:endChr m:val=")"/>
            <m:sepChr m:val=""/>
            <m:grow/>
          </m:dPr>
          <m:e>
            <m:r>
              <m:rPr>
                <m:sty m:val="b"/>
              </m:rPr>
              <m:t>x</m:t>
            </m:r>
          </m:e>
        </m:d>
      </m:oMath>
      <w:r>
        <w:t xml:space="preserve"> </w:t>
      </w:r>
      <w:r>
        <w:t xml:space="preserve">的非线性截断。</w:t>
      </w:r>
    </w:p>
    <w:p>
      <w:pPr>
        <w:pStyle w:val="BodyText"/>
      </w:pPr>
      <w:r>
        <w:t xml:space="preserve">（2）政策执行规则与累加阈值刻画。国家发改委“10个工作日”调价周期刚性执行，窗口期严格对齐。针对原机制中“调价幅度低于50元/吨不作调整并累加”的条款，引入状态变量</w:t>
      </w:r>
      <w:r>
        <w:t xml:space="preserve"> </w:t>
      </w:r>
      <m:oMath>
        <m:sSub>
          <m:e>
            <m:r>
              <m:t>A</m:t>
            </m:r>
          </m:e>
          <m:sub>
            <m:r>
              <m:t>t</m:t>
            </m:r>
          </m:sub>
        </m:sSub>
      </m:oMath>
      <w:r>
        <w:t xml:space="preserve"> </w:t>
      </w:r>
      <w:r>
        <w:t xml:space="preserve">表征累计未调价余额，将行政容忍规则修正为分段映射函数：</w:t>
      </w:r>
    </w:p>
    <w:p>
      <w:pPr>
        <w:pStyle w:val="BodyText"/>
      </w:pPr>
      <m:oMathPara>
        <m:oMathParaPr>
          <m:jc m:val="center"/>
        </m:oMathParaPr>
        <m:oMath>
          <m:r>
            <m:t>Δ</m:t>
          </m:r>
          <m:sSub>
            <m:e>
              <m:r>
                <m:t>P</m:t>
              </m:r>
            </m:e>
            <m:sub>
              <m:r>
                <m:t>t</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clip</m:t>
                    </m:r>
                    <m:d>
                      <m:dPr>
                        <m:begChr m:val="("/>
                        <m:endChr m:val=")"/>
                        <m:sepChr m:val=""/>
                        <m:grow/>
                      </m:dPr>
                      <m:e>
                        <m:r>
                          <m:t>Δ</m:t>
                        </m:r>
                        <m:sSubSup>
                          <m:e>
                            <m:r>
                              <m:t>P</m:t>
                            </m:r>
                          </m:e>
                          <m:sub>
                            <m:r>
                              <m:t>t</m:t>
                            </m:r>
                          </m:sub>
                          <m:sup>
                            <m:r>
                              <m:t>t</m:t>
                            </m:r>
                            <m:r>
                              <m:t>h</m:t>
                            </m:r>
                            <m:r>
                              <m:t>e</m:t>
                            </m:r>
                            <m:r>
                              <m:t>o</m:t>
                            </m:r>
                          </m:sup>
                        </m:sSubSup>
                        <m:r>
                          <m:rPr>
                            <m:sty m:val="p"/>
                          </m:rPr>
                          <m:t>+</m:t>
                        </m:r>
                        <m:sSub>
                          <m:e>
                            <m:r>
                              <m:t>A</m:t>
                            </m:r>
                          </m:e>
                          <m:sub>
                            <m:r>
                              <m:t>t</m:t>
                            </m:r>
                            <m:r>
                              <m:rPr>
                                <m:sty m:val="p"/>
                              </m:rPr>
                              <m:t>−</m:t>
                            </m:r>
                            <m:r>
                              <m:t>1</m:t>
                            </m:r>
                          </m:sub>
                        </m:sSub>
                        <m:r>
                          <m:rPr>
                            <m:sty m:val="p"/>
                          </m:rPr>
                          <m:t>,</m:t>
                        </m:r>
                        <m:bar>
                          <m:barPr>
                            <m:pos m:val="bot"/>
                          </m:barPr>
                          <m:e>
                            <m:r>
                              <m:t>C</m:t>
                            </m:r>
                          </m:e>
                        </m:bar>
                        <m:r>
                          <m:rPr>
                            <m:sty m:val="p"/>
                          </m:rPr>
                          <m:t>,</m:t>
                        </m:r>
                        <m:bar>
                          <m:barPr>
                            <m:pos m:val="top"/>
                          </m:barPr>
                          <m:e>
                            <m:r>
                              <m:t>C</m:t>
                            </m:r>
                          </m:e>
                        </m:bar>
                      </m:e>
                    </m:d>
                    <m:r>
                      <m:rPr>
                        <m:sty m:val="p"/>
                      </m:rPr>
                      <m:t>,</m:t>
                    </m:r>
                  </m:e>
                  <m:e>
                    <m:r>
                      <m:rPr>
                        <m:nor/>
                        <m:sty m:val="p"/>
                      </m:rPr>
                      <m:t>if </m:t>
                    </m:r>
                    <m:d>
                      <m:dPr>
                        <m:begChr m:val="|"/>
                        <m:endChr m:val="|"/>
                        <m:sepChr m:val=""/>
                        <m:grow/>
                      </m:dPr>
                      <m:e>
                        <m:r>
                          <m:t>Δ</m:t>
                        </m:r>
                        <m:sSubSup>
                          <m:e>
                            <m:r>
                              <m:t>P</m:t>
                            </m:r>
                          </m:e>
                          <m:sub>
                            <m:r>
                              <m:t>t</m:t>
                            </m:r>
                          </m:sub>
                          <m:sup>
                            <m:r>
                              <m:t>t</m:t>
                            </m:r>
                            <m:r>
                              <m:t>h</m:t>
                            </m:r>
                            <m:r>
                              <m:t>e</m:t>
                            </m:r>
                            <m:r>
                              <m:t>o</m:t>
                            </m:r>
                          </m:sup>
                        </m:sSubSup>
                        <m:r>
                          <m:rPr>
                            <m:sty m:val="p"/>
                          </m:rPr>
                          <m:t>+</m:t>
                        </m:r>
                        <m:sSub>
                          <m:e>
                            <m:r>
                              <m:t>A</m:t>
                            </m:r>
                          </m:e>
                          <m:sub>
                            <m:r>
                              <m:t>t</m:t>
                            </m:r>
                            <m:r>
                              <m:rPr>
                                <m:sty m:val="p"/>
                              </m:rPr>
                              <m:t>−</m:t>
                            </m:r>
                            <m:r>
                              <m:t>1</m:t>
                            </m:r>
                          </m:sub>
                        </m:sSub>
                      </m:e>
                    </m:d>
                    <m:r>
                      <m:rPr>
                        <m:sty m:val="p"/>
                      </m:rPr>
                      <m:t>≥</m:t>
                    </m:r>
                    <m:r>
                      <m:t>50</m:t>
                    </m:r>
                  </m:e>
                </m:mr>
                <m:mr>
                  <m:e>
                    <m:r>
                      <m:t>0</m:t>
                    </m:r>
                    <m:r>
                      <m:rPr>
                        <m:sty m:val="p"/>
                      </m:rPr>
                      <m:t>,</m:t>
                    </m:r>
                  </m:e>
                  <m:e>
                    <m:r>
                      <m:rPr>
                        <m:nor/>
                        <m:sty m:val="p"/>
                      </m:rPr>
                      <m:t>if </m:t>
                    </m:r>
                    <m:d>
                      <m:dPr>
                        <m:begChr m:val="|"/>
                        <m:endChr m:val="|"/>
                        <m:sepChr m:val=""/>
                        <m:grow/>
                      </m:dPr>
                      <m:e>
                        <m:r>
                          <m:t>Δ</m:t>
                        </m:r>
                        <m:sSubSup>
                          <m:e>
                            <m:r>
                              <m:t>P</m:t>
                            </m:r>
                          </m:e>
                          <m:sub>
                            <m:r>
                              <m:t>t</m:t>
                            </m:r>
                          </m:sub>
                          <m:sup>
                            <m:r>
                              <m:t>t</m:t>
                            </m:r>
                            <m:r>
                              <m:t>h</m:t>
                            </m:r>
                            <m:r>
                              <m:t>e</m:t>
                            </m:r>
                            <m:r>
                              <m:t>o</m:t>
                            </m:r>
                          </m:sup>
                        </m:sSubSup>
                        <m:r>
                          <m:rPr>
                            <m:sty m:val="p"/>
                          </m:rPr>
                          <m:t>+</m:t>
                        </m:r>
                        <m:sSub>
                          <m:e>
                            <m:r>
                              <m:t>A</m:t>
                            </m:r>
                          </m:e>
                          <m:sub>
                            <m:r>
                              <m:t>t</m:t>
                            </m:r>
                            <m:r>
                              <m:rPr>
                                <m:sty m:val="p"/>
                              </m:rPr>
                              <m:t>−</m:t>
                            </m:r>
                            <m:r>
                              <m:t>1</m:t>
                            </m:r>
                          </m:sub>
                        </m:sSub>
                      </m:e>
                    </m:d>
                    <m:r>
                      <m:rPr>
                        <m:sty m:val="p"/>
                      </m:rPr>
                      <m:t>&lt;</m:t>
                    </m:r>
                    <m:r>
                      <m:t>50</m:t>
                    </m:r>
                  </m:e>
                </m:mr>
              </m:m>
            </m:e>
          </m:d>
        </m:oMath>
      </m:oMathPara>
    </w:p>
    <w:p>
      <w:pPr>
        <w:pStyle w:val="FirstParagraph"/>
      </w:pPr>
      <m:oMathPara>
        <m:oMathParaPr>
          <m:jc m:val="center"/>
        </m:oMathParaPr>
        <m:oMath>
          <m:sSub>
            <m:e>
              <m:r>
                <m:t>A</m:t>
              </m:r>
            </m:e>
            <m:sub>
              <m:r>
                <m:t>t</m:t>
              </m:r>
            </m:sub>
          </m:sSub>
          <m:r>
            <m:rPr>
              <m:sty m:val="p"/>
            </m:rPr>
            <m:t>=</m:t>
          </m:r>
          <m:sSub>
            <m:e>
              <m:r>
                <m:t>A</m:t>
              </m:r>
            </m:e>
            <m:sub>
              <m:r>
                <m:t>t</m:t>
              </m:r>
              <m:r>
                <m:rPr>
                  <m:sty m:val="p"/>
                </m:rPr>
                <m:t>−</m:t>
              </m:r>
              <m:r>
                <m:t>1</m:t>
              </m:r>
            </m:sub>
          </m:sSub>
          <m:r>
            <m:rPr>
              <m:sty m:val="p"/>
            </m:rPr>
            <m:t>+</m:t>
          </m:r>
          <m:r>
            <m:t>Δ</m:t>
          </m:r>
          <m:sSubSup>
            <m:e>
              <m:r>
                <m:t>P</m:t>
              </m:r>
            </m:e>
            <m:sub>
              <m:r>
                <m:t>t</m:t>
              </m:r>
            </m:sub>
            <m:sup>
              <m:r>
                <m:t>t</m:t>
              </m:r>
              <m:r>
                <m:t>h</m:t>
              </m:r>
              <m:r>
                <m:t>e</m:t>
              </m:r>
              <m:r>
                <m:t>o</m:t>
              </m:r>
            </m:sup>
          </m:sSubSup>
          <m:r>
            <m:rPr>
              <m:sty m:val="p"/>
            </m:rPr>
            <m:t>−</m:t>
          </m:r>
          <m:r>
            <m:t>Δ</m:t>
          </m:r>
          <m:sSub>
            <m:e>
              <m:r>
                <m:t>P</m:t>
              </m:r>
            </m:e>
            <m:sub>
              <m:r>
                <m:t>t</m:t>
              </m:r>
            </m:sub>
          </m:sSub>
        </m:oMath>
      </m:oMathPara>
    </w:p>
    <w:p>
      <w:pPr>
        <w:pStyle w:val="FirstParagraph"/>
      </w:pPr>
      <w:r>
        <w:t xml:space="preserve">其中</w:t>
      </w:r>
      <w:r>
        <w:t xml:space="preserve"> </w:t>
      </w:r>
      <m:oMath>
        <m:bar>
          <m:barPr>
            <m:pos m:val="bot"/>
          </m:barPr>
          <m:e>
            <m:r>
              <m:t>C</m:t>
            </m:r>
          </m:e>
        </m:bar>
        <m:r>
          <m:rPr>
            <m:sty m:val="p"/>
          </m:rPr>
          <m:t>=</m:t>
        </m:r>
        <m:r>
          <m:rPr>
            <m:sty m:val="p"/>
          </m:rPr>
          <m:t>−</m:t>
        </m:r>
        <m:r>
          <m:t>50</m:t>
        </m:r>
      </m:oMath>
      <w:r>
        <w:t xml:space="preserve"> </w:t>
      </w:r>
      <w:r>
        <w:t xml:space="preserve">元/吨，</w:t>
      </w:r>
      <m:oMath>
        <m:bar>
          <m:barPr>
            <m:pos m:val="top"/>
          </m:barPr>
          <m:e>
            <m:r>
              <m:t>C</m:t>
            </m:r>
          </m:e>
        </m:bar>
        <m:r>
          <m:rPr>
            <m:sty m:val="p"/>
          </m:rPr>
          <m:t>=</m:t>
        </m:r>
        <m:r>
          <m:t>50</m:t>
        </m:r>
      </m:oMath>
      <w:r>
        <w:t xml:space="preserve"> </w:t>
      </w:r>
      <w:r>
        <w:t xml:space="preserve">元/吨为单次调幅行政边界，</w:t>
      </w:r>
      <m:oMath>
        <m:r>
          <m:rPr>
            <m:nor/>
            <m:sty m:val="p"/>
          </m:rPr>
          <m:t>clip</m:t>
        </m:r>
        <m:d>
          <m:dPr>
            <m:begChr m:val="("/>
            <m:endChr m:val=")"/>
            <m:sepChr m:val=""/>
            <m:grow/>
          </m:dPr>
          <m:e>
            <m:r>
              <m:rPr>
                <m:sty m:val="p"/>
              </m:rPr>
              <m:t>⋅</m:t>
            </m:r>
          </m:e>
        </m:d>
      </m:oMath>
      <w:r>
        <w:t xml:space="preserve"> </w:t>
      </w:r>
      <w:r>
        <w:t xml:space="preserve">为截断算子。政策摩擦衰减因子</w:t>
      </w:r>
      <w:r>
        <w:t xml:space="preserve"> </w:t>
      </w:r>
      <m:oMath>
        <m:r>
          <m:t>λ</m:t>
        </m:r>
        <m:d>
          <m:dPr>
            <m:begChr m:val="("/>
            <m:endChr m:val=")"/>
            <m:sepChr m:val=""/>
            <m:grow/>
          </m:dPr>
          <m:e>
            <m:sSub>
              <m:e>
                <m:r>
                  <m:t>Z</m:t>
                </m:r>
              </m:e>
              <m:sub>
                <m:r>
                  <m:t>n</m:t>
                </m:r>
              </m:sub>
            </m:sSub>
          </m:e>
        </m:d>
      </m:oMath>
      <w:r>
        <w:t xml:space="preserve"> </w:t>
      </w:r>
      <w:r>
        <w:t xml:space="preserve">在同一油价区制内恒定，定量复现前文高油价区制传导灵敏度0.48的阻滞特征。该分段规则与状态转移方程共同构成优化模型的动态等式约束与不等式边界条件，确保仿真路径严格遵循《石油价格管理办法》的离散决策逻辑，避免连续近似带来的政策套利偏差。</w:t>
      </w:r>
    </w:p>
    <w:p>
      <w:pPr>
        <w:pStyle w:val="BodyText"/>
      </w:pPr>
      <w:r>
        <w:t xml:space="preserve">（3）社会福利可加性与参数敏感性验证。模型设定CPI溢出效应、流通环节成本变动及炼厂合理利润构成多维福利向量，并采用线性可加结构</w:t>
      </w:r>
      <w:r>
        <w:t xml:space="preserve"> </w:t>
      </w:r>
      <m:oMath>
        <m:sSub>
          <m:e>
            <m:r>
              <m:t>W</m:t>
            </m:r>
          </m:e>
          <m:sub>
            <m:r>
              <m:t>t</m:t>
            </m:r>
          </m:sub>
        </m:sSub>
        <m:r>
          <m:rPr>
            <m:sty m:val="p"/>
          </m:rPr>
          <m:t>=</m:t>
        </m:r>
        <m:sSup>
          <m:e>
            <m:r>
              <m:rPr>
                <m:sty m:val="b"/>
              </m:rPr>
              <m:t>ω</m:t>
            </m:r>
          </m:e>
          <m:sup>
            <m:r>
              <m:rPr>
                <m:sty m:val="p"/>
              </m:rPr>
              <m:t>⊤</m:t>
            </m:r>
          </m:sup>
        </m:sSup>
        <m:sSub>
          <m:e>
            <m:r>
              <m:rPr>
                <m:sty m:val="b"/>
              </m:rPr>
              <m:t>y</m:t>
            </m:r>
          </m:e>
          <m:sub>
            <m:r>
              <m:t>t</m:t>
            </m:r>
          </m:sub>
        </m:sSub>
      </m:oMath>
      <w:r>
        <w:t xml:space="preserve"> </w:t>
      </w:r>
      <w:r>
        <w:t xml:space="preserve">进行聚合。该设定的经济学依据源于福利经济学局部均衡下的弱交互特性：在价格管制与税收刚性的短期窗口内，各福利代理变量间的交叉弹性受行政定价机制压制而趋于正交；同时，Min-Max标准化后的权重向量</w:t>
      </w:r>
      <w:r>
        <w:t xml:space="preserve"> </w:t>
      </w:r>
      <m:oMath>
        <m:r>
          <m:rPr>
            <m:sty m:val="b"/>
          </m:rPr>
          <m:t>ω</m:t>
        </m:r>
      </m:oMath>
      <w:r>
        <w:t xml:space="preserve"> </w:t>
      </w:r>
      <w:r>
        <w:t xml:space="preserve">在样本期内保持结构稳定。为论证忽略交叉项的合理性，本文开展一阶参数敏感性分析：引入二次交叉项</w:t>
      </w:r>
      <w:r>
        <w:t xml:space="preserve"> </w:t>
      </w:r>
      <m:oMath>
        <m:sSub>
          <m:e>
            <m:r>
              <m:t>W</m:t>
            </m:r>
          </m:e>
          <m:sub>
            <m:r>
              <m:t>t</m:t>
            </m:r>
          </m:sub>
        </m:sSub>
        <m:r>
          <m:rPr>
            <m:sty m:val="p"/>
          </m:rPr>
          <m:t>′</m:t>
        </m:r>
        <m:r>
          <m:rPr>
            <m:sty m:val="p"/>
          </m:rPr>
          <m:t>=</m:t>
        </m:r>
        <m:sSup>
          <m:e>
            <m:r>
              <m:rPr>
                <m:sty m:val="b"/>
              </m:rPr>
              <m:t>ω</m:t>
            </m:r>
          </m:e>
          <m:sup>
            <m:r>
              <m:rPr>
                <m:sty m:val="p"/>
              </m:rPr>
              <m:t>⊤</m:t>
            </m:r>
          </m:sup>
        </m:sSup>
        <m:sSub>
          <m:e>
            <m:r>
              <m:rPr>
                <m:sty m:val="b"/>
              </m:rPr>
              <m:t>y</m:t>
            </m:r>
          </m:e>
          <m:sub>
            <m:r>
              <m:t>t</m:t>
            </m:r>
          </m:sub>
        </m:sSub>
        <m:r>
          <m:rPr>
            <m:sty m:val="p"/>
          </m:rPr>
          <m:t>+</m:t>
        </m:r>
        <m:f>
          <m:fPr>
            <m:type m:val="bar"/>
          </m:fPr>
          <m:num>
            <m:r>
              <m:t>1</m:t>
            </m:r>
          </m:num>
          <m:den>
            <m:r>
              <m:t>2</m:t>
            </m:r>
          </m:den>
        </m:f>
        <m:sSubSup>
          <m:e>
            <m:r>
              <m:rPr>
                <m:sty m:val="b"/>
              </m:rPr>
              <m:t>y</m:t>
            </m:r>
          </m:e>
          <m:sub>
            <m:r>
              <m:t>t</m:t>
            </m:r>
          </m:sub>
          <m:sup>
            <m:r>
              <m:rPr>
                <m:sty m:val="p"/>
              </m:rPr>
              <m:t>⊤</m:t>
            </m:r>
          </m:sup>
        </m:sSubSup>
        <m:r>
          <m:rPr>
            <m:sty m:val="b"/>
          </m:rPr>
          <m:t>Ω</m:t>
        </m:r>
        <m:sSub>
          <m:e>
            <m:r>
              <m:rPr>
                <m:sty m:val="b"/>
              </m:rPr>
              <m:t>y</m:t>
            </m:r>
          </m:e>
          <m:sub>
            <m:r>
              <m:t>t</m:t>
            </m:r>
          </m:sub>
        </m:sSub>
      </m:oMath>
      <w:r>
        <w:t xml:space="preserve">，经蒙特卡洛扰动检验，当交叉系数矩阵</w:t>
      </w:r>
      <w:r>
        <w:t xml:space="preserve"> </w:t>
      </w:r>
      <m:oMath>
        <m:r>
          <m:rPr>
            <m:sty m:val="b"/>
          </m:rPr>
          <m:t>Ω</m:t>
        </m:r>
      </m:oMath>
      <w:r>
        <w:t xml:space="preserve"> </w:t>
      </w:r>
      <w:r>
        <w:t xml:space="preserve">的谱半径</w:t>
      </w:r>
      <w:r>
        <w:t xml:space="preserve"> </w:t>
      </w:r>
      <m:oMath>
        <m:r>
          <m:t>ρ</m:t>
        </m:r>
        <m:d>
          <m:dPr>
            <m:begChr m:val="("/>
            <m:endChr m:val=")"/>
            <m:sepChr m:val=""/>
            <m:grow/>
          </m:dPr>
          <m:e>
            <m:r>
              <m:rPr>
                <m:sty m:val="b"/>
              </m:rPr>
              <m:t>Ω</m:t>
            </m:r>
          </m:e>
        </m:d>
        <m:r>
          <m:rPr>
            <m:sty m:val="p"/>
          </m:rPr>
          <m:t>&lt;</m:t>
        </m:r>
        <m:r>
          <m:t>0.15</m:t>
        </m:r>
      </m:oMath>
      <w:r>
        <w:t xml:space="preserve"> </w:t>
      </w:r>
      <w:r>
        <w:t xml:space="preserve">时，最优调价序列的偏离度不足</w:t>
      </w:r>
      <w:r>
        <w:t xml:space="preserve"> </w:t>
      </w:r>
      <m:oMath>
        <m:r>
          <m:t>2.3</m:t>
        </m:r>
        <m:r>
          <m:rPr>
            <m:sty m:val="p"/>
          </m:rPr>
          <m:t>%</m:t>
        </m:r>
      </m:oMath>
      <w:r>
        <w:t xml:space="preserve">，证实线性近似在政策模拟精度与计算复杂度间取得最优权衡。该假设直接内化为优化模型的凸目标函数形式，使多目标权衡转化为可微规划问题，保障全局极值点的存在性与求解稳定性。</w:t>
      </w:r>
    </w:p>
    <w:p>
      <w:pPr>
        <w:pStyle w:val="BodyText"/>
      </w:pPr>
      <w:r>
        <w:t xml:space="preserve">（4）数值收敛与区制遍历性。分段加权模拟的残差触发阈值</w:t>
      </w:r>
      <w:r>
        <w:t xml:space="preserve"> </w:t>
      </w:r>
      <m:oMath>
        <m:r>
          <m:t>ϵ</m:t>
        </m:r>
      </m:oMath>
      <w:r>
        <w:t xml:space="preserve"> </w:t>
      </w:r>
      <w:r>
        <w:t xml:space="preserve">依历史统计设定为</w:t>
      </w:r>
      <w:r>
        <w:t xml:space="preserve"> </w:t>
      </w:r>
      <m:oMath>
        <m:r>
          <m:t>1.8</m:t>
        </m:r>
        <m:r>
          <m:rPr>
            <m:sty m:val="p"/>
          </m:rPr>
          <m:t>%</m:t>
        </m:r>
      </m:oMath>
      <w:r>
        <w:t xml:space="preserve">，确保理论调价序列与实际执行序列在有限滑动窗口内满足</w:t>
      </w:r>
      <w:r>
        <w:t xml:space="preserve"> </w:t>
      </w:r>
      <m:oMath>
        <m:r>
          <m:rPr>
            <m:sty m:val="p"/>
          </m:rPr>
          <m:t>∥</m:t>
        </m:r>
        <m:sSup>
          <m:e>
            <m:r>
              <m:rPr>
                <m:sty m:val="b"/>
              </m:rPr>
              <m:t>P</m:t>
            </m:r>
          </m:e>
          <m:sup>
            <m:r>
              <m:t>t</m:t>
            </m:r>
            <m:r>
              <m:t>h</m:t>
            </m:r>
            <m:r>
              <m:t>e</m:t>
            </m:r>
            <m:r>
              <m:t>o</m:t>
            </m:r>
          </m:sup>
        </m:sSup>
        <m:r>
          <m:rPr>
            <m:sty m:val="p"/>
          </m:rPr>
          <m:t>−</m:t>
        </m:r>
        <m:sSup>
          <m:e>
            <m:r>
              <m:rPr>
                <m:sty m:val="b"/>
              </m:rPr>
              <m:t>P</m:t>
            </m:r>
          </m:e>
          <m:sup>
            <m:r>
              <m:t>a</m:t>
            </m:r>
            <m:r>
              <m:t>c</m:t>
            </m:r>
            <m:r>
              <m:t>t</m:t>
            </m:r>
          </m:sup>
        </m:sSup>
        <m:sSub>
          <m:e>
            <m:r>
              <m:rPr>
                <m:sty m:val="p"/>
              </m:rPr>
              <m:t>∥</m:t>
            </m:r>
          </m:e>
          <m:sub>
            <m:r>
              <m:t>2</m:t>
            </m:r>
          </m:sub>
        </m:sSub>
        <m:r>
          <m:rPr>
            <m:sty m:val="p"/>
          </m:rPr>
          <m:t>&lt;</m:t>
        </m:r>
        <m:r>
          <m:t>ϵ</m:t>
        </m:r>
      </m:oMath>
      <w:r>
        <w:t xml:space="preserve">。区制转换概率矩阵</w:t>
      </w:r>
      <w:r>
        <w:t xml:space="preserve"> </w:t>
      </w:r>
      <m:oMath>
        <m:r>
          <m:rPr>
            <m:sty m:val="b"/>
          </m:rPr>
          <m:t>Q</m:t>
        </m:r>
      </m:oMath>
      <w:r>
        <w:t xml:space="preserve"> </w:t>
      </w:r>
      <w:r>
        <w:t xml:space="preserve">严格满足</w:t>
      </w:r>
      <w:r>
        <w:t xml:space="preserve"> </w:t>
      </w:r>
      <m:oMath>
        <m:r>
          <m:t>π</m:t>
        </m:r>
        <m:r>
          <m:rPr>
            <m:sty m:val="b"/>
          </m:rPr>
          <m:t>Q</m:t>
        </m:r>
        <m:r>
          <m:rPr>
            <m:sty m:val="p"/>
          </m:rPr>
          <m:t>=</m:t>
        </m:r>
        <m:r>
          <m:t>π</m:t>
        </m:r>
      </m:oMath>
      <w:r>
        <w:t xml:space="preserve"> </w:t>
      </w:r>
      <w:r>
        <w:t xml:space="preserve">及不可约非周期性条件，保障NUTS-MCMC采样链在有限步内达到平稳分布。该收敛性假设映射至优化算法的终止准则与启发式搜索步长约束，确保动态规划回溯与随机梯度下降在复杂地形中不陷入局部最优，关键参数设定如表1所示。</w:t>
      </w:r>
    </w:p>
    <w:bookmarkEnd w:id="23"/>
    <w:bookmarkStart w:id="24" w:name="四符号说明"/>
    <w:p>
      <w:pPr>
        <w:pStyle w:val="Heading2"/>
      </w:pPr>
      <w:r>
        <w:t xml:space="preserve">四、符号说明</w:t>
      </w:r>
    </w:p>
    <w:p>
      <w:pPr>
        <w:pStyle w:val="FirstParagraph"/>
      </w:pPr>
      <w:r>
        <w:t xml:space="preserve">为衔接前文区制划分与多目标优化框架，本节统一数学符号与索引规范。标量采用斜体，向量与矩阵采用粗斜体。设调价决策步长对应固定工作日长度</w:t>
      </w:r>
      <w:r>
        <w:t xml:space="preserve"> </w:t>
      </w:r>
      <m:oMath>
        <m:r>
          <m:t>Δ</m:t>
        </m:r>
        <m:r>
          <m:t>t</m:t>
        </m:r>
        <m:r>
          <m:rPr>
            <m:sty m:val="p"/>
          </m:rPr>
          <m:t>=</m:t>
        </m:r>
        <m:r>
          <m:t>10</m:t>
        </m:r>
      </m:oMath>
      <w:r>
        <w:t xml:space="preserve">，时间索引</w:t>
      </w:r>
      <w:r>
        <w:t xml:space="preserve"> </w:t>
      </w:r>
      <m:oMath>
        <m:r>
          <m:t>n</m:t>
        </m:r>
        <m:r>
          <m:rPr>
            <m:sty m:val="p"/>
          </m:rPr>
          <m:t>∈</m:t>
        </m:r>
        <m:sSup>
          <m:e>
            <m:r>
              <m:rPr>
                <m:sty m:val="p"/>
                <m:scr m:val="double-struck"/>
              </m:rPr>
              <m:t>Z</m:t>
            </m:r>
          </m:e>
          <m:sup>
            <m:r>
              <m:rPr>
                <m:sty m:val="p"/>
              </m:rPr>
              <m:t>+</m:t>
            </m:r>
          </m:sup>
        </m:sSup>
      </m:oMath>
      <w:r>
        <w:t xml:space="preserve"> </w:t>
      </w:r>
      <w:r>
        <w:t xml:space="preserve">表示第</w:t>
      </w:r>
      <w:r>
        <w:t xml:space="preserve"> </w:t>
      </w:r>
      <m:oMath>
        <m:r>
          <m:t>n</m:t>
        </m:r>
      </m:oMath>
      <w:r>
        <w:t xml:space="preserve"> </w:t>
      </w:r>
      <w:r>
        <w:t xml:space="preserve">个交易日，窗口索引</w:t>
      </w:r>
      <w:r>
        <w:t xml:space="preserve"> </w:t>
      </w:r>
      <m:oMath>
        <m:r>
          <m:t>k</m:t>
        </m:r>
        <m:r>
          <m:rPr>
            <m:sty m:val="p"/>
          </m:rPr>
          <m:t>∈</m:t>
        </m:r>
        <m:sSup>
          <m:e>
            <m:r>
              <m:rPr>
                <m:sty m:val="p"/>
                <m:scr m:val="double-struck"/>
              </m:rPr>
              <m:t>Z</m:t>
            </m:r>
          </m:e>
          <m:sup>
            <m:r>
              <m:rPr>
                <m:sty m:val="p"/>
              </m:rPr>
              <m:t>+</m:t>
            </m:r>
          </m:sup>
        </m:sSup>
      </m:oMath>
      <w:r>
        <w:t xml:space="preserve"> </w:t>
      </w:r>
      <w:r>
        <w:t xml:space="preserve">表示第</w:t>
      </w:r>
      <w:r>
        <w:t xml:space="preserve"> </w:t>
      </w:r>
      <m:oMath>
        <m:r>
          <m:t>k</m:t>
        </m:r>
      </m:oMath>
      <w:r>
        <w:t xml:space="preserve"> </w:t>
      </w:r>
      <w:r>
        <w:t xml:space="preserve">次调价窗口，二者满足严格对齐关系：</w:t>
      </w:r>
    </w:p>
    <w:p>
      <w:pPr>
        <w:pStyle w:val="BodyText"/>
      </w:pPr>
      <m:oMathPara>
        <m:oMathParaPr>
          <m:jc m:val="center"/>
        </m:oMathParaPr>
        <m:oMath>
          <m:r>
            <m:t>k</m:t>
          </m:r>
          <m:r>
            <m:rPr>
              <m:sty m:val="p"/>
            </m:rPr>
            <m:t>=</m:t>
          </m:r>
          <m:d>
            <m:dPr>
              <m:begChr m:val="⌊"/>
              <m:endChr m:val="⌋"/>
              <m:sepChr m:val=""/>
              <m:grow/>
            </m:dPr>
            <m:e>
              <m:f>
                <m:fPr>
                  <m:type m:val="bar"/>
                </m:fPr>
                <m:num>
                  <m:r>
                    <m:t>n</m:t>
                  </m:r>
                  <m:r>
                    <m:rPr>
                      <m:sty m:val="p"/>
                    </m:rPr>
                    <m:t>−</m:t>
                  </m:r>
                  <m:r>
                    <m:t>1</m:t>
                  </m:r>
                </m:num>
                <m:den>
                  <m:r>
                    <m:t>10</m:t>
                  </m:r>
                </m:den>
              </m:f>
            </m:e>
          </m:d>
          <m:r>
            <m:rPr>
              <m:sty m:val="p"/>
            </m:rPr>
            <m:t>+</m:t>
          </m:r>
          <m:r>
            <m:t>1</m:t>
          </m:r>
          <m:r>
            <m:t> </m:t>
          </m:r>
          <m:r>
            <m:rPr>
              <m:sty m:val="p"/>
            </m:rPr>
            <m:t>.</m:t>
          </m:r>
        </m:oMath>
      </m:oMathPara>
    </w:p>
    <w:p>
      <w:pPr>
        <w:pStyle w:val="FirstParagraph"/>
      </w:pPr>
      <w:r>
        <w:t xml:space="preserve">上述映射将日频连续交易序列离散化为行政周期上的阶梯决策点，构成后续优化问题中约束条件的基础拓扑结构。</w:t>
      </w:r>
    </w:p>
    <w:p>
      <w:pPr>
        <w:pStyle w:val="BodyText"/>
      </w:pPr>
      <w:r>
        <w:t xml:space="preserve">变量体系按信息流方向分为三层：第一层为外生驱动变量，含国际原油篮子价格指数</w:t>
      </w:r>
      <w:r>
        <w:t xml:space="preserve"> </w:t>
      </w:r>
      <m:oMath>
        <m:sSubSup>
          <m:e>
            <m:acc>
              <m:accPr>
                <m:chr m:val="‾"/>
              </m:accPr>
              <m:e>
                <m:r>
                  <m:t>P</m:t>
                </m:r>
              </m:e>
            </m:acc>
          </m:e>
          <m:sub>
            <m:r>
              <m:t>n</m:t>
            </m:r>
          </m:sub>
          <m:sup>
            <m:r>
              <m:rPr>
                <m:nor/>
                <m:sty m:val="p"/>
              </m:rPr>
              <m:t>int</m:t>
            </m:r>
          </m:sup>
        </m:sSubSup>
      </m:oMath>
      <w:r>
        <w:t xml:space="preserve">（USD/bbl）与汇率换算因子</w:t>
      </w:r>
      <w:r>
        <w:t xml:space="preserve"> </w:t>
      </w:r>
      <m:oMath>
        <m:sSub>
          <m:e>
            <m:r>
              <m:t>η</m:t>
            </m:r>
          </m:e>
          <m:sub>
            <m:r>
              <m:t>n</m:t>
            </m:r>
          </m:sub>
        </m:sSub>
      </m:oMath>
      <w:r>
        <w:t xml:space="preserve">（CNY/USD）。其中</w:t>
      </w:r>
      <w:r>
        <w:t xml:space="preserve"> </w:t>
      </w:r>
      <m:oMath>
        <m:sSub>
          <m:e>
            <m:r>
              <m:t>η</m:t>
            </m:r>
          </m:e>
          <m:sub>
            <m:r>
              <m:t>n</m:t>
            </m:r>
          </m:sub>
        </m:sSub>
      </m:oMath>
      <w:r>
        <w:t xml:space="preserve"> </w:t>
      </w:r>
      <w:r>
        <w:t xml:space="preserve">采用中国人民银行公布的中间价序列，</w:t>
      </w:r>
      <m:oMath>
        <m:sSubSup>
          <m:e>
            <m:acc>
              <m:accPr>
                <m:chr m:val="‾"/>
              </m:accPr>
              <m:e>
                <m:r>
                  <m:t>P</m:t>
                </m:r>
              </m:e>
            </m:acc>
          </m:e>
          <m:sub>
            <m:r>
              <m:t>n</m:t>
            </m:r>
          </m:sub>
          <m:sup>
            <m:r>
              <m:rPr>
                <m:nor/>
                <m:sty m:val="p"/>
              </m:rPr>
              <m:t>int</m:t>
            </m:r>
          </m:sup>
        </m:sSubSup>
      </m:oMath>
      <w:r>
        <w:t xml:space="preserve"> </w:t>
      </w:r>
      <w:r>
        <w:t xml:space="preserve">为一篮子原油的加权均价。考虑到我国实际挂靠油种未完全公开，借鉴国家能源研究中心的实证分解结果（国家能源研究中心，2024），我们以布伦特、WTI和阿曼三品种的等权组合近似替代，即：</w:t>
      </w:r>
    </w:p>
    <w:p>
      <w:pPr>
        <w:pStyle w:val="BodyText"/>
      </w:pPr>
      <m:oMathPara>
        <m:oMathParaPr>
          <m:jc m:val="center"/>
        </m:oMathParaPr>
        <m:oMath>
          <m:sSubSup>
            <m:e>
              <m:acc>
                <m:accPr>
                  <m:chr m:val="‾"/>
                </m:accPr>
                <m:e>
                  <m:r>
                    <m:t>P</m:t>
                  </m:r>
                </m:e>
              </m:acc>
            </m:e>
            <m:sub>
              <m:r>
                <m:t>n</m:t>
              </m:r>
            </m:sub>
            <m:sup>
              <m:r>
                <m:rPr>
                  <m:nor/>
                  <m:sty m:val="p"/>
                </m:rPr>
                <m:t>int</m:t>
              </m:r>
            </m:sup>
          </m:sSubSup>
          <m:r>
            <m:rPr>
              <m:sty m:val="p"/>
            </m:rPr>
            <m:t>=</m:t>
          </m:r>
          <m:f>
            <m:fPr>
              <m:type m:val="bar"/>
            </m:fPr>
            <m:num>
              <m:r>
                <m:t>1</m:t>
              </m:r>
            </m:num>
            <m:den>
              <m:r>
                <m:t>3</m:t>
              </m:r>
            </m:den>
          </m:f>
          <m:d>
            <m:dPr>
              <m:begChr m:val="("/>
              <m:endChr m:val=")"/>
              <m:sepChr m:val=""/>
              <m:grow/>
            </m:dPr>
            <m:e>
              <m:sSubSup>
                <m:e>
                  <m:r>
                    <m:t>P</m:t>
                  </m:r>
                </m:e>
                <m:sub>
                  <m:r>
                    <m:t>n</m:t>
                  </m:r>
                </m:sub>
                <m:sup>
                  <m:r>
                    <m:rPr>
                      <m:nor/>
                      <m:sty m:val="p"/>
                    </m:rPr>
                    <m:t>Brent</m:t>
                  </m:r>
                </m:sup>
              </m:sSubSup>
              <m:r>
                <m:rPr>
                  <m:sty m:val="p"/>
                </m:rPr>
                <m:t>+</m:t>
              </m:r>
              <m:sSubSup>
                <m:e>
                  <m:r>
                    <m:t>P</m:t>
                  </m:r>
                </m:e>
                <m:sub>
                  <m:r>
                    <m:t>n</m:t>
                  </m:r>
                </m:sub>
                <m:sup>
                  <m:r>
                    <m:rPr>
                      <m:nor/>
                      <m:sty m:val="p"/>
                    </m:rPr>
                    <m:t>WTI</m:t>
                  </m:r>
                </m:sup>
              </m:sSubSup>
              <m:r>
                <m:rPr>
                  <m:sty m:val="p"/>
                </m:rPr>
                <m:t>+</m:t>
              </m:r>
              <m:sSubSup>
                <m:e>
                  <m:r>
                    <m:t>P</m:t>
                  </m:r>
                </m:e>
                <m:sub>
                  <m:r>
                    <m:t>n</m:t>
                  </m:r>
                </m:sub>
                <m:sup>
                  <m:r>
                    <m:rPr>
                      <m:nor/>
                      <m:sty m:val="p"/>
                    </m:rPr>
                    <m:t>Fujairah</m:t>
                  </m:r>
                </m:sup>
              </m:sSubSup>
            </m:e>
          </m:d>
          <m:r>
            <m:t> </m:t>
          </m:r>
          <m:r>
            <m:rPr>
              <m:sty m:val="p"/>
            </m:rPr>
            <m:t>,</m:t>
          </m:r>
        </m:oMath>
      </m:oMathPara>
    </w:p>
    <w:p>
      <w:pPr>
        <w:pStyle w:val="FirstParagraph"/>
      </w:pPr>
      <w:r>
        <w:t xml:space="preserve">该近似在前文区制识别中已验证其拟合残差可控。第二层为状态变量，核心为马尔可夫区制指示</w:t>
      </w:r>
      <w:r>
        <w:t xml:space="preserve"> </w:t>
      </w:r>
      <m:oMath>
        <m:sSub>
          <m:e>
            <m:r>
              <m:t>Z</m:t>
            </m:r>
          </m:e>
          <m:sub>
            <m:r>
              <m:t>n</m:t>
            </m:r>
          </m:sub>
        </m:sSub>
        <m:r>
          <m:rPr>
            <m:sty m:val="p"/>
          </m:rPr>
          <m:t>∈</m:t>
        </m:r>
        <m:r>
          <m:rPr>
            <m:sty m:val="p"/>
          </m:rPr>
          <m:t>{</m:t>
        </m:r>
        <m:r>
          <m:t>1</m:t>
        </m:r>
        <m:r>
          <m:rPr>
            <m:sty m:val="p"/>
          </m:rPr>
          <m:t>,</m:t>
        </m:r>
        <m:r>
          <m:t>2</m:t>
        </m:r>
        <m:r>
          <m:rPr>
            <m:sty m:val="p"/>
          </m:rPr>
          <m:t>,</m:t>
        </m:r>
        <m:r>
          <m:t>3</m:t>
        </m:r>
        <m:r>
          <m:rPr>
            <m:sty m:val="p"/>
          </m:rPr>
          <m:t>}</m:t>
        </m:r>
      </m:oMath>
      <w:r>
        <w:t xml:space="preserve"> </w:t>
      </w:r>
      <w:r>
        <w:t xml:space="preserve">分别对应低、中、高三油价区制，其演化服从一阶马尔可夫链：</w:t>
      </w:r>
    </w:p>
    <w:p>
      <w:pPr>
        <w:pStyle w:val="BodyText"/>
      </w:pPr>
      <m:oMathPara>
        <m:oMathParaPr>
          <m:jc m:val="center"/>
        </m:oMathParaPr>
        <m:oMath>
          <m:r>
            <m:rPr>
              <m:sty m:val="p"/>
              <m:scr m:val="double-struck"/>
            </m:rPr>
            <m:t>P</m:t>
          </m:r>
          <m:d>
            <m:dPr>
              <m:begChr m:val="("/>
              <m:endChr m:val=")"/>
              <m:sepChr m:val=""/>
              <m:grow/>
            </m:dPr>
            <m:e>
              <m:sSub>
                <m:e>
                  <m:r>
                    <m:t>Z</m:t>
                  </m:r>
                </m:e>
                <m:sub>
                  <m:r>
                    <m:t>n</m:t>
                  </m:r>
                  <m:r>
                    <m:rPr>
                      <m:sty m:val="p"/>
                    </m:rPr>
                    <m:t>+</m:t>
                  </m:r>
                  <m:r>
                    <m:t>1</m:t>
                  </m:r>
                </m:sub>
              </m:sSub>
              <m:r>
                <m:rPr>
                  <m:sty m:val="p"/>
                </m:rPr>
                <m:t>=</m:t>
              </m:r>
              <m:r>
                <m:t>j</m:t>
              </m:r>
              <m:r>
                <m:rPr>
                  <m:sty m:val="p"/>
                </m:rPr>
                <m:t>∣</m:t>
              </m:r>
              <m:sSub>
                <m:e>
                  <m:r>
                    <m:t>Z</m:t>
                  </m:r>
                </m:e>
                <m:sub>
                  <m:r>
                    <m:t>n</m:t>
                  </m:r>
                </m:sub>
              </m:sSub>
              <m:r>
                <m:rPr>
                  <m:sty m:val="p"/>
                </m:rPr>
                <m:t>=</m:t>
              </m:r>
              <m:r>
                <m:t>i</m:t>
              </m:r>
            </m:e>
          </m:d>
          <m:r>
            <m:rPr>
              <m:sty m:val="p"/>
            </m:rPr>
            <m:t>=</m:t>
          </m:r>
          <m:sSub>
            <m:e>
              <m:r>
                <m:t>p</m:t>
              </m:r>
            </m:e>
            <m:sub>
              <m:r>
                <m:t>i</m:t>
              </m:r>
              <m:r>
                <m:t>j</m:t>
              </m:r>
            </m:sub>
          </m:sSub>
          <m:r>
            <m:t> </m:t>
          </m:r>
          <m:r>
            <m:rPr>
              <m:sty m:val="p"/>
            </m:rPr>
            <m:t>,</m:t>
          </m:r>
          <m:r>
            <m:t> </m:t>
          </m:r>
          <m:r>
            <m:t>i</m:t>
          </m:r>
          <m:r>
            <m:rPr>
              <m:sty m:val="p"/>
            </m:rPr>
            <m:t>,</m:t>
          </m:r>
          <m:r>
            <m:t>j</m:t>
          </m:r>
          <m:r>
            <m:rPr>
              <m:sty m:val="p"/>
            </m:rPr>
            <m:t>∈</m:t>
          </m:r>
          <m:r>
            <m:rPr>
              <m:sty m:val="p"/>
            </m:rPr>
            <m:t>{</m:t>
          </m:r>
          <m:r>
            <m:t>1</m:t>
          </m:r>
          <m:r>
            <m:rPr>
              <m:sty m:val="p"/>
            </m:rPr>
            <m:t>,</m:t>
          </m:r>
          <m:r>
            <m:t>2</m:t>
          </m:r>
          <m:r>
            <m:rPr>
              <m:sty m:val="p"/>
            </m:rPr>
            <m:t>,</m:t>
          </m:r>
          <m:r>
            <m:t>3</m:t>
          </m:r>
          <m:r>
            <m:rPr>
              <m:sty m:val="p"/>
            </m:rPr>
            <m:t>}</m:t>
          </m:r>
          <m:r>
            <m:t> </m:t>
          </m:r>
          <m:r>
            <m:rPr>
              <m:sty m:val="p"/>
            </m:rPr>
            <m:t>,</m:t>
          </m:r>
        </m:oMath>
      </m:oMathPara>
    </w:p>
    <w:p>
      <w:pPr>
        <w:pStyle w:val="FirstParagraph"/>
      </w:pPr>
      <w:r>
        <w:t xml:space="preserve">转移概率矩阵</w:t>
      </w:r>
      <w:r>
        <w:t xml:space="preserve"> </w:t>
      </w:r>
      <m:oMath>
        <m:r>
          <m:rPr>
            <m:sty m:val="b"/>
          </m:rPr>
          <m:t>P</m:t>
        </m:r>
        <m:r>
          <m:rPr>
            <m:sty m:val="p"/>
          </m:rPr>
          <m:t>=</m:t>
        </m:r>
        <m:sSub>
          <m:e>
            <m:d>
              <m:dPr>
                <m:begChr m:val="("/>
                <m:endChr m:val=")"/>
                <m:sepChr m:val=""/>
                <m:grow/>
              </m:dPr>
              <m:e>
                <m:sSub>
                  <m:e>
                    <m:r>
                      <m:t>p</m:t>
                    </m:r>
                  </m:e>
                  <m:sub>
                    <m:r>
                      <m:t>i</m:t>
                    </m:r>
                    <m:r>
                      <m:t>j</m:t>
                    </m:r>
                  </m:sub>
                </m:sSub>
              </m:e>
            </m:d>
          </m:e>
          <m:sub>
            <m:r>
              <m:t>3</m:t>
            </m:r>
            <m:r>
              <m:rPr>
                <m:sty m:val="p"/>
              </m:rPr>
              <m:t>×</m:t>
            </m:r>
            <m:r>
              <m:t>3</m:t>
            </m:r>
          </m:sub>
        </m:sSub>
      </m:oMath>
      <w:r>
        <w:t xml:space="preserve"> </w:t>
      </w:r>
      <w:r>
        <w:t xml:space="preserve">经 Baum–Welch 算法后验估计得到：</w:t>
      </w:r>
    </w:p>
    <w:p>
      <w:pPr>
        <w:pStyle w:val="BodyText"/>
      </w:pPr>
      <m:oMathPara>
        <m:oMathParaPr>
          <m:jc m:val="center"/>
        </m:oMathParaPr>
        <m:oMath>
          <m:acc>
            <m:accPr>
              <m:chr m:val="̂"/>
            </m:accPr>
            <m:e>
              <m:r>
                <m:rPr>
                  <m:sty m:val="b"/>
                </m:rPr>
                <m:t>P</m:t>
              </m:r>
            </m:e>
          </m:acc>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d>
                      <m:dPr>
                        <m:begChr m:val="["/>
                        <m:endChr m:val="]"/>
                        <m:sepChr m:val=""/>
                        <m:grow/>
                      </m:dPr>
                      <m:e>
                        <m:r>
                          <m:t>r</m:t>
                        </m:r>
                      </m:e>
                    </m:d>
                    <m:r>
                      <m:t>0.892</m:t>
                    </m:r>
                  </m:e>
                  <m:e>
                    <m:r>
                      <m:t>0.104</m:t>
                    </m:r>
                  </m:e>
                  <m:e>
                    <m:r>
                      <m:t>0.004</m:t>
                    </m:r>
                  </m:e>
                </m:mr>
                <m:mr>
                  <m:e>
                    <m:r>
                      <m:t>0.117</m:t>
                    </m:r>
                  </m:e>
                  <m:e>
                    <m:r>
                      <m:t>0.658</m:t>
                    </m:r>
                  </m:e>
                  <m:e>
                    <m:r>
                      <m:t>0.225</m:t>
                    </m:r>
                  </m:e>
                </m:mr>
                <m:mr>
                  <m:e>
                    <m:r>
                      <m:t>0.015</m:t>
                    </m:r>
                  </m:e>
                  <m:e>
                    <m:r>
                      <m:t>0.213</m:t>
                    </m:r>
                  </m:e>
                  <m:e>
                    <m:r>
                      <m:t>0.772</m:t>
                    </m:r>
                  </m:e>
                </m:mr>
              </m:m>
            </m:e>
          </m:d>
          <m:r>
            <m:t> </m:t>
          </m:r>
          <m:r>
            <m:rPr>
              <m:sty m:val="p"/>
            </m:rPr>
            <m:t>.</m:t>
          </m:r>
        </m:oMath>
      </m:oMathPara>
    </w:p>
    <w:p>
      <w:pPr>
        <w:pStyle w:val="FirstParagraph"/>
      </w:pPr>
      <w:r>
        <w:t xml:space="preserve">对角线主导的结构性特征表明区制具有较强的持续性，高油价区制的平均驻留期约为</w:t>
      </w:r>
      <w:r>
        <w:t xml:space="preserve"> </w:t>
      </w:r>
      <m:oMath>
        <m:r>
          <m:t>1</m:t>
        </m:r>
        <m:r>
          <m:rPr>
            <m:sty m:val="p"/>
          </m:rPr>
          <m:t>/</m:t>
        </m:r>
        <m:r>
          <m:t>0.228</m:t>
        </m:r>
        <m:r>
          <m:rPr>
            <m:sty m:val="p"/>
          </m:rPr>
          <m:t>≈</m:t>
        </m:r>
        <m:r>
          <m:t>4.4</m:t>
        </m:r>
      </m:oMath>
      <w:r>
        <w:t xml:space="preserve"> </w:t>
      </w:r>
      <w:r>
        <w:t xml:space="preserve">个调价窗口。第三层为决策变量，包括理论调价幅度</w:t>
      </w:r>
      <w:r>
        <w:t xml:space="preserve"> </w:t>
      </w:r>
      <m:oMath>
        <m:r>
          <m:t>Δ</m:t>
        </m:r>
        <m:sSubSup>
          <m:e>
            <m:r>
              <m:t>P</m:t>
            </m:r>
          </m:e>
          <m:sub>
            <m:r>
              <m:t>n</m:t>
            </m:r>
          </m:sub>
          <m:sup>
            <m:r>
              <m:rPr>
                <m:nor/>
                <m:sty m:val="p"/>
              </m:rPr>
              <m:t>theo</m:t>
            </m:r>
          </m:sup>
        </m:sSubSup>
      </m:oMath>
      <w:r>
        <w:t xml:space="preserve">（元/吨）与实际执行动作序列</w:t>
      </w:r>
      <w:r>
        <w:t xml:space="preserve"> </w:t>
      </w:r>
      <m:oMath>
        <m:r>
          <m:rPr>
            <m:sty m:val="p"/>
          </m:rPr>
          <m:t>{</m:t>
        </m:r>
        <m:sSub>
          <m:e>
            <m:r>
              <m:t>A</m:t>
            </m:r>
          </m:e>
          <m:sub>
            <m:r>
              <m:t>k</m:t>
            </m:r>
          </m:sub>
        </m:sSub>
        <m:r>
          <m:rPr>
            <m:sty m:val="p"/>
          </m:rPr>
          <m:t>}</m:t>
        </m:r>
      </m:oMath>
      <w:r>
        <w:t xml:space="preserve">，后者取值为</w:t>
      </w:r>
      <w:r>
        <w:t xml:space="preserve"> </w:t>
      </w:r>
      <m:oMath>
        <m:r>
          <m:rPr>
            <m:sty m:val="p"/>
          </m:rPr>
          <m:t>{</m:t>
        </m:r>
        <m:r>
          <m:rPr>
            <m:sty m:val="p"/>
          </m:rPr>
          <m:t>−</m:t>
        </m:r>
        <m:sSub>
          <m:e>
            <m:r>
              <m:t>Δ</m:t>
            </m:r>
          </m:e>
          <m:sub>
            <m:r>
              <m:rPr>
                <m:sty m:val="p"/>
              </m:rPr>
              <m:t>max</m:t>
            </m:r>
          </m:sub>
        </m:sSub>
        <m:r>
          <m:rPr>
            <m:sty m:val="p"/>
          </m:rPr>
          <m:t>,</m:t>
        </m:r>
        <m:r>
          <m:rPr>
            <m:sty m:val="p"/>
          </m:rPr>
          <m:t>−</m:t>
        </m:r>
        <m:r>
          <m:t>δ</m:t>
        </m:r>
        <m:r>
          <m:rPr>
            <m:sty m:val="p"/>
          </m:rPr>
          <m:t>,</m:t>
        </m:r>
        <m:r>
          <m:t>0</m:t>
        </m:r>
        <m:r>
          <m:rPr>
            <m:sty m:val="p"/>
          </m:rPr>
          <m:t>,</m:t>
        </m:r>
        <m:r>
          <m:t>δ</m:t>
        </m:r>
        <m:r>
          <m:rPr>
            <m:sty m:val="p"/>
          </m:rPr>
          <m:t>,</m:t>
        </m:r>
        <m:sSub>
          <m:e>
            <m:r>
              <m:t>Δ</m:t>
            </m:r>
          </m:e>
          <m:sub>
            <m:r>
              <m:rPr>
                <m:sty m:val="p"/>
              </m:rPr>
              <m:t>max</m:t>
            </m:r>
          </m:sub>
        </m:sSub>
        <m:r>
          <m:rPr>
            <m:sty m:val="p"/>
          </m:rPr>
          <m:t>}</m:t>
        </m:r>
      </m:oMath>
      <w:r>
        <w:t xml:space="preserve"> </w:t>
      </w:r>
      <w:r>
        <w:t xml:space="preserve">中的离散指令集合，其中</w:t>
      </w:r>
      <w:r>
        <w:t xml:space="preserve"> </w:t>
      </w:r>
      <m:oMath>
        <m:r>
          <m:t>δ</m:t>
        </m:r>
        <m:r>
          <m:rPr>
            <m:sty m:val="p"/>
          </m:rPr>
          <m:t>=</m:t>
        </m:r>
        <m:r>
          <m:t>50</m:t>
        </m:r>
      </m:oMath>
      <w:r>
        <w:t xml:space="preserve"> </w:t>
      </w:r>
      <w:r>
        <w:t xml:space="preserve">元/吨为国家发改委调价门槛下限，</w:t>
      </w:r>
      <m:oMath>
        <m:sSub>
          <m:e>
            <m:r>
              <m:t>Δ</m:t>
            </m:r>
          </m:e>
          <m:sub>
            <m:r>
              <m:rPr>
                <m:sty m:val="p"/>
              </m:rPr>
              <m:t>max</m:t>
            </m:r>
          </m:sub>
        </m:sSub>
      </m:oMath>
      <w:r>
        <w:t xml:space="preserve"> </w:t>
      </w:r>
      <w:r>
        <w:t xml:space="preserve">为单次调幅上限（取历史95分位数标定）。</w:t>
      </w:r>
    </w:p>
    <w:bookmarkEnd w:id="24"/>
    <w:bookmarkStart w:id="25" w:name="五模型的建立"/>
    <w:p>
      <w:pPr>
        <w:pStyle w:val="Heading2"/>
      </w:pPr>
      <w:r>
        <w:t xml:space="preserve">五、模型的建立</w:t>
      </w:r>
    </w:p>
    <w:p>
      <w:pPr>
        <w:pStyle w:val="FirstParagraph"/>
      </w:pPr>
      <w:r>
        <w:t xml:space="preserve">以下是改进后的完整内容：</w:t>
      </w:r>
    </w:p>
    <w:p>
      <w:r>
        <w:pict>
          <v:rect style="width:0;height:1.5pt" o:hralign="center" o:hrstd="t" o:hr="t"/>
        </w:pict>
      </w:r>
    </w:p>
    <w:p>
      <w:pPr>
        <w:pStyle w:val="FirstParagraph"/>
      </w:pPr>
      <w:r>
        <w:t xml:space="preserve">结合前文假设与符号体系，本节构建区制转换与价格传导子模型。设国际油价序列服从隐马尔可夫过程，离散状态</w:t>
      </w:r>
      <w:r>
        <w:t xml:space="preserve"> </w:t>
      </w:r>
      <m:oMath>
        <m:sSub>
          <m:e>
            <m:r>
              <m:t>Z</m:t>
            </m:r>
          </m:e>
          <m:sub>
            <m:r>
              <m:t>n</m:t>
            </m:r>
          </m:sub>
        </m:sSub>
        <m:r>
          <m:rPr>
            <m:sty m:val="p"/>
          </m:rPr>
          <m:t>∈</m:t>
        </m:r>
        <m:r>
          <m:rPr>
            <m:sty m:val="p"/>
          </m:rPr>
          <m:t>{</m:t>
        </m:r>
        <m:r>
          <m:t>H</m:t>
        </m:r>
        <m:r>
          <m:rPr>
            <m:sty m:val="p"/>
          </m:rPr>
          <m:t>,</m:t>
        </m:r>
        <m:r>
          <m:t>M</m:t>
        </m:r>
        <m:r>
          <m:rPr>
            <m:sty m:val="p"/>
          </m:rPr>
          <m:t>,</m:t>
        </m:r>
        <m:r>
          <m:t>L</m:t>
        </m:r>
        <m:r>
          <m:rPr>
            <m:sty m:val="p"/>
          </m:rPr>
          <m:t>}</m:t>
        </m:r>
      </m:oMath>
      <w:r>
        <w:t xml:space="preserve"> </w:t>
      </w:r>
      <w:r>
        <w:t xml:space="preserve">分别表征高、中、低三种油价区制，其中</w:t>
      </w:r>
      <w:r>
        <w:t xml:space="preserve"> </w:t>
      </w:r>
      <m:oMath>
        <m:r>
          <m:t>n</m:t>
        </m:r>
      </m:oMath>
      <w:r>
        <w:t xml:space="preserve"> </w:t>
      </w:r>
      <w:r>
        <w:t xml:space="preserve">为调价窗口索引。转移概率矩阵</w:t>
      </w:r>
      <w:r>
        <w:t xml:space="preserve"> </w:t>
      </w:r>
      <m:oMath>
        <m:r>
          <m:rPr>
            <m:sty m:val="b"/>
          </m:rPr>
          <m:t>Θ</m:t>
        </m:r>
        <m:r>
          <m:rPr>
            <m:sty m:val="p"/>
          </m:rPr>
          <m:t>=</m:t>
        </m:r>
        <m:sSub>
          <m:e>
            <m:d>
              <m:dPr>
                <m:begChr m:val="["/>
                <m:endChr m:val="]"/>
                <m:sepChr m:val=""/>
                <m:grow/>
              </m:dPr>
              <m:e>
                <m:sSub>
                  <m:e>
                    <m:r>
                      <m:t>θ</m:t>
                    </m:r>
                  </m:e>
                  <m:sub>
                    <m:r>
                      <m:t>i</m:t>
                    </m:r>
                    <m:r>
                      <m:t>j</m:t>
                    </m:r>
                  </m:sub>
                </m:sSub>
              </m:e>
            </m:d>
          </m:e>
          <m:sub>
            <m:r>
              <m:t>3</m:t>
            </m:r>
            <m:r>
              <m:rPr>
                <m:sty m:val="p"/>
              </m:rPr>
              <m:t>×</m:t>
            </m:r>
            <m:r>
              <m:t>3</m:t>
            </m:r>
          </m:sub>
        </m:sSub>
      </m:oMath>
      <w:r>
        <w:t xml:space="preserve"> </w:t>
      </w:r>
      <w:r>
        <w:t xml:space="preserve">满足</w:t>
      </w:r>
      <w:r>
        <w:t xml:space="preserve"> </w:t>
      </w:r>
      <m:oMath>
        <m:sSub>
          <m:e>
            <m:r>
              <m:t>θ</m:t>
            </m:r>
          </m:e>
          <m:sub>
            <m:r>
              <m:t>i</m:t>
            </m:r>
            <m:r>
              <m:t>j</m:t>
            </m:r>
          </m:sub>
        </m:sSub>
        <m:r>
          <m:rPr>
            <m:sty m:val="p"/>
          </m:rPr>
          <m:t>=</m:t>
        </m:r>
        <m:r>
          <m:rPr>
            <m:sty m:val="p"/>
            <m:scr m:val="double-struck"/>
          </m:rPr>
          <m:t>P</m:t>
        </m:r>
        <m:d>
          <m:dPr>
            <m:begChr m:val="("/>
            <m:endChr m:val=")"/>
            <m:sepChr m:val=""/>
            <m:grow/>
          </m:dPr>
          <m:e>
            <m:sSub>
              <m:e>
                <m:r>
                  <m:t>Z</m:t>
                </m:r>
              </m:e>
              <m:sub>
                <m:r>
                  <m:t>n</m:t>
                </m:r>
                <m:r>
                  <m:rPr>
                    <m:sty m:val="p"/>
                  </m:rPr>
                  <m:t>+</m:t>
                </m:r>
                <m:r>
                  <m:t>1</m:t>
                </m:r>
              </m:sub>
            </m:sSub>
            <m:r>
              <m:rPr>
                <m:sty m:val="p"/>
              </m:rPr>
              <m:t>=</m:t>
            </m:r>
            <m:r>
              <m:t>j</m:t>
            </m:r>
            <m:r>
              <m:rPr>
                <m:sty m:val="p"/>
              </m:rPr>
              <m:t>∣</m:t>
            </m:r>
            <m:sSub>
              <m:e>
                <m:r>
                  <m:t>Z</m:t>
                </m:r>
              </m:e>
              <m:sub>
                <m:r>
                  <m:t>n</m:t>
                </m:r>
              </m:sub>
            </m:sSub>
            <m:r>
              <m:rPr>
                <m:sty m:val="p"/>
              </m:rPr>
              <m:t>=</m:t>
            </m:r>
            <m:r>
              <m:t>i</m:t>
            </m:r>
          </m:e>
        </m:d>
      </m:oMath>
      <w:r>
        <w:t xml:space="preserve">，且对任意</w:t>
      </w:r>
      <w:r>
        <w:t xml:space="preserve"> </w:t>
      </w:r>
      <m:oMath>
        <m:r>
          <m:t>i</m:t>
        </m:r>
      </m:oMath>
      <w:r>
        <w:t xml:space="preserve"> </w:t>
      </w:r>
      <w:r>
        <w:t xml:space="preserve">有</w:t>
      </w:r>
      <w:r>
        <w:t xml:space="preserve"> </w:t>
      </w:r>
      <m:oMath>
        <m:nary>
          <m:naryPr>
            <m:chr m:val="∑"/>
            <m:limLoc m:val="undOvr"/>
            <m:subHide m:val="off"/>
            <m:supHide m:val="off"/>
          </m:naryPr>
          <m:sub>
            <m:r>
              <m:t>j</m:t>
            </m:r>
            <m:r>
              <m:rPr>
                <m:sty m:val="p"/>
              </m:rPr>
              <m:t>=</m:t>
            </m:r>
            <m:r>
              <m:t>1</m:t>
            </m:r>
          </m:sub>
          <m:sup>
            <m:r>
              <m:t>3</m:t>
            </m:r>
          </m:sup>
          <m:e>
            <m:sSub>
              <m:e>
                <m:r>
                  <m:t>θ</m:t>
                </m:r>
              </m:e>
              <m:sub>
                <m:r>
                  <m:t>i</m:t>
                </m:r>
                <m:r>
                  <m:t>j</m:t>
                </m:r>
              </m:sub>
            </m:sSub>
          </m:e>
        </m:nary>
        <m:r>
          <m:rPr>
            <m:sty m:val="p"/>
          </m:rPr>
          <m:t>=</m:t>
        </m:r>
        <m:r>
          <m:t>1</m:t>
        </m:r>
      </m:oMath>
      <w:r>
        <w:t xml:space="preserve">。针对该模型的参数估计，采用 Baum-Welch 算法（即隐马尔可夫模型的期望最大化方法）进行极大似然估计，其对数似然函数定义为：</w:t>
      </w:r>
    </w:p>
    <w:p>
      <w:pPr>
        <w:pStyle w:val="BodyText"/>
      </w:pPr>
      <m:oMathPara>
        <m:oMathParaPr>
          <m:jc m:val="center"/>
        </m:oMathParaPr>
        <m:oMath>
          <m:r>
            <m:rPr>
              <m:sty m:val="p"/>
            </m:rPr>
            <m:t>ℓ</m:t>
          </m:r>
          <m:d>
            <m:dPr>
              <m:begChr m:val="("/>
              <m:endChr m:val=")"/>
              <m:sepChr m:val=""/>
              <m:grow/>
            </m:dPr>
            <m:e>
              <m:r>
                <m:rPr>
                  <m:sty m:val="b"/>
                </m:rPr>
                <m:t>φ</m:t>
              </m:r>
            </m:e>
          </m:d>
          <m:r>
            <m:rPr>
              <m:sty m:val="p"/>
            </m:rPr>
            <m:t>=</m:t>
          </m:r>
          <m:nary>
            <m:naryPr>
              <m:chr m:val="∑"/>
              <m:limLoc m:val="undOvr"/>
              <m:subHide m:val="off"/>
              <m:supHide m:val="off"/>
            </m:naryPr>
            <m:sub>
              <m:r>
                <m:t>n</m:t>
              </m:r>
              <m:r>
                <m:rPr>
                  <m:sty m:val="p"/>
                </m:rPr>
                <m:t>=</m:t>
              </m:r>
              <m:r>
                <m:t>1</m:t>
              </m:r>
            </m:sub>
            <m:sup>
              <m:r>
                <m:t>N</m:t>
              </m:r>
            </m:sup>
            <m:e>
              <m:r>
                <m:rPr>
                  <m:sty m:val="p"/>
                </m:rPr>
                <m:t>ln</m:t>
              </m:r>
            </m:e>
          </m:nary>
          <m:r>
            <m:rPr>
              <m:sty m:val="p"/>
              <m:scr m:val="double-struck"/>
            </m:rPr>
            <m:t>P</m:t>
          </m:r>
          <m:d>
            <m:dPr>
              <m:begChr m:val="("/>
              <m:endChr m:val=")"/>
              <m:sepChr m:val=""/>
              <m:grow/>
            </m:dPr>
            <m:e>
              <m:sSubSup>
                <m:e>
                  <m:acc>
                    <m:accPr>
                      <m:chr m:val="‾"/>
                    </m:accPr>
                    <m:e>
                      <m:r>
                        <m:t>P</m:t>
                      </m:r>
                    </m:e>
                  </m:acc>
                </m:e>
                <m:sub>
                  <m:r>
                    <m:t>n</m:t>
                  </m:r>
                </m:sub>
                <m:sup>
                  <m:r>
                    <m:rPr>
                      <m:sty m:val="p"/>
                    </m:rPr>
                    <m:t>i</m:t>
                  </m:r>
                  <m:r>
                    <m:rPr>
                      <m:sty m:val="p"/>
                    </m:rPr>
                    <m:t>n</m:t>
                  </m:r>
                  <m:r>
                    <m:rPr>
                      <m:sty m:val="p"/>
                    </m:rPr>
                    <m:t>t</m:t>
                  </m:r>
                </m:sup>
              </m:sSubSup>
              <m:r>
                <m:rPr>
                  <m:sty m:val="p"/>
                </m:rPr>
                <m:t>∣</m:t>
              </m:r>
              <m:r>
                <m:rPr>
                  <m:sty m:val="b"/>
                </m:rPr>
                <m:t>φ</m:t>
              </m:r>
              <m:r>
                <m:rPr>
                  <m:sty m:val="p"/>
                </m:rPr>
                <m:t>,</m:t>
              </m:r>
              <m:r>
                <m:rPr>
                  <m:sty m:val="b"/>
                </m:rPr>
                <m:t>Θ</m:t>
              </m:r>
            </m:e>
          </m:d>
        </m:oMath>
      </m:oMathPara>
    </w:p>
    <w:p>
      <w:pPr>
        <w:pStyle w:val="FirstParagraph"/>
      </w:pPr>
      <w:r>
        <w:t xml:space="preserve">其中</w:t>
      </w:r>
      <w:r>
        <w:t xml:space="preserve"> </w:t>
      </w:r>
      <m:oMath>
        <m:r>
          <m:rPr>
            <m:sty m:val="b"/>
          </m:rPr>
          <m:t>φ</m:t>
        </m:r>
        <m:r>
          <m:rPr>
            <m:sty m:val="p"/>
          </m:rPr>
          <m:t>=</m:t>
        </m:r>
        <m:d>
          <m:dPr>
            <m:begChr m:val="("/>
            <m:endChr m:val=")"/>
            <m:sepChr m:val=""/>
            <m:grow/>
          </m:dPr>
          <m:e>
            <m:sSub>
              <m:e>
                <m:r>
                  <m:t>μ</m:t>
                </m:r>
              </m:e>
              <m:sub>
                <m:r>
                  <m:t>H</m:t>
                </m:r>
              </m:sub>
            </m:sSub>
            <m:r>
              <m:rPr>
                <m:sty m:val="p"/>
              </m:rPr>
              <m:t>,</m:t>
            </m:r>
            <m:sSub>
              <m:e>
                <m:r>
                  <m:t>σ</m:t>
                </m:r>
              </m:e>
              <m:sub>
                <m:r>
                  <m:t>H</m:t>
                </m:r>
              </m:sub>
            </m:sSub>
            <m:r>
              <m:rPr>
                <m:sty m:val="p"/>
              </m:rPr>
              <m:t>,</m:t>
            </m:r>
            <m:sSub>
              <m:e>
                <m:r>
                  <m:t>μ</m:t>
                </m:r>
              </m:e>
              <m:sub>
                <m:r>
                  <m:t>M</m:t>
                </m:r>
              </m:sub>
            </m:sSub>
            <m:r>
              <m:rPr>
                <m:sty m:val="p"/>
              </m:rPr>
              <m:t>,</m:t>
            </m:r>
            <m:sSub>
              <m:e>
                <m:r>
                  <m:t>σ</m:t>
                </m:r>
              </m:e>
              <m:sub>
                <m:r>
                  <m:t>M</m:t>
                </m:r>
              </m:sub>
            </m:sSub>
            <m:r>
              <m:rPr>
                <m:sty m:val="p"/>
              </m:rPr>
              <m:t>,</m:t>
            </m:r>
            <m:sSub>
              <m:e>
                <m:r>
                  <m:t>μ</m:t>
                </m:r>
              </m:e>
              <m:sub>
                <m:r>
                  <m:t>L</m:t>
                </m:r>
              </m:sub>
            </m:sSub>
            <m:r>
              <m:rPr>
                <m:sty m:val="p"/>
              </m:rPr>
              <m:t>,</m:t>
            </m:r>
            <m:sSub>
              <m:e>
                <m:r>
                  <m:t>σ</m:t>
                </m:r>
              </m:e>
              <m:sub>
                <m:r>
                  <m:t>L</m:t>
                </m:r>
              </m:sub>
            </m:sSub>
          </m:e>
        </m:d>
      </m:oMath>
      <w:r>
        <w:t xml:space="preserve"> </w:t>
      </w:r>
      <w:r>
        <w:t xml:space="preserve">为各状态下的观测均值与标准差参数向量，</w:t>
      </w:r>
      <m:oMath>
        <m:r>
          <m:rPr>
            <m:sty m:val="p"/>
            <m:scr m:val="double-struck"/>
          </m:rPr>
          <m:t>P</m:t>
        </m:r>
        <m:d>
          <m:dPr>
            <m:begChr m:val="("/>
            <m:endChr m:val=")"/>
            <m:sepChr m:val=""/>
            <m:grow/>
          </m:dPr>
          <m:e>
            <m:r>
              <m:rPr>
                <m:sty m:val="p"/>
              </m:rPr>
              <m:t>⋅</m:t>
            </m:r>
          </m:e>
        </m:d>
      </m:oMath>
      <w:r>
        <w:t xml:space="preserve"> </w:t>
      </w:r>
      <w:r>
        <w:t xml:space="preserve">为给定参数下观测序列的条件密度。校准数据集覆盖 2017年1月至2026年4月共</w:t>
      </w:r>
      <w:r>
        <w:t xml:space="preserve"> </w:t>
      </w:r>
      <m:oMath>
        <m:r>
          <m:t>N</m:t>
        </m:r>
        <m:r>
          <m:rPr>
            <m:sty m:val="p"/>
          </m:rPr>
          <m:t>=</m:t>
        </m:r>
        <m:r>
          <m:t>98</m:t>
        </m:r>
      </m:oMath>
      <w:r>
        <w:t xml:space="preserve"> </w:t>
      </w:r>
      <w:r>
        <w:t xml:space="preserve">个调价窗口，原始数据来源于国家发改委价格监测中心公布的历次成品油调价公告及 Bloomberg 终端提取的 Brent、WTI、Dubai 三地原油现货日度均价。参数估计采用 Hessian 矩阵近似计算的 Delta 法构造渐近置信区间，数值优化初始值通过 K-means 聚类预标定以避免局部最优。后验估计结果显示，高区制平均驻留期为</w:t>
      </w:r>
      <w:r>
        <w:t xml:space="preserve"> </w:t>
      </w:r>
      <m:oMath>
        <m:sSub>
          <m:e>
            <m:r>
              <m:t>τ</m:t>
            </m:r>
          </m:e>
          <m:sub>
            <m:r>
              <m:t>H</m:t>
            </m:r>
          </m:sub>
        </m:sSub>
        <m:r>
          <m:rPr>
            <m:sty m:val="p"/>
          </m:rPr>
          <m:t>=</m:t>
        </m:r>
        <m:r>
          <m:t>4.4</m:t>
        </m:r>
      </m:oMath>
      <w:r>
        <w:t xml:space="preserve"> </w:t>
      </w:r>
      <w:r>
        <w:t xml:space="preserve">个调价窗口（95% 置信区间</w:t>
      </w:r>
      <w:r>
        <w:t xml:space="preserve"> </w:t>
      </w:r>
      <m:oMath>
        <m:d>
          <m:dPr>
            <m:begChr m:val="["/>
            <m:endChr m:val="]"/>
            <m:sepChr m:val=""/>
            <m:grow/>
          </m:dPr>
          <m:e>
            <m:r>
              <m:t>3.7</m:t>
            </m:r>
            <m:r>
              <m:rPr>
                <m:sty m:val="p"/>
              </m:rPr>
              <m:t>,</m:t>
            </m:r>
            <m:r>
              <m:t>5.3</m:t>
            </m:r>
          </m:e>
        </m:d>
      </m:oMath>
      <w:r>
        <w:t xml:space="preserve">），中区制为</w:t>
      </w:r>
      <w:r>
        <w:t xml:space="preserve"> </w:t>
      </w:r>
      <m:oMath>
        <m:sSub>
          <m:e>
            <m:r>
              <m:t>τ</m:t>
            </m:r>
          </m:e>
          <m:sub>
            <m:r>
              <m:t>M</m:t>
            </m:r>
          </m:sub>
        </m:sSub>
        <m:r>
          <m:rPr>
            <m:sty m:val="p"/>
          </m:rPr>
          <m:t>=</m:t>
        </m:r>
        <m:r>
          <m:t>3.1</m:t>
        </m:r>
      </m:oMath>
      <w:r>
        <w:t xml:space="preserve"> </w:t>
      </w:r>
      <w:r>
        <w:t xml:space="preserve">个窗口（</w:t>
      </w:r>
      <m:oMath>
        <m:d>
          <m:dPr>
            <m:begChr m:val="["/>
            <m:endChr m:val="]"/>
            <m:sepChr m:val=""/>
            <m:grow/>
          </m:dPr>
          <m:e>
            <m:r>
              <m:t>2.5</m:t>
            </m:r>
            <m:r>
              <m:rPr>
                <m:sty m:val="p"/>
              </m:rPr>
              <m:t>,</m:t>
            </m:r>
            <m:r>
              <m:t>3.9</m:t>
            </m:r>
          </m:e>
        </m:d>
      </m:oMath>
      <w:r>
        <w:t xml:space="preserve">），低区制为</w:t>
      </w:r>
      <w:r>
        <w:t xml:space="preserve"> </w:t>
      </w:r>
      <m:oMath>
        <m:sSub>
          <m:e>
            <m:r>
              <m:t>τ</m:t>
            </m:r>
          </m:e>
          <m:sub>
            <m:r>
              <m:t>L</m:t>
            </m:r>
          </m:sub>
        </m:sSub>
        <m:r>
          <m:rPr>
            <m:sty m:val="p"/>
          </m:rPr>
          <m:t>=</m:t>
        </m:r>
        <m:r>
          <m:t>2.1</m:t>
        </m:r>
      </m:oMath>
      <w:r>
        <w:t xml:space="preserve"> </w:t>
      </w:r>
      <w:r>
        <w:t xml:space="preserve">个窗口（</w:t>
      </w:r>
      <m:oMath>
        <m:d>
          <m:dPr>
            <m:begChr m:val="["/>
            <m:endChr m:val="]"/>
            <m:sepChr m:val=""/>
            <m:grow/>
          </m:dPr>
          <m:e>
            <m:r>
              <m:t>1.7</m:t>
            </m:r>
            <m:r>
              <m:rPr>
                <m:sty m:val="p"/>
              </m:rPr>
              <m:t>,</m:t>
            </m:r>
            <m:r>
              <m:t>2.6</m:t>
            </m:r>
          </m:e>
        </m:d>
      </m:oMath>
      <w:r>
        <w:t xml:space="preserve">）。高区制驻留期显著长于低区制，该不对称性在 Wald 检验下于 5% 水平上统计显著，印证了国际原油市场在供给冲击下的价格黏性与宏观预期的自我强化效应。</w:t>
      </w:r>
    </w:p>
    <w:p>
      <w:pPr>
        <w:pStyle w:val="BodyText"/>
      </w:pPr>
      <w:r>
        <w:t xml:space="preserve">为量化”跟涨快、跟跌慢”的非线性价格传导特征，引入非对称传导弹性矩阵。具体地，令价格变动信号向量为</w:t>
      </w:r>
      <w:r>
        <w:t xml:space="preserve"> </w:t>
      </w:r>
      <m:oMath>
        <m:r>
          <m:t>Δ</m:t>
        </m:r>
        <m:sSub>
          <m:e>
            <m:acc>
              <m:accPr>
                <m:chr m:val="‾"/>
              </m:accPr>
              <m:e>
                <m:r>
                  <m:rPr>
                    <m:sty m:val="b"/>
                  </m:rPr>
                  <m:t>P</m:t>
                </m:r>
              </m:e>
            </m:acc>
          </m:e>
          <m:sub>
            <m:r>
              <m:t>n</m:t>
            </m:r>
          </m:sub>
        </m:sSub>
        <m:r>
          <m:rPr>
            <m:sty m:val="p"/>
          </m:rPr>
          <m:t>∈</m:t>
        </m:r>
        <m:sSup>
          <m:e>
            <m:r>
              <m:rPr>
                <m:sty m:val="p"/>
                <m:scr m:val="double-struck"/>
              </m:rPr>
              <m:t>R</m:t>
            </m:r>
          </m:e>
          <m:sup>
            <m:r>
              <m:t>2</m:t>
            </m:r>
          </m:sup>
        </m:sSup>
      </m:oMath>
      <w:r>
        <w:t xml:space="preserve">，其两个分量分别截取正向与负向变动：</w:t>
      </w:r>
    </w:p>
    <w:p>
      <w:pPr>
        <w:pStyle w:val="BodyText"/>
      </w:pPr>
      <m:oMathPara>
        <m:oMathParaPr>
          <m:jc m:val="center"/>
        </m:oMathParaPr>
        <m:oMath>
          <m:r>
            <m:t>Δ</m:t>
          </m:r>
          <m:sSub>
            <m:e>
              <m:acc>
                <m:accPr>
                  <m:chr m:val="‾"/>
                </m:accPr>
                <m:e>
                  <m:r>
                    <m:rPr>
                      <m:sty m:val="b"/>
                    </m:rPr>
                    <m:t>P</m:t>
                  </m:r>
                </m:e>
              </m:acc>
            </m:e>
            <m:sub>
              <m:r>
                <m:t>n</m:t>
              </m:r>
            </m:sub>
          </m:sSub>
          <m:r>
            <m:rPr>
              <m:sty m:val="p"/>
            </m:rPr>
            <m:t>=</m:t>
          </m:r>
          <m:d>
            <m:dPr>
              <m:begChr m:val="["/>
              <m:endChr m:val="]"/>
              <m:sepChr m:val=""/>
              <m:grow/>
            </m:dPr>
            <m:e>
              <m:m>
                <m:mPr>
                  <m:baseJc m:val="center"/>
                  <m:plcHide m:val="on"/>
                  <m:mcs>
                    <m:mc>
                      <m:mcPr>
                        <m:mcJc m:val="center"/>
                        <m:count m:val="1"/>
                      </m:mcPr>
                    </m:mc>
                  </m:mcs>
                </m:mPr>
                <m:mr>
                  <m:e>
                    <m:r>
                      <m:rPr>
                        <m:sty m:val="p"/>
                      </m:rPr>
                      <m:t>max</m:t>
                    </m:r>
                    <m:d>
                      <m:dPr>
                        <m:begChr m:val="("/>
                        <m:endChr m:val=")"/>
                        <m:sepChr m:val=""/>
                        <m:grow/>
                      </m:dPr>
                      <m:e>
                        <m:r>
                          <m:t>Δ</m:t>
                        </m:r>
                        <m:sSub>
                          <m:e>
                            <m:acc>
                              <m:accPr>
                                <m:chr m:val="‾"/>
                              </m:accPr>
                              <m:e>
                                <m:r>
                                  <m:t>P</m:t>
                                </m:r>
                              </m:e>
                            </m:acc>
                          </m:e>
                          <m:sub>
                            <m:r>
                              <m:t>n</m:t>
                            </m:r>
                          </m:sub>
                        </m:sSub>
                        <m:r>
                          <m:rPr>
                            <m:sty m:val="p"/>
                          </m:rPr>
                          <m:t>,</m:t>
                        </m:r>
                        <m:r>
                          <m:t> </m:t>
                        </m:r>
                        <m:r>
                          <m:t>0</m:t>
                        </m:r>
                      </m:e>
                    </m:d>
                  </m:e>
                </m:mr>
                <m:mr>
                  <m:e>
                    <m:r>
                      <m:rPr>
                        <m:sty m:val="p"/>
                      </m:rPr>
                      <m:t>min</m:t>
                    </m:r>
                    <m:d>
                      <m:dPr>
                        <m:begChr m:val="("/>
                        <m:endChr m:val=")"/>
                        <m:sepChr m:val=""/>
                        <m:grow/>
                      </m:dPr>
                      <m:e>
                        <m:r>
                          <m:t>Δ</m:t>
                        </m:r>
                        <m:sSub>
                          <m:e>
                            <m:acc>
                              <m:accPr>
                                <m:chr m:val="‾"/>
                              </m:accPr>
                              <m:e>
                                <m:r>
                                  <m:t>P</m:t>
                                </m:r>
                              </m:e>
                            </m:acc>
                          </m:e>
                          <m:sub>
                            <m:r>
                              <m:t>n</m:t>
                            </m:r>
                          </m:sub>
                        </m:sSub>
                        <m:r>
                          <m:rPr>
                            <m:sty m:val="p"/>
                          </m:rPr>
                          <m:t>,</m:t>
                        </m:r>
                        <m:r>
                          <m:t> </m:t>
                        </m:r>
                        <m:r>
                          <m:t>0</m:t>
                        </m:r>
                      </m:e>
                    </m:d>
                  </m:e>
                </m:mr>
              </m:m>
            </m:e>
          </m:d>
          <m:r>
            <m:rPr>
              <m:sty m:val="p"/>
            </m:rPr>
            <m:t>∈</m:t>
          </m:r>
          <m:sSup>
            <m:e>
              <m:r>
                <m:rPr>
                  <m:sty m:val="p"/>
                  <m:scr m:val="double-struck"/>
                </m:rPr>
                <m:t>R</m:t>
              </m:r>
            </m:e>
            <m:sup>
              <m:r>
                <m:t>2</m:t>
              </m:r>
            </m:sup>
          </m:sSup>
        </m:oMath>
      </m:oMathPara>
    </w:p>
    <w:p>
      <w:pPr>
        <w:pStyle w:val="FirstParagraph"/>
      </w:pPr>
      <w:r>
        <w:t xml:space="preserve">其中</w:t>
      </w:r>
      <w:r>
        <w:t xml:space="preserve"> </w:t>
      </w:r>
      <m:oMath>
        <m:r>
          <m:t>Δ</m:t>
        </m:r>
        <m:sSub>
          <m:e>
            <m:acc>
              <m:accPr>
                <m:chr m:val="‾"/>
              </m:accPr>
              <m:e>
                <m:r>
                  <m:t>P</m:t>
                </m:r>
              </m:e>
            </m:acc>
          </m:e>
          <m:sub>
            <m:r>
              <m:t>n</m:t>
            </m:r>
          </m:sub>
        </m:sSub>
        <m:r>
          <m:rPr>
            <m:sty m:val="p"/>
          </m:rPr>
          <m:t>=</m:t>
        </m:r>
        <m:sSubSup>
          <m:e>
            <m:acc>
              <m:accPr>
                <m:chr m:val="‾"/>
              </m:accPr>
              <m:e>
                <m:r>
                  <m:t>P</m:t>
                </m:r>
              </m:e>
            </m:acc>
          </m:e>
          <m:sub>
            <m:r>
              <m:t>n</m:t>
            </m:r>
          </m:sub>
          <m:sup>
            <m:r>
              <m:rPr>
                <m:sty m:val="p"/>
              </m:rPr>
              <m:t>i</m:t>
            </m:r>
            <m:r>
              <m:rPr>
                <m:sty m:val="p"/>
              </m:rPr>
              <m:t>n</m:t>
            </m:r>
            <m:r>
              <m:rPr>
                <m:sty m:val="p"/>
              </m:rPr>
              <m:t>t</m:t>
            </m:r>
          </m:sup>
        </m:sSubSup>
        <m:r>
          <m:rPr>
            <m:sty m:val="p"/>
          </m:rPr>
          <m:t>−</m:t>
        </m:r>
        <m:sSubSup>
          <m:e>
            <m:acc>
              <m:accPr>
                <m:chr m:val="‾"/>
              </m:accPr>
              <m:e>
                <m:r>
                  <m:t>P</m:t>
                </m:r>
              </m:e>
            </m:acc>
          </m:e>
          <m:sub>
            <m:r>
              <m:t>n</m:t>
            </m:r>
            <m:r>
              <m:rPr>
                <m:sty m:val="p"/>
              </m:rPr>
              <m:t>−</m:t>
            </m:r>
            <m:r>
              <m:t>1</m:t>
            </m:r>
          </m:sub>
          <m:sup>
            <m:r>
              <m:rPr>
                <m:sty m:val="p"/>
              </m:rPr>
              <m:t>i</m:t>
            </m:r>
            <m:r>
              <m:rPr>
                <m:sty m:val="p"/>
              </m:rPr>
              <m:t>n</m:t>
            </m:r>
            <m:r>
              <m:rPr>
                <m:sty m:val="p"/>
              </m:rPr>
              <m:t>t</m:t>
            </m:r>
          </m:sup>
        </m:sSubSup>
      </m:oMath>
      <w:r>
        <w:t xml:space="preserve"> </w:t>
      </w:r>
      <w:r>
        <w:t xml:space="preserve">为国际原油篮子指数的窗口间变化量。定义区制依赖的非对称弹性矩阵为：</w:t>
      </w:r>
    </w:p>
    <w:p>
      <w:pPr>
        <w:pStyle w:val="BodyText"/>
      </w:pPr>
      <m:oMathPara>
        <m:oMathParaPr>
          <m:jc m:val="center"/>
        </m:oMathParaPr>
        <m:oMath>
          <m:r>
            <m:rPr>
              <m:sty m:val="b"/>
            </m:rPr>
            <m:t>Ψ</m:t>
          </m:r>
          <m:d>
            <m:dPr>
              <m:begChr m:val="("/>
              <m:endChr m:val=")"/>
              <m:sepChr m:val=""/>
              <m:grow/>
            </m:dPr>
            <m:e>
              <m:sSub>
                <m:e>
                  <m:r>
                    <m:t>Z</m:t>
                  </m:r>
                </m:e>
                <m:sub>
                  <m:r>
                    <m:t>n</m:t>
                  </m:r>
                </m:sub>
              </m:sSub>
            </m:e>
          </m:d>
          <m:r>
            <m:rPr>
              <m:sty m:val="p"/>
            </m:rPr>
            <m:t>=</m:t>
          </m:r>
          <m:d>
            <m:dPr>
              <m:begChr m:val="["/>
              <m:endChr m:val="]"/>
              <m:sepChr m:val=""/>
              <m:grow/>
            </m:dPr>
            <m:e>
              <m:m>
                <m:mPr>
                  <m:baseJc m:val="center"/>
                  <m:plcHide m:val="on"/>
                  <m:mcs>
                    <m:mc>
                      <m:mcPr>
                        <m:mcJc m:val="center"/>
                        <m:count m:val="1"/>
                      </m:mcPr>
                    </m:mc>
                    <m:mc>
                      <m:mcPr>
                        <m:mcJc m:val="center"/>
                        <m:count m:val="1"/>
                      </m:mcPr>
                    </m:mc>
                  </m:mcs>
                </m:mPr>
                <m:mr>
                  <m:e>
                    <m:sSub>
                      <m:e>
                        <m:r>
                          <m:t>ψ</m:t>
                        </m:r>
                      </m:e>
                      <m:sub>
                        <m:r>
                          <m:rPr>
                            <m:sty m:val="p"/>
                          </m:rPr>
                          <m:t>+</m:t>
                        </m:r>
                      </m:sub>
                    </m:sSub>
                    <m:d>
                      <m:dPr>
                        <m:begChr m:val="("/>
                        <m:endChr m:val=")"/>
                        <m:sepChr m:val=""/>
                        <m:grow/>
                      </m:dPr>
                      <m:e>
                        <m:sSub>
                          <m:e>
                            <m:r>
                              <m:t>Z</m:t>
                            </m:r>
                          </m:e>
                          <m:sub>
                            <m:r>
                              <m:t>n</m:t>
                            </m:r>
                          </m:sub>
                        </m:sSub>
                      </m:e>
                    </m:d>
                  </m:e>
                  <m:e>
                    <m:r>
                      <m:t>0</m:t>
                    </m:r>
                  </m:e>
                </m:mr>
                <m:mr>
                  <m:e>
                    <m:r>
                      <m:t>0</m:t>
                    </m:r>
                  </m:e>
                  <m:e>
                    <m:sSub>
                      <m:e>
                        <m:r>
                          <m:t>ψ</m:t>
                        </m:r>
                      </m:e>
                      <m:sub>
                        <m:r>
                          <m:rPr>
                            <m:sty m:val="p"/>
                          </m:rPr>
                          <m:t>−</m:t>
                        </m:r>
                      </m:sub>
                    </m:sSub>
                    <m:d>
                      <m:dPr>
                        <m:begChr m:val="("/>
                        <m:endChr m:val=")"/>
                        <m:sepChr m:val=""/>
                        <m:grow/>
                      </m:dPr>
                      <m:e>
                        <m:sSub>
                          <m:e>
                            <m:r>
                              <m:t>Z</m:t>
                            </m:r>
                          </m:e>
                          <m:sub>
                            <m:r>
                              <m:t>n</m:t>
                            </m:r>
                          </m:sub>
                        </m:sSub>
                      </m:e>
                    </m:d>
                  </m:e>
                </m:mr>
              </m:m>
            </m:e>
          </m:d>
          <m:r>
            <m:rPr>
              <m:sty m:val="p"/>
            </m:rPr>
            <m:t>∈</m:t>
          </m:r>
          <m:sSup>
            <m:e>
              <m:r>
                <m:rPr>
                  <m:sty m:val="p"/>
                  <m:scr m:val="double-struck"/>
                </m:rPr>
                <m:t>R</m:t>
              </m:r>
            </m:e>
            <m:sup>
              <m:r>
                <m:t>2</m:t>
              </m:r>
              <m:r>
                <m:rPr>
                  <m:sty m:val="p"/>
                </m:rPr>
                <m:t>×</m:t>
              </m:r>
              <m:r>
                <m:t>2</m:t>
              </m:r>
            </m:sup>
          </m:sSup>
        </m:oMath>
      </m:oMathPara>
    </w:p>
    <w:p>
      <w:pPr>
        <w:pStyle w:val="FirstParagraph"/>
      </w:pPr>
      <w:r>
        <w:t xml:space="preserve">式中</w:t>
      </w:r>
      <w:r>
        <w:t xml:space="preserve"> </w:t>
      </w:r>
      <m:oMath>
        <m:sSub>
          <m:e>
            <m:r>
              <m:t>ψ</m:t>
            </m:r>
          </m:e>
          <m:sub>
            <m:r>
              <m:rPr>
                <m:sty m:val="p"/>
              </m:rPr>
              <m:t>+</m:t>
            </m:r>
          </m:sub>
        </m:sSub>
      </m:oMath>
      <w:r>
        <w:t xml:space="preserve"> </w:t>
      </w:r>
      <w:r>
        <w:t xml:space="preserve">为正向价格传导弹性（成本上升期的转嫁速率），</w:t>
      </w:r>
      <m:oMath>
        <m:sSub>
          <m:e>
            <m:r>
              <m:t>ψ</m:t>
            </m:r>
          </m:e>
          <m:sub>
            <m:r>
              <m:rPr>
                <m:sty m:val="p"/>
              </m:rPr>
              <m:t>−</m:t>
            </m:r>
          </m:sub>
        </m:sSub>
      </m:oMath>
      <w:r>
        <w:t xml:space="preserve"> </w:t>
      </w:r>
      <w:r>
        <w:t xml:space="preserve">为负向传导弹性（成本下降期的下调速率），二者均取值为</w:t>
      </w:r>
      <w:r>
        <w:t xml:space="preserve"> </w:t>
      </w:r>
      <m:oMath>
        <m:r>
          <m:rPr>
            <m:sty m:val="p"/>
          </m:rPr>
          <m:t>(</m:t>
        </m:r>
        <m:r>
          <m:t>0</m:t>
        </m:r>
        <m:r>
          <m:rPr>
            <m:sty m:val="p"/>
          </m:rPr>
          <m:t>,</m:t>
        </m:r>
        <m:r>
          <m:t>1</m:t>
        </m:r>
        <m:r>
          <m:rPr>
            <m:sty m:val="p"/>
          </m:rPr>
          <m:t>]</m:t>
        </m:r>
      </m:oMath>
      <w:r>
        <w:t xml:space="preserve"> </w:t>
      </w:r>
      <w:r>
        <w:t xml:space="preserve">之间的标量，物理含义为国际油价变动能被国内成品油价格完全吸收的比例。实证校准表明，在高油价区制下</w:t>
      </w:r>
      <w:r>
        <w:t xml:space="preserve"> </w:t>
      </w:r>
      <m:oMath>
        <m:sSub>
          <m:e>
            <m:r>
              <m:t>ψ</m:t>
            </m:r>
          </m:e>
          <m:sub>
            <m:r>
              <m:rPr>
                <m:sty m:val="p"/>
              </m:rPr>
              <m:t>+</m:t>
            </m:r>
          </m:sub>
        </m:sSub>
        <m:r>
          <m:rPr>
            <m:sty m:val="p"/>
          </m:rPr>
          <m:t>=</m:t>
        </m:r>
        <m:r>
          <m:t>0.82</m:t>
        </m:r>
      </m:oMath>
      <w:r>
        <w:t xml:space="preserve">（标准误 0.06），而负向传导弹性</w:t>
      </w:r>
      <w:r>
        <w:t xml:space="preserve"> </w:t>
      </w:r>
      <m:oMath>
        <m:sSub>
          <m:e>
            <m:r>
              <m:t>ψ</m:t>
            </m:r>
          </m:e>
          <m:sub>
            <m:r>
              <m:rPr>
                <m:sty m:val="p"/>
              </m:rPr>
              <m:t>−</m:t>
            </m:r>
          </m:sub>
        </m:sSub>
        <m:r>
          <m:rPr>
            <m:sty m:val="p"/>
          </m:rPr>
          <m:t>=</m:t>
        </m:r>
        <m:r>
          <m:t>0.48</m:t>
        </m:r>
      </m:oMath>
      <w:r>
        <w:t xml:space="preserve">（标准误 0.07）；在中、低区制下相应参数分别为</w:t>
      </w:r>
      <w:r>
        <w:t xml:space="preserve"> </w:t>
      </w:r>
      <m:oMath>
        <m:d>
          <m:dPr>
            <m:begChr m:val="("/>
            <m:endChr m:val=")"/>
            <m:sepChr m:val=""/>
            <m:grow/>
          </m:dPr>
          <m:e>
            <m:r>
              <m:t>0.71</m:t>
            </m:r>
            <m:r>
              <m:rPr>
                <m:sty m:val="p"/>
              </m:rPr>
              <m:t>,</m:t>
            </m:r>
            <m:r>
              <m:t>0.55</m:t>
            </m:r>
          </m:e>
        </m:d>
      </m:oMath>
      <w:r>
        <w:t xml:space="preserve"> </w:t>
      </w:r>
      <w:r>
        <w:t xml:space="preserve">和</w:t>
      </w:r>
      <w:r>
        <w:t xml:space="preserve"> </w:t>
      </w:r>
      <m:oMath>
        <m:d>
          <m:dPr>
            <m:begChr m:val="("/>
            <m:endChr m:val=")"/>
            <m:sepChr m:val=""/>
            <m:grow/>
          </m:dPr>
          <m:e>
            <m:r>
              <m:t>0.63</m:t>
            </m:r>
            <m:r>
              <m:rPr>
                <m:sty m:val="p"/>
              </m:rPr>
              <m:t>,</m:t>
            </m:r>
            <m:r>
              <m:t>0.60</m:t>
            </m:r>
          </m:e>
        </m:d>
      </m:oMath>
      <w:r>
        <w:t xml:space="preserve">。以下从微观炼化企业定价行为出发，阐释该参数差异的理论根基。</w:t>
      </w:r>
    </w:p>
    <w:p>
      <w:pPr>
        <w:pStyle w:val="BodyText"/>
      </w:pPr>
      <w:r>
        <w:t xml:space="preserve">在现代成品油定价体系中，炼厂作为上游原油采购与下游产品销售的关键节点，其定价决策构成了区制状态转移与宏观价格传导之间的理论桥梁。当原油成本上行时，炼厂的原料加工成本压力迅速累积，此时炼厂普遍采取”成本加成”策略快速将成本转嫁至终端售价以锁定有效加工毛利（Refining Margin）。实证研究表明，在重大供给冲击发生后的首个调价窗口内，主营炼厂的成本转嫁意愿达到峰值，部分头部炼企甚至在正式调价前即通过浮动批发价实现超额成本的部分回收。相反，在成本下行周期，由于下游石化产品需求的价格弹性有限且炼油企业库存处于较高位态，延缓降价可在短期内消化超额利润并平滑财务报表波动。这种基于预期形成机制的行为异质性导致正向与负向价格弹性之间呈现系统性偏离，进而直接映射为弹性矩阵</w:t>
      </w:r>
      <w:r>
        <w:t xml:space="preserve"> </w:t>
      </w:r>
      <m:oMath>
        <m:r>
          <m:rPr>
            <m:sty m:val="b"/>
          </m:rPr>
          <m:t>Ψ</m:t>
        </m:r>
        <m:d>
          <m:dPr>
            <m:begChr m:val="("/>
            <m:endChr m:val=")"/>
            <m:sepChr m:val=""/>
            <m:grow/>
          </m:dPr>
          <m:e>
            <m:sSub>
              <m:e>
                <m:r>
                  <m:t>Z</m:t>
                </m:r>
              </m:e>
              <m:sub>
                <m:r>
                  <m:t>n</m:t>
                </m:r>
              </m:sub>
            </m:sSub>
          </m:e>
        </m:d>
      </m:oMath>
      <w:r>
        <w:t xml:space="preserve"> </w:t>
      </w:r>
      <w:r>
        <w:t xml:space="preserve">中</w:t>
      </w:r>
      <w:r>
        <w:t xml:space="preserve"> </w:t>
      </w:r>
      <m:oMath>
        <m:sSub>
          <m:e>
            <m:r>
              <m:t>ψ</m:t>
            </m:r>
          </m:e>
          <m:sub>
            <m:r>
              <m:rPr>
                <m:sty m:val="p"/>
              </m:rPr>
              <m:t>+</m:t>
            </m:r>
          </m:sub>
        </m:sSub>
        <m:r>
          <m:rPr>
            <m:sty m:val="p"/>
          </m:rPr>
          <m:t>&gt;</m:t>
        </m:r>
        <m:sSub>
          <m:e>
            <m:r>
              <m:t>ψ</m:t>
            </m:r>
          </m:e>
          <m:sub>
            <m:r>
              <m:rPr>
                <m:sty m:val="p"/>
              </m:rPr>
              <m:t>−</m:t>
            </m:r>
          </m:sub>
        </m:sSub>
      </m:oMath>
      <w:r>
        <w:t xml:space="preserve"> </w:t>
      </w:r>
      <w:r>
        <w:t xml:space="preserve">的结构性特征，实现了微观主体最优反应函数向宏观定价规则的可逆推导。</w:t>
      </w:r>
    </w:p>
    <w:p>
      <w:pPr>
        <w:pStyle w:val="BodyText"/>
      </w:pPr>
      <w:r>
        <w:t xml:space="preserve">外生油价向国内基准价的映射由以下核心递推方程刻画：</w:t>
      </w:r>
    </w:p>
    <w:p>
      <w:pPr>
        <w:pStyle w:val="BodyText"/>
      </w:pPr>
      <m:oMathPara>
        <m:oMathParaPr>
          <m:jc m:val="center"/>
        </m:oMathParaPr>
        <m:oMath>
          <m:r>
            <m:t>Δ</m:t>
          </m:r>
          <m:sSubSup>
            <m:e>
              <m:r>
                <m:t>P</m:t>
              </m:r>
            </m:e>
            <m:sub>
              <m:r>
                <m:t>n</m:t>
              </m:r>
            </m:sub>
            <m:sup>
              <m:r>
                <m:rPr>
                  <m:sty m:val="p"/>
                </m:rPr>
                <m:t>b</m:t>
              </m:r>
              <m:r>
                <m:rPr>
                  <m:sty m:val="p"/>
                </m:rPr>
                <m:t>a</m:t>
              </m:r>
              <m:r>
                <m:rPr>
                  <m:sty m:val="p"/>
                </m:rPr>
                <m:t>s</m:t>
              </m:r>
              <m:r>
                <m:rPr>
                  <m:sty m:val="p"/>
                </m:rPr>
                <m:t>e</m:t>
              </m:r>
            </m:sup>
          </m:sSubSup>
          <m:r>
            <m:rPr>
              <m:sty m:val="p"/>
            </m:rPr>
            <m:t>=</m:t>
          </m:r>
          <m:r>
            <m:rPr>
              <m:sty m:val="p"/>
            </m:rPr>
            <m:t>[</m:t>
          </m:r>
          <m:r>
            <m:rPr>
              <m:sty m:val="b"/>
            </m:rPr>
            <m:t>Ψ</m:t>
          </m:r>
          <m:d>
            <m:dPr>
              <m:begChr m:val="("/>
              <m:endChr m:val=")"/>
              <m:sepChr m:val=""/>
              <m:grow/>
            </m:dPr>
            <m:e>
              <m:sSub>
                <m:e>
                  <m:r>
                    <m:t>Z</m:t>
                  </m:r>
                </m:e>
                <m:sub>
                  <m:r>
                    <m:t>n</m:t>
                  </m:r>
                </m:sub>
              </m:sSub>
            </m:e>
          </m:d>
          <m:r>
            <m:rPr>
              <m:sty m:val="p"/>
            </m:rPr>
            <m:t>⋅</m:t>
          </m:r>
          <m:r>
            <m:t>Δ</m:t>
          </m:r>
          <m:sSub>
            <m:e>
              <m:acc>
                <m:accPr>
                  <m:chr m:val="‾"/>
                </m:accPr>
                <m:e>
                  <m:r>
                    <m:rPr>
                      <m:sty m:val="b"/>
                    </m:rPr>
                    <m:t>P</m:t>
                  </m:r>
                </m:e>
              </m:acc>
            </m:e>
            <m:sub>
              <m:r>
                <m:t>n</m:t>
              </m:r>
            </m:sub>
          </m:sSub>
          <m:sSub>
            <m:e>
              <m:r>
                <m:rPr>
                  <m:sty m:val="p"/>
                </m:rPr>
                <m:t>]</m:t>
              </m:r>
            </m:e>
            <m:sub>
              <m:r>
                <m:t>1</m:t>
              </m:r>
            </m:sub>
          </m:sSub>
          <m:r>
            <m:rPr>
              <m:sty m:val="p"/>
            </m:rPr>
            <m:t>+</m:t>
          </m:r>
          <m:r>
            <m:rPr>
              <m:sty m:val="p"/>
            </m:rPr>
            <m:t>[</m:t>
          </m:r>
          <m:r>
            <m:rPr>
              <m:sty m:val="b"/>
            </m:rPr>
            <m:t>Ψ</m:t>
          </m:r>
          <m:d>
            <m:dPr>
              <m:begChr m:val="("/>
              <m:endChr m:val=")"/>
              <m:sepChr m:val=""/>
              <m:grow/>
            </m:dPr>
            <m:e>
              <m:sSub>
                <m:e>
                  <m:r>
                    <m:t>Z</m:t>
                  </m:r>
                </m:e>
                <m:sub>
                  <m:r>
                    <m:t>n</m:t>
                  </m:r>
                </m:sub>
              </m:sSub>
            </m:e>
          </m:d>
          <m:r>
            <m:rPr>
              <m:sty m:val="p"/>
            </m:rPr>
            <m:t>⋅</m:t>
          </m:r>
          <m:r>
            <m:t>Δ</m:t>
          </m:r>
          <m:sSub>
            <m:e>
              <m:acc>
                <m:accPr>
                  <m:chr m:val="‾"/>
                </m:accPr>
                <m:e>
                  <m:r>
                    <m:rPr>
                      <m:sty m:val="b"/>
                    </m:rPr>
                    <m:t>P</m:t>
                  </m:r>
                </m:e>
              </m:acc>
            </m:e>
            <m:sub>
              <m:r>
                <m:t>n</m:t>
              </m:r>
            </m:sub>
          </m:sSub>
          <m:sSub>
            <m:e>
              <m:r>
                <m:rPr>
                  <m:sty m:val="p"/>
                </m:rPr>
                <m:t>]</m:t>
              </m:r>
            </m:e>
            <m:sub>
              <m:r>
                <m:t>2</m:t>
              </m:r>
            </m:sub>
          </m:sSub>
        </m:oMath>
      </m:oMathPara>
    </w:p>
    <w:p>
      <w:pPr>
        <w:pStyle w:val="FirstParagraph"/>
      </w:pPr>
      <w:r>
        <w:t xml:space="preserve">该分段结构显式分离了价格上涨信号</w:t>
      </w:r>
      <w:r>
        <w:t xml:space="preserve"> </w:t>
      </w:r>
      <m:oMath>
        <m:r>
          <m:rPr>
            <m:sty m:val="p"/>
          </m:rPr>
          <m:t>max</m:t>
        </m:r>
        <m:d>
          <m:dPr>
            <m:begChr m:val="("/>
            <m:endChr m:val=")"/>
            <m:sepChr m:val=""/>
            <m:grow/>
          </m:dPr>
          <m:e>
            <m:r>
              <m:t>Δ</m:t>
            </m:r>
            <m:sSub>
              <m:e>
                <m:acc>
                  <m:accPr>
                    <m:chr m:val="‾"/>
                  </m:accPr>
                  <m:e>
                    <m:r>
                      <m:t>P</m:t>
                    </m:r>
                  </m:e>
                </m:acc>
              </m:e>
              <m:sub>
                <m:r>
                  <m:t>n</m:t>
                </m:r>
              </m:sub>
            </m:sSub>
            <m:r>
              <m:rPr>
                <m:sty m:val="p"/>
              </m:rPr>
              <m:t>,</m:t>
            </m:r>
            <m:r>
              <m:t>0</m:t>
            </m:r>
          </m:e>
        </m:d>
      </m:oMath>
      <w:r>
        <w:t xml:space="preserve"> </w:t>
      </w:r>
      <w:r>
        <w:t xml:space="preserve">与下跌信号</w:t>
      </w:r>
      <w:r>
        <w:t xml:space="preserve"> </w:t>
      </w:r>
      <m:oMath>
        <m:r>
          <m:rPr>
            <m:sty m:val="p"/>
          </m:rPr>
          <m:t>min</m:t>
        </m:r>
        <m:d>
          <m:dPr>
            <m:begChr m:val="("/>
            <m:endChr m:val=")"/>
            <m:sepChr m:val=""/>
            <m:grow/>
          </m:dPr>
          <m:e>
            <m:r>
              <m:t>Δ</m:t>
            </m:r>
            <m:sSub>
              <m:e>
                <m:acc>
                  <m:accPr>
                    <m:chr m:val="‾"/>
                  </m:accPr>
                  <m:e>
                    <m:r>
                      <m:t>P</m:t>
                    </m:r>
                  </m:e>
                </m:acc>
              </m:e>
              <m:sub>
                <m:r>
                  <m:t>n</m:t>
                </m:r>
              </m:sub>
            </m:sSub>
            <m:r>
              <m:rPr>
                <m:sty m:val="p"/>
              </m:rPr>
              <m:t>,</m:t>
            </m:r>
            <m:r>
              <m:t>0</m:t>
            </m:r>
          </m:e>
        </m:d>
      </m:oMath>
      <w:r>
        <w:t xml:space="preserve"> </w:t>
      </w:r>
      <w:r>
        <w:t xml:space="preserve">的不同传导路径，主动剥离物理供给冲击本身，仅保留价格信号在经济传导层面的衰减与扭曲机制。值得注意的是，上述运算本质上映射的是国际油价变动的经济传导效应而非绝对价格水平，从而确保模型在极端市场条件下具有良好的数值稳定性。数值模拟表明，当全球原油供给缺口超过 5% 时，传统线性价格传导模型易出现预测发散，而本框架通过弹性衰减机制将国内价格波动率限制在合理阈值之内。</w:t>
      </w:r>
    </w:p>
    <w:p>
      <w:pPr>
        <w:pStyle w:val="BodyText"/>
      </w:pPr>
      <w:r>
        <w:t xml:space="preserve">基于时间索引</w:t>
      </w:r>
      <w:r>
        <w:t xml:space="preserve"> </w:t>
      </w:r>
      <m:oMath>
        <m:r>
          <m:t>k</m:t>
        </m:r>
        <m:r>
          <m:rPr>
            <m:sty m:val="p"/>
          </m:rPr>
          <m:t>=</m:t>
        </m:r>
        <m:r>
          <m:rPr>
            <m:sty m:val="p"/>
          </m:rPr>
          <m:t>⌊</m:t>
        </m:r>
        <m:d>
          <m:dPr>
            <m:begChr m:val="("/>
            <m:endChr m:val=")"/>
            <m:sepChr m:val=""/>
            <m:grow/>
          </m:dPr>
          <m:e>
            <m:r>
              <m:t>n</m:t>
            </m:r>
            <m:r>
              <m:rPr>
                <m:sty m:val="p"/>
              </m:rPr>
              <m:t>−</m:t>
            </m:r>
            <m:r>
              <m:t>1</m:t>
            </m:r>
          </m:e>
        </m:d>
        <m:r>
          <m:rPr>
            <m:sty m:val="p"/>
          </m:rPr>
          <m:t>/</m:t>
        </m:r>
        <m:r>
          <m:t>10</m:t>
        </m:r>
        <m:r>
          <m:rPr>
            <m:sty m:val="p"/>
          </m:rPr>
          <m:t>⌋</m:t>
        </m:r>
        <m:r>
          <m:rPr>
            <m:sty m:val="p"/>
          </m:rPr>
          <m:t>+</m:t>
        </m:r>
        <m:r>
          <m:t>1</m:t>
        </m:r>
      </m:oMath>
      <w:r>
        <w:t xml:space="preserve"> </w:t>
      </w:r>
      <w:r>
        <w:t xml:space="preserve">将日频数据离散为阶梯窗口，该设定严格契合我国成品油十个工作日的法定调价周期。国际原油篮子指数的构建采用主成分分析法（PCA）提取第一主成分载荷作为权重依据：</w:t>
      </w:r>
    </w:p>
    <w:p>
      <w:pPr>
        <w:pStyle w:val="BodyText"/>
      </w:pPr>
      <m:oMathPara>
        <m:oMathParaPr>
          <m:jc m:val="center"/>
        </m:oMathParaPr>
        <m:oMath>
          <m:sSubSup>
            <m:e>
              <m:acc>
                <m:accPr>
                  <m:chr m:val="‾"/>
                </m:accPr>
                <m:e>
                  <m:r>
                    <m:t>P</m:t>
                  </m:r>
                </m:e>
              </m:acc>
            </m:e>
            <m:sub>
              <m:r>
                <m:t>n</m:t>
              </m:r>
            </m:sub>
            <m:sup>
              <m:r>
                <m:rPr>
                  <m:sty m:val="p"/>
                </m:rPr>
                <m:t>i</m:t>
              </m:r>
              <m:r>
                <m:rPr>
                  <m:sty m:val="p"/>
                </m:rPr>
                <m:t>n</m:t>
              </m:r>
              <m:r>
                <m:rPr>
                  <m:sty m:val="p"/>
                </m:rPr>
                <m:t>t</m:t>
              </m:r>
            </m:sup>
          </m:sSubSup>
          <m:r>
            <m:rPr>
              <m:sty m:val="p"/>
            </m:rPr>
            <m:t>=</m:t>
          </m:r>
          <m:nary>
            <m:naryPr>
              <m:chr m:val="∑"/>
              <m:limLoc m:val="undOvr"/>
              <m:subHide m:val="off"/>
              <m:supHide m:val="off"/>
            </m:naryPr>
            <m:sub>
              <m:r>
                <m:t>i</m:t>
              </m:r>
              <m:r>
                <m:rPr>
                  <m:sty m:val="p"/>
                </m:rPr>
                <m:t>=</m:t>
              </m:r>
              <m:r>
                <m:t>1</m:t>
              </m:r>
            </m:sub>
            <m:sup>
              <m:r>
                <m:t>M</m:t>
              </m:r>
            </m:sup>
            <m:e>
              <m:sSub>
                <m:e>
                  <m:r>
                    <m:t>w</m:t>
                  </m:r>
                </m:e>
                <m:sub>
                  <m:r>
                    <m:t>i</m:t>
                  </m:r>
                </m:sub>
              </m:sSub>
            </m:e>
          </m:nary>
          <m:sSub>
            <m:e>
              <m:r>
                <m:t>P</m:t>
              </m:r>
            </m:e>
            <m:sub>
              <m:r>
                <m:t>i</m:t>
              </m:r>
              <m:r>
                <m:rPr>
                  <m:sty m:val="p"/>
                </m:rPr>
                <m:t>,</m:t>
              </m:r>
              <m:r>
                <m:t>n</m:t>
              </m:r>
            </m:sub>
          </m:sSub>
          <m:r>
            <m:rPr>
              <m:sty m:val="p"/>
            </m:rPr>
            <m:t>,</m:t>
          </m:r>
          <m:r>
            <m:t>  </m:t>
          </m:r>
          <m:nary>
            <m:naryPr>
              <m:chr m:val="∑"/>
              <m:limLoc m:val="undOvr"/>
              <m:subHide m:val="off"/>
              <m:supHide m:val="off"/>
            </m:naryPr>
            <m:sub>
              <m:r>
                <m:t>i</m:t>
              </m:r>
              <m:r>
                <m:rPr>
                  <m:sty m:val="p"/>
                </m:rPr>
                <m:t>=</m:t>
              </m:r>
              <m:r>
                <m:t>1</m:t>
              </m:r>
            </m:sub>
            <m:sup>
              <m:r>
                <m:t>M</m:t>
              </m:r>
            </m:sup>
            <m:e>
              <m:sSub>
                <m:e>
                  <m:r>
                    <m:t>w</m:t>
                  </m:r>
                </m:e>
                <m:sub>
                  <m:r>
                    <m:t>i</m:t>
                  </m:r>
                </m:sub>
              </m:sSub>
            </m:e>
          </m:nary>
          <m:r>
            <m:rPr>
              <m:sty m:val="p"/>
            </m:rPr>
            <m:t>=</m:t>
          </m:r>
          <m:r>
            <m:t>1</m:t>
          </m:r>
          <m:r>
            <m:rPr>
              <m:sty m:val="p"/>
            </m:rPr>
            <m:t>,</m:t>
          </m:r>
          <m:r>
            <m:t> </m:t>
          </m:r>
          <m:sSub>
            <m:e>
              <m:r>
                <m:t>w</m:t>
              </m:r>
            </m:e>
            <m:sub>
              <m:r>
                <m:t>i</m:t>
              </m:r>
            </m:sub>
          </m:sSub>
          <m:r>
            <m:rPr>
              <m:sty m:val="p"/>
            </m:rPr>
            <m:t>≥</m:t>
          </m:r>
          <m:r>
            <m:t>0</m:t>
          </m:r>
        </m:oMath>
      </m:oMathPara>
    </w:p>
    <w:p>
      <w:pPr>
        <w:pStyle w:val="FirstParagraph"/>
      </w:pPr>
      <w:r>
        <w:t xml:space="preserve">其中</w:t>
      </w:r>
      <w:r>
        <w:t xml:space="preserve"> </w:t>
      </w:r>
      <m:oMath>
        <m:r>
          <m:t>M</m:t>
        </m:r>
        <m:r>
          <m:rPr>
            <m:sty m:val="p"/>
          </m:rPr>
          <m:t>=</m:t>
        </m:r>
        <m:r>
          <m:t>3</m:t>
        </m:r>
      </m:oMath>
      <w:r>
        <w:t xml:space="preserve"> </w:t>
      </w:r>
      <w:r>
        <w:t xml:space="preserve">代表 Brent、WTI、Dubai 三种挂靠油种，</w:t>
      </w:r>
      <m:oMath>
        <m:sSub>
          <m:e>
            <m:r>
              <m:t>P</m:t>
            </m:r>
          </m:e>
          <m:sub>
            <m:r>
              <m:t>i</m:t>
            </m:r>
            <m:r>
              <m:rPr>
                <m:sty m:val="p"/>
              </m:rPr>
              <m:t>,</m:t>
            </m:r>
            <m:r>
              <m:t>n</m:t>
            </m:r>
          </m:sub>
        </m:sSub>
      </m:oMath>
      <w:r>
        <w:t xml:space="preserve"> </w:t>
      </w:r>
      <w:r>
        <w:t xml:space="preserve">为第</w:t>
      </w:r>
      <w:r>
        <w:t xml:space="preserve"> </w:t>
      </w:r>
      <m:oMath>
        <m:r>
          <m:t>i</m:t>
        </m:r>
      </m:oMath>
      <w:r>
        <w:t xml:space="preserve"> </w:t>
      </w:r>
      <w:r>
        <w:t xml:space="preserve">种原油在第</w:t>
      </w:r>
      <w:r>
        <w:t xml:space="preserve"> </w:t>
      </w:r>
      <m:oMath>
        <m:r>
          <m:t>n</m:t>
        </m:r>
      </m:oMath>
      <w:r>
        <w:t xml:space="preserve"> </w:t>
      </w:r>
      <w:r>
        <w:t xml:space="preserve">个窗口内的日均现货价格（单位：美元/桶）。PCA 降维过程中对各油种序列先经对数变换与标准化处理以消除量纲差异，所得第一主成分的特征方差贡献率达 76.4%，足以充分刻画国际原油市场的共同运动因子。该方法有效规避了单一基准油种的区域性定价偏差，同时与现行管理办法中”一揽子原油”的制度设计保持内在一致。表 1 汇总了模型全部关键参数的估计结果、数据来源及基准期设定。</w:t>
      </w:r>
    </w:p>
    <w:p>
      <w:pPr>
        <w:pStyle w:val="BodyText"/>
      </w:pPr>
      <w:r>
        <w:rPr>
          <w:bCs/>
          <w:b/>
        </w:rPr>
        <w:t xml:space="preserve">表 1 模型关键参数估计结果与数据来源</w:t>
      </w:r>
    </w:p>
    <w:tbl>
      <w:tblPr>
        <w:tblStyle w:val="Table"/>
        <w:tblW w:type="pct" w:w="5000"/>
        <w:tblLook w:firstRow="1" w:lastRow="0" w:firstColumn="0" w:lastColumn="0" w:noHBand="0" w:noVBand="0" w:val="0020"/>
        <w:jc w:val="start"/>
      </w:tblPr>
      <w:tblGrid>
        <w:gridCol w:w="990"/>
        <w:gridCol w:w="990"/>
        <w:gridCol w:w="1320"/>
        <w:gridCol w:w="2145"/>
        <w:gridCol w:w="1485"/>
        <w:gridCol w:w="990"/>
      </w:tblGrid>
      <w:tr>
        <w:trPr>
          <w:tblHeader w:val="true"/>
        </w:trPr>
        <w:tc>
          <w:tcPr/>
          <w:p>
            <w:pPr>
              <w:pStyle w:val="Compact"/>
              <w:jc w:val="left"/>
            </w:pPr>
            <w:r>
              <w:t xml:space="preserve">参数</w:t>
            </w:r>
          </w:p>
        </w:tc>
        <w:tc>
          <w:tcPr/>
          <w:p>
            <w:pPr>
              <w:pStyle w:val="Compact"/>
              <w:jc w:val="left"/>
            </w:pPr>
            <w:r>
              <w:t xml:space="preserve">符号</w:t>
            </w:r>
          </w:p>
        </w:tc>
        <w:tc>
          <w:tcPr/>
          <w:p>
            <w:pPr>
              <w:pStyle w:val="Compact"/>
              <w:jc w:val="left"/>
            </w:pPr>
            <w:r>
              <w:t xml:space="preserve">估计值</w:t>
            </w:r>
          </w:p>
        </w:tc>
        <w:tc>
          <w:tcPr/>
          <w:p>
            <w:pPr>
              <w:pStyle w:val="Compact"/>
              <w:jc w:val="left"/>
            </w:pPr>
            <w:r>
              <w:t xml:space="preserve">95% 置信区间</w:t>
            </w:r>
          </w:p>
        </w:tc>
        <w:tc>
          <w:tcPr/>
          <w:p>
            <w:pPr>
              <w:pStyle w:val="Compact"/>
              <w:jc w:val="left"/>
            </w:pPr>
            <w:r>
              <w:t xml:space="preserve">数据来源</w:t>
            </w:r>
          </w:p>
        </w:tc>
        <w:tc>
          <w:tcPr/>
          <w:p>
            <w:pPr>
              <w:pStyle w:val="Compact"/>
              <w:jc w:val="left"/>
            </w:pPr>
            <w:r>
              <w:t xml:space="preserve">量纲</w:t>
            </w:r>
          </w:p>
        </w:tc>
      </w:tr>
      <w:tr>
        <w:tc>
          <w:tcPr/>
          <w:p>
            <w:pPr>
              <w:pStyle w:val="Compact"/>
              <w:jc w:val="left"/>
            </w:pPr>
            <w:r>
              <w:t xml:space="preserve">高区制转移概率</w:t>
            </w:r>
          </w:p>
        </w:tc>
        <w:tc>
          <w:tcPr/>
          <w:p>
            <w:pPr>
              <w:pStyle w:val="Compact"/>
              <w:jc w:val="left"/>
            </w:pPr>
            <m:oMath>
              <m:sSub>
                <m:e>
                  <m:r>
                    <m:t>θ</m:t>
                  </m:r>
                </m:e>
                <m:sub>
                  <m:r>
                    <m:t>H</m:t>
                  </m:r>
                  <m:r>
                    <m:t>H</m:t>
                  </m:r>
                </m:sub>
              </m:sSub>
            </m:oMath>
          </w:p>
        </w:tc>
        <w:tc>
          <w:tcPr/>
          <w:p>
            <w:pPr>
              <w:pStyle w:val="Compact"/>
              <w:jc w:val="left"/>
            </w:pPr>
            <w:r>
              <w:t xml:space="preserve">0.712</w:t>
            </w:r>
          </w:p>
        </w:tc>
        <w:tc>
          <w:tcPr/>
          <w:p>
            <w:pPr>
              <w:pStyle w:val="Compact"/>
              <w:jc w:val="left"/>
            </w:pPr>
            <m:oMath>
              <m:d>
                <m:dPr>
                  <m:begChr m:val="["/>
                  <m:endChr m:val="]"/>
                  <m:sepChr m:val=""/>
                  <m:grow/>
                </m:dPr>
                <m:e>
                  <m:r>
                    <m:t>0.631</m:t>
                  </m:r>
                  <m:r>
                    <m:rPr>
                      <m:sty m:val="p"/>
                    </m:rPr>
                    <m:t>,</m:t>
                  </m:r>
                  <m:r>
                    <m:t>0.793</m:t>
                  </m:r>
                </m:e>
              </m:d>
            </m:oMath>
          </w:p>
        </w:tc>
        <w:tc>
          <w:tcPr/>
          <w:p>
            <w:pPr>
              <w:pStyle w:val="Compact"/>
              <w:jc w:val="left"/>
            </w:pPr>
            <w:r>
              <w:t xml:space="preserve">Baum-Welch MLE</w:t>
            </w:r>
          </w:p>
        </w:tc>
        <w:tc>
          <w:tcPr/>
          <w:p>
            <w:pPr>
              <w:pStyle w:val="Compact"/>
              <w:jc w:val="left"/>
            </w:pPr>
            <w:r>
              <w:t xml:space="preserve">无量纲</w:t>
            </w:r>
          </w:p>
        </w:tc>
      </w:tr>
      <w:tr>
        <w:tc>
          <w:tcPr/>
          <w:p>
            <w:pPr>
              <w:pStyle w:val="Compact"/>
              <w:jc w:val="left"/>
            </w:pPr>
            <w:r>
              <w:t xml:space="preserve">中区制转移概率</w:t>
            </w:r>
          </w:p>
        </w:tc>
        <w:tc>
          <w:tcPr/>
          <w:p>
            <w:pPr>
              <w:pStyle w:val="Compact"/>
              <w:jc w:val="left"/>
            </w:pPr>
            <m:oMath>
              <m:sSub>
                <m:e>
                  <m:r>
                    <m:t>θ</m:t>
                  </m:r>
                </m:e>
                <m:sub>
                  <m:r>
                    <m:t>M</m:t>
                  </m:r>
                  <m:r>
                    <m:t>M</m:t>
                  </m:r>
                </m:sub>
              </m:sSub>
            </m:oMath>
          </w:p>
        </w:tc>
        <w:tc>
          <w:tcPr/>
          <w:p>
            <w:pPr>
              <w:pStyle w:val="Compact"/>
              <w:jc w:val="left"/>
            </w:pPr>
            <w:r>
              <w:t xml:space="preserve">0.678</w:t>
            </w:r>
          </w:p>
        </w:tc>
        <w:tc>
          <w:tcPr/>
          <w:p>
            <w:pPr>
              <w:pStyle w:val="Compact"/>
              <w:jc w:val="left"/>
            </w:pPr>
            <m:oMath>
              <m:d>
                <m:dPr>
                  <m:begChr m:val="["/>
                  <m:endChr m:val="]"/>
                  <m:sepChr m:val=""/>
                  <m:grow/>
                </m:dPr>
                <m:e>
                  <m:r>
                    <m:t>0.592</m:t>
                  </m:r>
                  <m:r>
                    <m:rPr>
                      <m:sty m:val="p"/>
                    </m:rPr>
                    <m:t>,</m:t>
                  </m:r>
                  <m:r>
                    <m:t>0.764</m:t>
                  </m:r>
                </m:e>
              </m:d>
            </m:oMath>
          </w:p>
        </w:tc>
        <w:tc>
          <w:tcPr/>
          <w:p>
            <w:pPr>
              <w:pStyle w:val="Compact"/>
              <w:jc w:val="left"/>
            </w:pPr>
            <w:r>
              <w:t xml:space="preserve">Baum-Welch MLE</w:t>
            </w:r>
          </w:p>
        </w:tc>
        <w:tc>
          <w:tcPr/>
          <w:p>
            <w:pPr>
              <w:pStyle w:val="Compact"/>
              <w:jc w:val="left"/>
            </w:pPr>
            <w:r>
              <w:t xml:space="preserve">无量纲</w:t>
            </w:r>
          </w:p>
        </w:tc>
      </w:tr>
      <w:tr>
        <w:tc>
          <w:tcPr/>
          <w:p>
            <w:pPr>
              <w:pStyle w:val="Compact"/>
              <w:jc w:val="left"/>
            </w:pPr>
            <w:r>
              <w:t xml:space="preserve">低区制转移概率</w:t>
            </w:r>
          </w:p>
        </w:tc>
        <w:tc>
          <w:tcPr/>
          <w:p>
            <w:pPr>
              <w:pStyle w:val="Compact"/>
              <w:jc w:val="left"/>
            </w:pPr>
            <m:oMath>
              <m:sSub>
                <m:e>
                  <m:r>
                    <m:t>θ</m:t>
                  </m:r>
                </m:e>
                <m:sub>
                  <m:r>
                    <m:t>L</m:t>
                  </m:r>
                  <m:r>
                    <m:t>L</m:t>
                  </m:r>
                </m:sub>
              </m:sSub>
            </m:oMath>
          </w:p>
        </w:tc>
        <w:tc>
          <w:tcPr/>
          <w:p>
            <w:pPr>
              <w:pStyle w:val="Compact"/>
              <w:jc w:val="left"/>
            </w:pPr>
            <w:r>
              <w:t xml:space="preserve">0.523</w:t>
            </w:r>
          </w:p>
        </w:tc>
        <w:tc>
          <w:tcPr/>
          <w:p>
            <w:pPr>
              <w:pStyle w:val="Compact"/>
              <w:jc w:val="left"/>
            </w:pPr>
            <m:oMath>
              <m:d>
                <m:dPr>
                  <m:begChr m:val="["/>
                  <m:endChr m:val="]"/>
                  <m:sepChr m:val=""/>
                  <m:grow/>
                </m:dPr>
                <m:e>
                  <m:r>
                    <m:t>0.431</m:t>
                  </m:r>
                  <m:r>
                    <m:rPr>
                      <m:sty m:val="p"/>
                    </m:rPr>
                    <m:t>,</m:t>
                  </m:r>
                  <m:r>
                    <m:t>0.615</m:t>
                  </m:r>
                </m:e>
              </m:d>
            </m:oMath>
          </w:p>
        </w:tc>
        <w:tc>
          <w:tcPr/>
          <w:p>
            <w:pPr>
              <w:pStyle w:val="Compact"/>
              <w:jc w:val="left"/>
            </w:pPr>
            <w:r>
              <w:t xml:space="preserve">Baum-Welch MLE</w:t>
            </w:r>
          </w:p>
        </w:tc>
        <w:tc>
          <w:tcPr/>
          <w:p>
            <w:pPr>
              <w:pStyle w:val="Compact"/>
              <w:jc w:val="left"/>
            </w:pPr>
            <w:r>
              <w:t xml:space="preserve">无量纲</w:t>
            </w:r>
          </w:p>
        </w:tc>
      </w:tr>
      <w:tr>
        <w:tc>
          <w:tcPr/>
          <w:p>
            <w:pPr>
              <w:pStyle w:val="Compact"/>
              <w:jc w:val="left"/>
            </w:pPr>
            <w:r>
              <w:t xml:space="preserve">高区制正向弹性</w:t>
            </w:r>
          </w:p>
        </w:tc>
        <w:tc>
          <w:tcPr/>
          <w:p>
            <w:pPr>
              <w:pStyle w:val="Compact"/>
              <w:jc w:val="left"/>
            </w:pPr>
            <m:oMath>
              <m:sSub>
                <m:e>
                  <m:r>
                    <m:t>ψ</m:t>
                  </m:r>
                </m:e>
                <m:sub>
                  <m:r>
                    <m:rPr>
                      <m:sty m:val="p"/>
                    </m:rPr>
                    <m:t>+</m:t>
                  </m:r>
                </m:sub>
              </m:sSub>
              <m:d>
                <m:dPr>
                  <m:begChr m:val="("/>
                  <m:endChr m:val=")"/>
                  <m:sepChr m:val=""/>
                  <m:grow/>
                </m:dPr>
                <m:e>
                  <m:r>
                    <m:t>H</m:t>
                  </m:r>
                </m:e>
              </m:d>
            </m:oMath>
          </w:p>
        </w:tc>
        <w:tc>
          <w:tcPr/>
          <w:p>
            <w:pPr>
              <w:pStyle w:val="Compact"/>
              <w:jc w:val="left"/>
            </w:pPr>
            <w:r>
              <w:t xml:space="preserve">0.820</w:t>
            </w:r>
          </w:p>
        </w:tc>
        <w:tc>
          <w:tcPr/>
          <w:p>
            <w:pPr>
              <w:pStyle w:val="Compact"/>
              <w:jc w:val="left"/>
            </w:pPr>
            <m:oMath>
              <m:d>
                <m:dPr>
                  <m:begChr m:val="["/>
                  <m:endChr m:val="]"/>
                  <m:sepChr m:val=""/>
                  <m:grow/>
                </m:dPr>
                <m:e>
                  <m:r>
                    <m:t>0.704</m:t>
                  </m:r>
                  <m:r>
                    <m:rPr>
                      <m:sty m:val="p"/>
                    </m:rPr>
                    <m:t>,</m:t>
                  </m:r>
                  <m:r>
                    <m:t>0.936</m:t>
                  </m:r>
                </m:e>
              </m:d>
            </m:oMath>
          </w:p>
        </w:tc>
        <w:tc>
          <w:tcPr/>
          <w:p>
            <w:pPr>
              <w:pStyle w:val="Compact"/>
              <w:jc w:val="left"/>
            </w:pPr>
            <w:r>
              <w:t xml:space="preserve">非线性最小二乘</w:t>
            </w:r>
          </w:p>
        </w:tc>
        <w:tc>
          <w:tcPr/>
          <w:p>
            <w:pPr>
              <w:pStyle w:val="Compact"/>
              <w:jc w:val="left"/>
            </w:pPr>
            <w:r>
              <w:t xml:space="preserve">无量纲</w:t>
            </w:r>
          </w:p>
        </w:tc>
      </w:tr>
      <w:tr>
        <w:tc>
          <w:tcPr/>
          <w:p>
            <w:pPr>
              <w:pStyle w:val="Compact"/>
              <w:jc w:val="left"/>
            </w:pPr>
            <w:r>
              <w:t xml:space="preserve">高区制负向弹性</w:t>
            </w:r>
          </w:p>
        </w:tc>
        <w:tc>
          <w:tcPr/>
          <w:p>
            <w:pPr>
              <w:pStyle w:val="Compact"/>
              <w:jc w:val="left"/>
            </w:pPr>
            <m:oMath>
              <m:sSub>
                <m:e>
                  <m:r>
                    <m:t>ψ</m:t>
                  </m:r>
                </m:e>
                <m:sub>
                  <m:r>
                    <m:rPr>
                      <m:sty m:val="p"/>
                    </m:rPr>
                    <m:t>−</m:t>
                  </m:r>
                </m:sub>
              </m:sSub>
              <m:d>
                <m:dPr>
                  <m:begChr m:val="("/>
                  <m:endChr m:val=")"/>
                  <m:sepChr m:val=""/>
                  <m:grow/>
                </m:dPr>
                <m:e>
                  <m:r>
                    <m:t>H</m:t>
                  </m:r>
                </m:e>
              </m:d>
            </m:oMath>
          </w:p>
        </w:tc>
        <w:tc>
          <w:tcPr/>
          <w:p>
            <w:pPr>
              <w:pStyle w:val="Compact"/>
              <w:jc w:val="left"/>
            </w:pPr>
            <w:r>
              <w:t xml:space="preserve">0.480</w:t>
            </w:r>
          </w:p>
        </w:tc>
        <w:tc>
          <w:tcPr/>
          <w:p>
            <w:pPr>
              <w:pStyle w:val="Compact"/>
              <w:jc w:val="left"/>
            </w:pPr>
            <m:oMath>
              <m:d>
                <m:dPr>
                  <m:begChr m:val="["/>
                  <m:endChr m:val="]"/>
                  <m:sepChr m:val=""/>
                  <m:grow/>
                </m:dPr>
                <m:e>
                  <m:r>
                    <m:t>0.341</m:t>
                  </m:r>
                  <m:r>
                    <m:rPr>
                      <m:sty m:val="p"/>
                    </m:rPr>
                    <m:t>,</m:t>
                  </m:r>
                  <m:r>
                    <m:t>0.619</m:t>
                  </m:r>
                </m:e>
              </m:d>
            </m:oMath>
          </w:p>
        </w:tc>
        <w:tc>
          <w:tcPr/>
          <w:p>
            <w:pPr>
              <w:pStyle w:val="Compact"/>
              <w:jc w:val="left"/>
            </w:pPr>
            <w:r>
              <w:t xml:space="preserve">非线性最小二乘</w:t>
            </w:r>
          </w:p>
        </w:tc>
        <w:tc>
          <w:tcPr/>
          <w:p>
            <w:pPr>
              <w:pStyle w:val="Compact"/>
              <w:jc w:val="left"/>
            </w:pPr>
            <w:r>
              <w:t xml:space="preserve">无量纲</w:t>
            </w:r>
          </w:p>
        </w:tc>
      </w:tr>
      <w:tr>
        <w:tc>
          <w:tcPr/>
          <w:p>
            <w:pPr>
              <w:pStyle w:val="Compact"/>
              <w:jc w:val="left"/>
            </w:pPr>
            <w:r>
              <w:t xml:space="preserve">成本折算系数</w:t>
            </w:r>
          </w:p>
        </w:tc>
        <w:tc>
          <w:tcPr/>
          <w:p>
            <w:pPr>
              <w:pStyle w:val="Compact"/>
              <w:jc w:val="left"/>
            </w:pPr>
            <m:oMath>
              <m:r>
                <m:t>η</m:t>
              </m:r>
            </m:oMath>
          </w:p>
        </w:tc>
        <w:tc>
          <w:tcPr/>
          <w:p>
            <w:pPr>
              <w:pStyle w:val="Compact"/>
              <w:jc w:val="left"/>
            </w:pPr>
            <w:r>
              <w:t xml:space="preserve">1.247</w:t>
            </w:r>
          </w:p>
        </w:tc>
        <w:tc>
          <w:tcPr/>
          <w:p>
            <w:pPr>
              <w:pStyle w:val="Compact"/>
              <w:jc w:val="left"/>
            </w:pPr>
            <w:r>
              <w:t xml:space="preserve">—</w:t>
            </w:r>
          </w:p>
        </w:tc>
        <w:tc>
          <w:tcPr/>
          <w:p>
            <w:pPr>
              <w:pStyle w:val="Compact"/>
              <w:jc w:val="left"/>
            </w:pPr>
            <w:r>
              <w:t xml:space="preserve">财政部公开数据</w:t>
            </w:r>
          </w:p>
        </w:tc>
        <w:tc>
          <w:tcPr/>
          <w:p>
            <w:pPr>
              <w:pStyle w:val="Compact"/>
              <w:jc w:val="left"/>
            </w:pPr>
            <w:r>
              <w:t xml:space="preserve">元/吨·(美元/桶)</w:t>
            </w:r>
            <m:oMath>
              <m:sSup>
                <m:e>
                  <m:r>
                    <m:t>​</m:t>
                  </m:r>
                </m:e>
                <m:sup>
                  <m:r>
                    <m:rPr>
                      <m:sty m:val="p"/>
                    </m:rPr>
                    <m:t>−</m:t>
                  </m:r>
                  <m:r>
                    <m:t>1</m:t>
                  </m:r>
                </m:sup>
              </m:sSup>
            </m:oMath>
          </w:p>
        </w:tc>
      </w:tr>
      <w:tr>
        <w:tc>
          <w:tcPr/>
          <w:p>
            <w:pPr>
              <w:pStyle w:val="Compact"/>
              <w:jc w:val="left"/>
            </w:pPr>
            <w:r>
              <w:t xml:space="preserve">政策敏感度</w:t>
            </w:r>
          </w:p>
        </w:tc>
        <w:tc>
          <w:tcPr/>
          <w:p>
            <w:pPr>
              <w:pStyle w:val="Compact"/>
              <w:jc w:val="left"/>
            </w:pPr>
            <m:oMath>
              <m:r>
                <m:t>α</m:t>
              </m:r>
            </m:oMath>
          </w:p>
        </w:tc>
        <w:tc>
          <w:tcPr/>
          <w:p>
            <w:pPr>
              <w:pStyle w:val="Compact"/>
              <w:jc w:val="left"/>
            </w:pPr>
            <w:r>
              <w:t xml:space="preserve">0.083</w:t>
            </w:r>
          </w:p>
        </w:tc>
        <w:tc>
          <w:tcPr/>
          <w:p>
            <w:pPr>
              <w:pStyle w:val="Compact"/>
              <w:jc w:val="left"/>
            </w:pPr>
            <m:oMath>
              <m:d>
                <m:dPr>
                  <m:begChr m:val="["/>
                  <m:endChr m:val="]"/>
                  <m:sepChr m:val=""/>
                  <m:grow/>
                </m:dPr>
                <m:e>
                  <m:r>
                    <m:t>0.041</m:t>
                  </m:r>
                  <m:r>
                    <m:rPr>
                      <m:sty m:val="p"/>
                    </m:rPr>
                    <m:t>,</m:t>
                  </m:r>
                  <m:r>
                    <m:t>0.125</m:t>
                  </m:r>
                </m:e>
              </m:d>
            </m:oMath>
          </w:p>
        </w:tc>
        <w:tc>
          <w:tcPr/>
          <w:p>
            <w:pPr>
              <w:pStyle w:val="Compact"/>
              <w:jc w:val="left"/>
            </w:pPr>
            <w:r>
              <w:t xml:space="preserve">面板回归估计</w:t>
            </w:r>
          </w:p>
        </w:tc>
        <w:tc>
          <w:tcPr/>
          <w:p>
            <w:pPr>
              <w:pStyle w:val="Compact"/>
              <w:jc w:val="left"/>
            </w:pPr>
            <w:r>
              <w:t xml:space="preserve">无量纲</w:t>
            </w:r>
          </w:p>
        </w:tc>
      </w:tr>
      <w:tr>
        <w:tc>
          <w:tcPr/>
          <w:p>
            <w:pPr>
              <w:pStyle w:val="Compact"/>
              <w:jc w:val="left"/>
            </w:pPr>
            <w:r>
              <w:t xml:space="preserve">汇率敏感系数</w:t>
            </w:r>
          </w:p>
        </w:tc>
        <w:tc>
          <w:tcPr/>
          <w:p>
            <w:pPr>
              <w:pStyle w:val="Compact"/>
              <w:jc w:val="left"/>
            </w:pPr>
            <m:oMath>
              <m:r>
                <m:t>β</m:t>
              </m:r>
            </m:oMath>
          </w:p>
        </w:tc>
        <w:tc>
          <w:tcPr/>
          <w:p>
            <w:pPr>
              <w:pStyle w:val="Compact"/>
              <w:jc w:val="left"/>
            </w:pPr>
            <w:r>
              <w:t xml:space="preserve">0.156</w:t>
            </w:r>
          </w:p>
        </w:tc>
        <w:tc>
          <w:tcPr/>
          <w:p>
            <w:pPr>
              <w:pStyle w:val="Compact"/>
              <w:jc w:val="left"/>
            </w:pPr>
            <m:oMath>
              <m:d>
                <m:dPr>
                  <m:begChr m:val="["/>
                  <m:endChr m:val="]"/>
                  <m:sepChr m:val=""/>
                  <m:grow/>
                </m:dPr>
                <m:e>
                  <m:r>
                    <m:t>0.098</m:t>
                  </m:r>
                  <m:r>
                    <m:rPr>
                      <m:sty m:val="p"/>
                    </m:rPr>
                    <m:t>,</m:t>
                  </m:r>
                  <m:r>
                    <m:t>0.214</m:t>
                  </m:r>
                </m:e>
              </m:d>
            </m:oMath>
          </w:p>
        </w:tc>
        <w:tc>
          <w:tcPr/>
          <w:p>
            <w:pPr>
              <w:pStyle w:val="Compact"/>
              <w:jc w:val="left"/>
            </w:pPr>
            <w:r>
              <w:t xml:space="preserve">面板回归估计</w:t>
            </w:r>
          </w:p>
        </w:tc>
        <w:tc>
          <w:tcPr/>
          <w:p>
            <w:pPr>
              <w:pStyle w:val="Compact"/>
              <w:jc w:val="left"/>
            </w:pPr>
            <w:r>
              <w:t xml:space="preserve">无量纲</w:t>
            </w:r>
          </w:p>
        </w:tc>
      </w:tr>
    </w:tbl>
    <w:p>
      <w:pPr>
        <w:pStyle w:val="BodyText"/>
      </w:pPr>
      <w:r>
        <w:t xml:space="preserve">注：置信区间构造采用 Bootstrap（重抽样 2000 次）方法；基准期为 2020Q1–2024Q4，用于反演政策敏感度参数。</w:t>
      </w:r>
    </w:p>
    <w:p>
      <w:pPr>
        <w:pStyle w:val="BodyText"/>
      </w:pPr>
      <w:r>
        <w:t xml:space="preserve">在获得连续时间的理论调价幅度后，需进一步将其映射为国家发改委实际执行中的离散行政指令集。考虑国内炼化加工成本</w:t>
      </w:r>
      <w:r>
        <w:t xml:space="preserve"> </w:t>
      </w:r>
      <m:oMath>
        <m:sSub>
          <m:e>
            <m:r>
              <m:t>C</m:t>
            </m:r>
          </m:e>
          <m:sub>
            <m:r>
              <m:rPr>
                <m:sty m:val="p"/>
              </m:rPr>
              <m:t>p</m:t>
            </m:r>
            <m:r>
              <m:rPr>
                <m:sty m:val="p"/>
              </m:rPr>
              <m:t>r</m:t>
            </m:r>
            <m:r>
              <m:rPr>
                <m:sty m:val="p"/>
              </m:rPr>
              <m:t>o</m:t>
            </m:r>
            <m:r>
              <m:rPr>
                <m:sty m:val="p"/>
              </m:rPr>
              <m:t>c</m:t>
            </m:r>
          </m:sub>
        </m:sSub>
      </m:oMath>
      <w:r>
        <w:t xml:space="preserve">、消费税</w:t>
      </w:r>
      <w:r>
        <w:t xml:space="preserve"> </w:t>
      </w:r>
      <m:oMath>
        <m:sSub>
          <m:e>
            <m:r>
              <m:t>T</m:t>
            </m:r>
          </m:e>
          <m:sub>
            <m:r>
              <m:rPr>
                <m:sty m:val="p"/>
              </m:rPr>
              <m:t>t</m:t>
            </m:r>
            <m:r>
              <m:rPr>
                <m:sty m:val="p"/>
              </m:rPr>
              <m:t>a</m:t>
            </m:r>
            <m:r>
              <m:rPr>
                <m:sty m:val="p"/>
              </m:rPr>
              <m:t>x</m:t>
            </m:r>
          </m:sub>
        </m:sSub>
      </m:oMath>
      <w:r>
        <w:t xml:space="preserve"> </w:t>
      </w:r>
      <w:r>
        <w:t xml:space="preserve">与合理利润率</w:t>
      </w:r>
      <w:r>
        <w:t xml:space="preserve"> </w:t>
      </w:r>
      <m:oMath>
        <m:r>
          <m:t>π</m:t>
        </m:r>
      </m:oMath>
      <w:r>
        <w:t xml:space="preserve">，引入区制依赖的摩擦衰减因子</w:t>
      </w:r>
      <w:r>
        <w:t xml:space="preserve"> </w:t>
      </w:r>
      <m:oMath>
        <m:r>
          <m:t>λ</m:t>
        </m:r>
        <m:d>
          <m:dPr>
            <m:begChr m:val="("/>
            <m:endChr m:val=")"/>
            <m:sepChr m:val=""/>
            <m:grow/>
          </m:dPr>
          <m:e>
            <m:sSub>
              <m:e>
                <m:r>
                  <m:t>Z</m:t>
                </m:r>
              </m:e>
              <m:sub>
                <m:r>
                  <m:t>n</m:t>
                </m:r>
              </m:sub>
            </m:sSub>
          </m:e>
        </m:d>
      </m:oMath>
      <w:r>
        <w:t xml:space="preserve"> </w:t>
      </w:r>
      <w:r>
        <w:t xml:space="preserve">以刻画政策调控过程中的制度性摩擦：</w:t>
      </w:r>
    </w:p>
    <w:p>
      <w:pPr>
        <w:pStyle w:val="BodyText"/>
      </w:pPr>
      <m:oMathPara>
        <m:oMathParaPr>
          <m:jc m:val="center"/>
        </m:oMathParaPr>
        <m:oMath>
          <m:r>
            <m:t>λ</m:t>
          </m:r>
          <m:d>
            <m:dPr>
              <m:begChr m:val="("/>
              <m:endChr m:val=")"/>
              <m:sepChr m:val=""/>
              <m:grow/>
            </m:dPr>
            <m:e>
              <m:sSub>
                <m:e>
                  <m:r>
                    <m:t>Z</m:t>
                  </m:r>
                </m:e>
                <m:sub>
                  <m:r>
                    <m:t>n</m:t>
                  </m:r>
                </m:sub>
              </m:sSub>
            </m:e>
          </m:d>
          <m:r>
            <m:rPr>
              <m:sty m:val="p"/>
            </m:rPr>
            <m:t>=</m:t>
          </m:r>
          <m:r>
            <m:t>1</m:t>
          </m:r>
          <m:r>
            <m:rPr>
              <m:sty m:val="p"/>
            </m:rPr>
            <m:t>−</m:t>
          </m:r>
          <m:r>
            <m:t>α</m:t>
          </m:r>
          <m:r>
            <m:rPr>
              <m:sty m:val="p"/>
            </m:rPr>
            <m:t>⋅</m:t>
          </m:r>
          <m:r>
            <m:rPr>
              <m:sty m:val="p"/>
              <m:scr m:val="double-struck"/>
            </m:rPr>
            <m:t>1</m:t>
          </m:r>
          <m:r>
            <m:rPr>
              <m:sty m:val="p"/>
            </m:rPr>
            <m:t>{</m:t>
          </m:r>
          <m:sSub>
            <m:e>
              <m:r>
                <m:t>Z</m:t>
              </m:r>
            </m:e>
            <m:sub>
              <m:r>
                <m:t>n</m:t>
              </m:r>
            </m:sub>
          </m:sSub>
          <m:r>
            <m:rPr>
              <m:sty m:val="p"/>
            </m:rPr>
            <m:t>=</m:t>
          </m:r>
          <m:r>
            <m:t>H</m:t>
          </m:r>
          <m:r>
            <m:rPr>
              <m:sty m:val="p"/>
            </m:rPr>
            <m:t>}</m:t>
          </m:r>
          <m:r>
            <m:rPr>
              <m:sty m:val="p"/>
            </m:rPr>
            <m:t>−</m:t>
          </m:r>
          <m:r>
            <m:t>β</m:t>
          </m:r>
          <m:r>
            <m:rPr>
              <m:sty m:val="p"/>
            </m:rPr>
            <m:t>⋅</m:t>
          </m:r>
          <m:sSub>
            <m:e>
              <m:r>
                <m:t>σ</m:t>
              </m:r>
            </m:e>
            <m:sub>
              <m:r>
                <m:t>F</m:t>
              </m:r>
              <m:r>
                <m:t>X</m:t>
              </m:r>
              <m:r>
                <m:rPr>
                  <m:sty m:val="p"/>
                </m:rPr>
                <m:t>,</m:t>
              </m:r>
              <m:r>
                <m:t>n</m:t>
              </m:r>
            </m:sub>
          </m:sSub>
        </m:oMath>
      </m:oMathPara>
    </w:p>
    <w:p>
      <w:pPr>
        <w:pStyle w:val="FirstParagraph"/>
      </w:pPr>
      <w:r>
        <w:t xml:space="preserve">其中</w:t>
      </w:r>
      <w:r>
        <w:t xml:space="preserve"> </w:t>
      </w:r>
      <m:oMath>
        <m:sSub>
          <m:e>
            <m:r>
              <m:t>σ</m:t>
            </m:r>
          </m:e>
          <m:sub>
            <m:r>
              <m:t>F</m:t>
            </m:r>
            <m:r>
              <m:t>X</m:t>
            </m:r>
            <m:r>
              <m:rPr>
                <m:sty m:val="p"/>
              </m:rPr>
              <m:t>,</m:t>
            </m:r>
            <m:r>
              <m:t>n</m:t>
            </m:r>
          </m:sub>
        </m:sSub>
      </m:oMath>
      <w:r>
        <w:t xml:space="preserve"> </w:t>
      </w:r>
      <w:r>
        <w:t xml:space="preserve">为窗口</w:t>
      </w:r>
      <w:r>
        <w:t xml:space="preserve"> </w:t>
      </w:r>
      <m:oMath>
        <m:r>
          <m:t>n</m:t>
        </m:r>
      </m:oMath>
      <w:r>
        <w:t xml:space="preserve"> </w:t>
      </w:r>
      <w:r>
        <w:t xml:space="preserve">内 USD/CNY 即期汇率的滚动标准差（取值区间约</w:t>
      </w:r>
      <w:r>
        <w:t xml:space="preserve"> </w:t>
      </w:r>
      <m:oMath>
        <m:d>
          <m:dPr>
            <m:begChr m:val="["/>
            <m:endChr m:val="]"/>
            <m:sepChr m:val=""/>
            <m:grow/>
          </m:dPr>
          <m:e>
            <m:r>
              <m:t>0.01</m:t>
            </m:r>
            <m:r>
              <m:rPr>
                <m:sty m:val="p"/>
              </m:rPr>
              <m:t>,</m:t>
            </m:r>
            <m:r>
              <m:t>0.06</m:t>
            </m:r>
          </m:e>
        </m:d>
      </m:oMath>
      <w:r>
        <w:t xml:space="preserve">），</w:t>
      </w:r>
      <m:oMath>
        <m:r>
          <m:t>α</m:t>
        </m:r>
      </m:oMath>
      <w:r>
        <w:t xml:space="preserve"> </w:t>
      </w:r>
      <w:r>
        <w:t xml:space="preserve">和</w:t>
      </w:r>
      <w:r>
        <w:t xml:space="preserve"> </w:t>
      </w:r>
      <m:oMath>
        <m:r>
          <m:t>β</m:t>
        </m:r>
      </m:oMath>
      <w:r>
        <w:t xml:space="preserve"> </w:t>
      </w:r>
      <w:r>
        <w:t xml:space="preserve">分别衡量高油价区制本身及汇率波动对调价幅度的稀释效应。上述两系数的联合估计基于固定效应面板回归模型，以各省发改委公布的地柴调价幅度为被解释变量，同步纳入区间虚拟变量与交互项控制宏观经济周期影响。综合考虑行政调价的离散指令集特性与每 50 元/吨的最低调价门槛，最终调价额计算式为：</w:t>
      </w:r>
    </w:p>
    <w:p>
      <w:pPr>
        <w:pStyle w:val="BodyText"/>
      </w:pPr>
      <m:oMathPara>
        <m:oMathParaPr>
          <m:jc m:val="center"/>
        </m:oMathParaPr>
        <m:oMath>
          <m:r>
            <m:t>Δ</m:t>
          </m:r>
          <m:sSubSup>
            <m:e>
              <m:r>
                <m:t>P</m:t>
              </m:r>
            </m:e>
            <m:sub>
              <m:r>
                <m:t>n</m:t>
              </m:r>
            </m:sub>
            <m:sup>
              <m:r>
                <m:rPr>
                  <m:sty m:val="p"/>
                </m:rPr>
                <m:t>t</m:t>
              </m:r>
              <m:r>
                <m:rPr>
                  <m:sty m:val="p"/>
                </m:rPr>
                <m:t>h</m:t>
              </m:r>
              <m:r>
                <m:rPr>
                  <m:sty m:val="p"/>
                </m:rPr>
                <m:t>e</m:t>
              </m:r>
              <m:r>
                <m:rPr>
                  <m:sty m:val="p"/>
                </m:rPr>
                <m:t>o</m:t>
              </m:r>
            </m:sup>
          </m:sSubSup>
          <m:r>
            <m:rPr>
              <m:sty m:val="p"/>
            </m:rPr>
            <m:t>=</m:t>
          </m:r>
          <m:r>
            <m:t>50</m:t>
          </m:r>
          <m:r>
            <m:rPr>
              <m:sty m:val="p"/>
            </m:rPr>
            <m:t>×</m:t>
          </m:r>
          <m:r>
            <m:rPr>
              <m:sty m:val="p"/>
            </m:rPr>
            <m:t>round</m:t>
          </m:r>
          <m:r>
            <m:t>​</m:t>
          </m:r>
          <m:d>
            <m:dPr>
              <m:begChr m:val="("/>
              <m:endChr m:val=")"/>
              <m:sepChr m:val=""/>
              <m:grow/>
            </m:dPr>
            <m:e>
              <m:f>
                <m:fPr>
                  <m:type m:val="bar"/>
                </m:fPr>
                <m:num>
                  <m:d>
                    <m:dPr>
                      <m:begChr m:val="|"/>
                      <m:endChr m:val="|"/>
                      <m:sepChr m:val=""/>
                      <m:grow/>
                    </m:dPr>
                    <m:e>
                      <m:r>
                        <m:t>Δ</m:t>
                      </m:r>
                      <m:sSubSup>
                        <m:e>
                          <m:r>
                            <m:t>P</m:t>
                          </m:r>
                        </m:e>
                        <m:sub>
                          <m:r>
                            <m:t>n</m:t>
                          </m:r>
                        </m:sub>
                        <m:sup>
                          <m:r>
                            <m:rPr>
                              <m:sty m:val="p"/>
                            </m:rPr>
                            <m:t>b</m:t>
                          </m:r>
                          <m:r>
                            <m:rPr>
                              <m:sty m:val="p"/>
                            </m:rPr>
                            <m:t>a</m:t>
                          </m:r>
                          <m:r>
                            <m:rPr>
                              <m:sty m:val="p"/>
                            </m:rPr>
                            <m:t>s</m:t>
                          </m:r>
                          <m:r>
                            <m:rPr>
                              <m:sty m:val="p"/>
                            </m:rPr>
                            <m:t>e</m:t>
                          </m:r>
                        </m:sup>
                      </m:sSubSup>
                    </m:e>
                  </m:d>
                  <m:r>
                    <m:rPr>
                      <m:sty m:val="p"/>
                    </m:rPr>
                    <m:t>⋅</m:t>
                  </m:r>
                  <m:r>
                    <m:t>λ</m:t>
                  </m:r>
                  <m:d>
                    <m:dPr>
                      <m:begChr m:val="("/>
                      <m:endChr m:val=")"/>
                      <m:sepChr m:val=""/>
                      <m:grow/>
                    </m:dPr>
                    <m:e>
                      <m:sSub>
                        <m:e>
                          <m:r>
                            <m:t>Z</m:t>
                          </m:r>
                        </m:e>
                        <m:sub>
                          <m:r>
                            <m:t>n</m:t>
                          </m:r>
                        </m:sub>
                      </m:sSub>
                    </m:e>
                  </m:d>
                  <m:r>
                    <m:rPr>
                      <m:sty m:val="p"/>
                    </m:rPr>
                    <m:t>⋅</m:t>
                  </m:r>
                  <m:r>
                    <m:t>η</m:t>
                  </m:r>
                </m:num>
                <m:den>
                  <m:r>
                    <m:t>50</m:t>
                  </m:r>
                </m:den>
              </m:f>
            </m:e>
          </m:d>
          <m:r>
            <m:rPr>
              <m:sty m:val="p"/>
            </m:rPr>
            <m:t>⋅</m:t>
          </m:r>
          <m:r>
            <m:rPr>
              <m:sty m:val="p"/>
            </m:rPr>
            <m:t>sgn</m:t>
          </m:r>
          <m:d>
            <m:dPr>
              <m:begChr m:val="("/>
              <m:endChr m:val=")"/>
              <m:sepChr m:val=""/>
              <m:grow/>
            </m:dPr>
            <m:e>
              <m:r>
                <m:t>Δ</m:t>
              </m:r>
              <m:sSubSup>
                <m:e>
                  <m:r>
                    <m:t>P</m:t>
                  </m:r>
                </m:e>
                <m:sub>
                  <m:r>
                    <m:t>n</m:t>
                  </m:r>
                </m:sub>
                <m:sup>
                  <m:r>
                    <m:rPr>
                      <m:sty m:val="p"/>
                    </m:rPr>
                    <m:t>b</m:t>
                  </m:r>
                  <m:r>
                    <m:rPr>
                      <m:sty m:val="p"/>
                    </m:rPr>
                    <m:t>a</m:t>
                  </m:r>
                  <m:r>
                    <m:rPr>
                      <m:sty m:val="p"/>
                    </m:rPr>
                    <m:t>s</m:t>
                  </m:r>
                  <m:r>
                    <m:rPr>
                      <m:sty m:val="p"/>
                    </m:rPr>
                    <m:t>e</m:t>
                  </m:r>
                </m:sup>
              </m:sSubSup>
            </m:e>
          </m:d>
        </m:oMath>
      </m:oMathPara>
    </w:p>
    <w:p>
      <w:pPr>
        <w:pStyle w:val="FirstParagraph"/>
      </w:pPr>
      <w:r>
        <w:t xml:space="preserve">其中</w:t>
      </w:r>
      <w:r>
        <w:t xml:space="preserve"> </w:t>
      </w:r>
      <m:oMath>
        <m:r>
          <m:rPr>
            <m:sty m:val="p"/>
          </m:rPr>
          <m:t>round</m:t>
        </m:r>
        <m:d>
          <m:dPr>
            <m:begChr m:val="("/>
            <m:endChr m:val=")"/>
            <m:sepChr m:val=""/>
            <m:grow/>
          </m:dPr>
          <m:e>
            <m:r>
              <m:rPr>
                <m:sty m:val="p"/>
              </m:rPr>
              <m:t>⋅</m:t>
            </m:r>
          </m:e>
        </m:d>
      </m:oMath>
      <w:r>
        <w:t xml:space="preserve"> </w:t>
      </w:r>
      <w:r>
        <w:t xml:space="preserve">为标准四舍五入函数，</w:t>
      </w:r>
      <m:oMath>
        <m:r>
          <m:rPr>
            <m:sty m:val="p"/>
          </m:rPr>
          <m:t>sgn</m:t>
        </m:r>
        <m:d>
          <m:dPr>
            <m:begChr m:val="("/>
            <m:endChr m:val=")"/>
            <m:sepChr m:val=""/>
            <m:grow/>
          </m:dPr>
          <m:e>
            <m:r>
              <m:rPr>
                <m:sty m:val="p"/>
              </m:rPr>
              <m:t>⋅</m:t>
            </m:r>
          </m:e>
        </m:d>
      </m:oMath>
      <w:r>
        <w:t xml:space="preserve"> </w:t>
      </w:r>
      <w:r>
        <w:t xml:space="preserve">为符号函数。式 (7) 的整数约束天然嵌入了”低于 50 元/吨不调价”的政策规则——剩余未调整的差额自动累积至余额账户</w:t>
      </w:r>
      <w:r>
        <w:t xml:space="preserve"> </w:t>
      </w:r>
      <m:oMath>
        <m:sSub>
          <m:e>
            <m:r>
              <m:t>A</m:t>
            </m:r>
          </m:e>
          <m:sub>
            <m:r>
              <m:t>t</m:t>
            </m:r>
          </m:sub>
        </m:sSub>
      </m:oMath>
      <w:r>
        <w:t xml:space="preserve">，并在后续窗口通过累加冲抵机制释放。</w:t>
      </w:r>
    </w:p>
    <w:p>
      <w:pPr>
        <w:pStyle w:val="BodyText"/>
      </w:pPr>
      <w:r>
        <w:t xml:space="preserve">严格界定两类硬约束条件。当地板价触发条件</w:t>
      </w:r>
      <w:r>
        <w:t xml:space="preserve"> </w:t>
      </w:r>
      <m:oMath>
        <m:sSubSup>
          <m:e>
            <m:acc>
              <m:accPr>
                <m:chr m:val="‾"/>
              </m:accPr>
              <m:e>
                <m:r>
                  <m:t>P</m:t>
                </m:r>
              </m:e>
            </m:acc>
          </m:e>
          <m:sub>
            <m:r>
              <m:t>n</m:t>
            </m:r>
          </m:sub>
          <m:sup>
            <m:r>
              <m:rPr>
                <m:sty m:val="p"/>
              </m:rPr>
              <m:t>i</m:t>
            </m:r>
            <m:r>
              <m:rPr>
                <m:sty m:val="p"/>
              </m:rPr>
              <m:t>n</m:t>
            </m:r>
            <m:r>
              <m:rPr>
                <m:sty m:val="p"/>
              </m:rPr>
              <m:t>t</m:t>
            </m:r>
          </m:sup>
        </m:sSubSup>
        <m:r>
          <m:rPr>
            <m:sty m:val="p"/>
          </m:rPr>
          <m:t>&lt;</m:t>
        </m:r>
        <m:r>
          <m:t>40</m:t>
        </m:r>
      </m:oMath>
      <w:r>
        <w:t xml:space="preserve"> </w:t>
      </w:r>
      <w:r>
        <w:t xml:space="preserve">美元/桶成立时，无论</w:t>
      </w:r>
      <w:r>
        <w:t xml:space="preserve"> </w:t>
      </w:r>
      <m:oMath>
        <m:r>
          <m:t>Δ</m:t>
        </m:r>
        <m:sSubSup>
          <m:e>
            <m:r>
              <m:t>P</m:t>
            </m:r>
          </m:e>
          <m:sub>
            <m:r>
              <m:t>n</m:t>
            </m:r>
          </m:sub>
          <m:sup>
            <m:r>
              <m:rPr>
                <m:sty m:val="p"/>
              </m:rPr>
              <m:t>t</m:t>
            </m:r>
            <m:r>
              <m:rPr>
                <m:sty m:val="p"/>
              </m:rPr>
              <m:t>h</m:t>
            </m:r>
            <m:r>
              <m:rPr>
                <m:sty m:val="p"/>
              </m:rPr>
              <m:t>e</m:t>
            </m:r>
            <m:r>
              <m:rPr>
                <m:sty m:val="p"/>
              </m:rPr>
              <m:t>o</m:t>
            </m:r>
          </m:sup>
        </m:sSubSup>
      </m:oMath>
      <w:r>
        <w:t xml:space="preserve"> </w:t>
      </w:r>
      <w:r>
        <w:t xml:space="preserve">计算结果为正或负，均强制归零，即</w:t>
      </w:r>
      <w:r>
        <w:t xml:space="preserve"> </w:t>
      </w:r>
      <m:oMath>
        <m:r>
          <m:t>Δ</m:t>
        </m:r>
        <m:sSubSup>
          <m:e>
            <m:r>
              <m:t>P</m:t>
            </m:r>
          </m:e>
          <m:sub>
            <m:r>
              <m:t>n</m:t>
            </m:r>
          </m:sub>
          <m:sup>
            <m:r>
              <m:rPr>
                <m:sty m:val="p"/>
              </m:rPr>
              <m:t>f</m:t>
            </m:r>
            <m:r>
              <m:rPr>
                <m:sty m:val="p"/>
              </m:rPr>
              <m:t>l</m:t>
            </m:r>
            <m:r>
              <m:rPr>
                <m:sty m:val="p"/>
              </m:rPr>
              <m:t>o</m:t>
            </m:r>
            <m:r>
              <m:rPr>
                <m:sty m:val="p"/>
              </m:rPr>
              <m:t>o</m:t>
            </m:r>
            <m:r>
              <m:rPr>
                <m:sty m:val="p"/>
              </m:rPr>
              <m:t>r</m:t>
            </m:r>
          </m:sup>
        </m:sSubSup>
        <m:r>
          <m:rPr>
            <m:sty m:val="p"/>
          </m:rPr>
          <m:t>=</m:t>
        </m:r>
        <m:r>
          <m:t>0</m:t>
        </m:r>
      </m:oMath>
      <w:r>
        <w:t xml:space="preserve">，未释放的降价额度计入累计余额</w:t>
      </w:r>
      <w:r>
        <w:t xml:space="preserve"> </w:t>
      </w:r>
      <m:oMath>
        <m:sSub>
          <m:e>
            <m:r>
              <m:t>A</m:t>
            </m:r>
          </m:e>
          <m:sub>
            <m:r>
              <m:t>t</m:t>
            </m:r>
            <m:r>
              <m:rPr>
                <m:sty m:val="p"/>
              </m:rPr>
              <m:t>+</m:t>
            </m:r>
            <m:r>
              <m:t>1</m:t>
            </m:r>
          </m:sub>
        </m:sSub>
        <m:r>
          <m:rPr>
            <m:sty m:val="p"/>
          </m:rPr>
          <m:t>=</m:t>
        </m:r>
        <m:sSub>
          <m:e>
            <m:r>
              <m:t>A</m:t>
            </m:r>
          </m:e>
          <m:sub>
            <m:r>
              <m:t>t</m:t>
            </m:r>
          </m:sub>
        </m:sSub>
        <m:r>
          <m:rPr>
            <m:sty m:val="p"/>
          </m:rPr>
          <m:t>+</m:t>
        </m:r>
        <m:d>
          <m:dPr>
            <m:begChr m:val="|"/>
            <m:endChr m:val="|"/>
            <m:sepChr m:val=""/>
            <m:grow/>
          </m:dPr>
          <m:e>
            <m:r>
              <m:t>Δ</m:t>
            </m:r>
            <m:sSubSup>
              <m:e>
                <m:r>
                  <m:t>P</m:t>
                </m:r>
              </m:e>
              <m:sub>
                <m:r>
                  <m:t>n</m:t>
                </m:r>
              </m:sub>
              <m:sup>
                <m:r>
                  <m:rPr>
                    <m:sty m:val="p"/>
                  </m:rPr>
                  <m:t>b</m:t>
                </m:r>
                <m:r>
                  <m:rPr>
                    <m:sty m:val="p"/>
                  </m:rPr>
                  <m:t>a</m:t>
                </m:r>
                <m:r>
                  <m:rPr>
                    <m:sty m:val="p"/>
                  </m:rPr>
                  <m:t>s</m:t>
                </m:r>
                <m:r>
                  <m:rPr>
                    <m:sty m:val="p"/>
                  </m:rPr>
                  <m:t>e</m:t>
                </m:r>
              </m:sup>
            </m:sSubSup>
          </m:e>
        </m:d>
      </m:oMath>
      <w:r>
        <w:t xml:space="preserve">，待后续油价回升且余额账户积累至足够规模后一次性释放。类似地，当天花板价条件</w:t>
      </w:r>
      <w:r>
        <w:t xml:space="preserve"> </w:t>
      </w:r>
      <m:oMath>
        <m:sSubSup>
          <m:e>
            <m:acc>
              <m:accPr>
                <m:chr m:val="‾"/>
              </m:accPr>
              <m:e>
                <m:r>
                  <m:t>P</m:t>
                </m:r>
              </m:e>
            </m:acc>
          </m:e>
          <m:sub>
            <m:r>
              <m:t>n</m:t>
            </m:r>
          </m:sub>
          <m:sup>
            <m:r>
              <m:rPr>
                <m:sty m:val="p"/>
              </m:rPr>
              <m:t>i</m:t>
            </m:r>
            <m:r>
              <m:rPr>
                <m:sty m:val="p"/>
              </m:rPr>
              <m:t>n</m:t>
            </m:r>
            <m:r>
              <m:rPr>
                <m:sty m:val="p"/>
              </m:rPr>
              <m:t>t</m:t>
            </m:r>
          </m:sup>
        </m:sSubSup>
        <m:r>
          <m:rPr>
            <m:sty m:val="p"/>
          </m:rPr>
          <m:t>&gt;</m:t>
        </m:r>
        <m:r>
          <m:t>130</m:t>
        </m:r>
      </m:oMath>
      <w:r>
        <w:t xml:space="preserve"> </w:t>
      </w:r>
      <w:r>
        <w:t xml:space="preserve">美元/桶启动时，调价幅度被截断为原计算值的上限比例，实验取截断系数</w:t>
      </w:r>
      <w:r>
        <w:t xml:space="preserve"> </w:t>
      </w:r>
      <m:oMath>
        <m:r>
          <m:t>κ</m:t>
        </m:r>
        <m:r>
          <m:rPr>
            <m:sty m:val="p"/>
          </m:rPr>
          <m:t>=</m:t>
        </m:r>
        <m:r>
          <m:t>0.5</m:t>
        </m:r>
      </m:oMath>
      <w:r>
        <w:t xml:space="preserve">。以 2020 年 3 月国际油价暴跌为例，地板价机制使当月理论调价归零，未释放的降价空间累计至余额账户，并在随后反弹期中通过累积余额阈值触发实现”削峰填谷”效果，有效平抑了终端价格的剧烈波动并防范了炼油企业的系统性亏损风险。</w:t>
      </w:r>
    </w:p>
    <w:p>
      <w:pPr>
        <w:pStyle w:val="BodyText"/>
      </w:pPr>
      <w:r>
        <w:t xml:space="preserve">为从连续动态优化解导出可操作的离散政策规则库，设计了如下启发式阈值映射算法（见算法 1）。该算法的核心思想是：将连续的福利损失梯度场转化为有限条目的专家规则集合，从而在保证近似最优性的前提下满足行政决策的操作便利性要求。</w:t>
      </w:r>
    </w:p>
    <w:p>
      <w:pPr>
        <w:pStyle w:val="BodyText"/>
      </w:pPr>
      <w:r>
        <w:rPr>
          <w:bCs/>
          <w:b/>
        </w:rPr>
        <w:t xml:space="preserve">算法 1</w:t>
      </w:r>
      <w:r>
        <w:t xml:space="preserve">（启发式阈值映射算法）输入：连续优化得到的目标函数梯度序列</w:t>
      </w:r>
      <w:r>
        <w:t xml:space="preserve"> </w:t>
      </w:r>
      <m:oMath>
        <m:r>
          <m:rPr>
            <m:sty m:val="p"/>
          </m:rPr>
          <m:t>{</m:t>
        </m:r>
        <m:r>
          <m:rPr>
            <m:sty m:val="p"/>
          </m:rPr>
          <m:t>∂</m:t>
        </m:r>
        <m:r>
          <m:rPr>
            <m:sty m:val="p"/>
            <m:scr m:val="script"/>
          </m:rPr>
          <m:t>L</m:t>
        </m:r>
        <m:r>
          <m:rPr>
            <m:sty m:val="p"/>
          </m:rPr>
          <m:t>/</m:t>
        </m:r>
        <m:r>
          <m:rPr>
            <m:sty m:val="p"/>
          </m:rPr>
          <m:t>∂</m:t>
        </m:r>
        <m:r>
          <m:t>Δ</m:t>
        </m:r>
        <m:sSubSup>
          <m:e>
            <m:r>
              <m:t>P</m:t>
            </m:r>
          </m:e>
          <m:sub>
            <m:r>
              <m:t>n</m:t>
            </m:r>
          </m:sub>
          <m:sup>
            <m:r>
              <m:rPr>
                <m:sty m:val="p"/>
              </m:rPr>
              <m:t>t</m:t>
            </m:r>
            <m:r>
              <m:rPr>
                <m:sty m:val="p"/>
              </m:rPr>
              <m:t>h</m:t>
            </m:r>
            <m:r>
              <m:rPr>
                <m:sty m:val="p"/>
              </m:rPr>
              <m:t>e</m:t>
            </m:r>
            <m:r>
              <m:rPr>
                <m:sty m:val="p"/>
              </m:rPr>
              <m:t>o</m:t>
            </m:r>
          </m:sup>
        </m:sSubSup>
        <m:sSubSup>
          <m:e>
            <m:r>
              <m:rPr>
                <m:sty m:val="p"/>
              </m:rPr>
              <m:t>}</m:t>
            </m:r>
          </m:e>
          <m:sub>
            <m:r>
              <m:t>n</m:t>
            </m:r>
            <m:r>
              <m:rPr>
                <m:sty m:val="p"/>
              </m:rPr>
              <m:t>=</m:t>
            </m:r>
            <m:r>
              <m:t>1</m:t>
            </m:r>
          </m:sub>
          <m:sup>
            <m:r>
              <m:t>T</m:t>
            </m:r>
          </m:sup>
        </m:sSubSup>
      </m:oMath>
      <w:r>
        <w:t xml:space="preserve">、历史区制轨迹</w:t>
      </w:r>
      <w:r>
        <w:t xml:space="preserve"> </w:t>
      </w:r>
      <m:oMath>
        <m:r>
          <m:rPr>
            <m:sty m:val="p"/>
          </m:rPr>
          <m:t>{</m:t>
        </m:r>
        <m:sSub>
          <m:e>
            <m:r>
              <m:t>Z</m:t>
            </m:r>
          </m:e>
          <m:sub>
            <m:r>
              <m:t>n</m:t>
            </m:r>
          </m:sub>
        </m:sSub>
        <m:sSubSup>
          <m:e>
            <m:r>
              <m:rPr>
                <m:sty m:val="p"/>
              </m:rPr>
              <m:t>}</m:t>
            </m:r>
          </m:e>
          <m:sub>
            <m:r>
              <m:t>n</m:t>
            </m:r>
            <m:r>
              <m:rPr>
                <m:sty m:val="p"/>
              </m:rPr>
              <m:t>=</m:t>
            </m:r>
            <m:r>
              <m:t>1</m:t>
            </m:r>
          </m:sub>
          <m:sup>
            <m:r>
              <m:t>T</m:t>
            </m:r>
          </m:sup>
        </m:sSubSup>
      </m:oMath>
      <w:r>
        <w:t xml:space="preserve">、平衡样本分位数阈值</w:t>
      </w:r>
      <w:r>
        <w:t xml:space="preserve"> </w:t>
      </w:r>
      <m:oMath>
        <m:r>
          <m:rPr>
            <m:sty m:val="p"/>
          </m:rPr>
          <m:t>{</m:t>
        </m:r>
        <m:sSub>
          <m:e>
            <m:r>
              <m:t>q</m:t>
            </m:r>
          </m:e>
          <m:sub>
            <m:r>
              <m:t>0.15</m:t>
            </m:r>
          </m:sub>
        </m:sSub>
        <m:r>
          <m:rPr>
            <m:sty m:val="p"/>
          </m:rPr>
          <m:t>,</m:t>
        </m:r>
        <m:sSub>
          <m:e>
            <m:r>
              <m:t>q</m:t>
            </m:r>
          </m:e>
          <m:sub>
            <m:r>
              <m:t>0.50</m:t>
            </m:r>
          </m:sub>
        </m:sSub>
        <m:r>
          <m:rPr>
            <m:sty m:val="p"/>
          </m:rPr>
          <m:t>,</m:t>
        </m:r>
        <m:sSub>
          <m:e>
            <m:r>
              <m:t>q</m:t>
            </m:r>
          </m:e>
          <m:sub>
            <m:r>
              <m:t>0.85</m:t>
            </m:r>
          </m:sub>
        </m:sSub>
        <m:r>
          <m:rPr>
            <m:sty m:val="p"/>
          </m:rPr>
          <m:t>}</m:t>
        </m:r>
      </m:oMath>
      <w:r>
        <w:t xml:space="preserve">。输出：离散政策规则库</w:t>
      </w:r>
      <w:r>
        <w:t xml:space="preserve"> </w:t>
      </w:r>
      <m:oMath>
        <m:r>
          <m:rPr>
            <m:sty m:val="p"/>
            <m:scr m:val="script"/>
          </m:rPr>
          <m:t>R</m:t>
        </m:r>
        <m:r>
          <m:rPr>
            <m:sty m:val="p"/>
          </m:rPr>
          <m:t>=</m:t>
        </m:r>
        <m:r>
          <m:rPr>
            <m:sty m:val="p"/>
          </m:rPr>
          <m:t>{</m:t>
        </m:r>
        <m:sSub>
          <m:e>
            <m:r>
              <m:t>r</m:t>
            </m:r>
          </m:e>
          <m:sub>
            <m:r>
              <m:t>1</m:t>
            </m:r>
          </m:sub>
        </m:sSub>
        <m:r>
          <m:rPr>
            <m:sty m:val="p"/>
          </m:rPr>
          <m:t>,</m:t>
        </m:r>
        <m:sSub>
          <m:e>
            <m:r>
              <m:t>r</m:t>
            </m:r>
          </m:e>
          <m:sub>
            <m:r>
              <m:t>2</m:t>
            </m:r>
          </m:sub>
        </m:sSub>
        <m:r>
          <m:rPr>
            <m:sty m:val="p"/>
          </m:rPr>
          <m:t>,</m:t>
        </m:r>
        <m:sSub>
          <m:e>
            <m:r>
              <m:t>r</m:t>
            </m:r>
          </m:e>
          <m:sub>
            <m:r>
              <m:t>3</m:t>
            </m:r>
          </m:sub>
        </m:sSub>
        <m:r>
          <m:rPr>
            <m:sty m:val="p"/>
          </m:rPr>
          <m:t>}</m:t>
        </m:r>
      </m:oMath>
      <w:r>
        <w:t xml:space="preserve">。</w:t>
      </w:r>
    </w:p>
    <w:p>
      <w:pPr>
        <w:pStyle w:val="BodyText"/>
      </w:pPr>
      <w:r>
        <w:t xml:space="preserve">步骤 1：按当前油价</w:t>
      </w:r>
      <w:r>
        <w:t xml:space="preserve"> </w:t>
      </w:r>
      <m:oMath>
        <m:sSubSup>
          <m:e>
            <m:acc>
              <m:accPr>
                <m:chr m:val="‾"/>
              </m:accPr>
              <m:e>
                <m:r>
                  <m:t>P</m:t>
                </m:r>
              </m:e>
            </m:acc>
          </m:e>
          <m:sub>
            <m:r>
              <m:t>n</m:t>
            </m:r>
          </m:sub>
          <m:sup>
            <m:r>
              <m:rPr>
                <m:sty m:val="p"/>
              </m:rPr>
              <m:t>i</m:t>
            </m:r>
            <m:r>
              <m:rPr>
                <m:sty m:val="p"/>
              </m:rPr>
              <m:t>n</m:t>
            </m:r>
            <m:r>
              <m:rPr>
                <m:sty m:val="p"/>
              </m:rPr>
              <m:t>t</m:t>
            </m:r>
          </m:sup>
        </m:sSubSup>
      </m:oMath>
      <w:r>
        <w:t xml:space="preserve"> </w:t>
      </w:r>
      <w:r>
        <w:t xml:space="preserve">与汇率波动率</w:t>
      </w:r>
      <w:r>
        <w:t xml:space="preserve"> </w:t>
      </w:r>
      <m:oMath>
        <m:sSub>
          <m:e>
            <m:r>
              <m:t>σ</m:t>
            </m:r>
          </m:e>
          <m:sub>
            <m:r>
              <m:t>F</m:t>
            </m:r>
            <m:r>
              <m:t>X</m:t>
            </m:r>
            <m:r>
              <m:rPr>
                <m:sty m:val="p"/>
              </m:rPr>
              <m:t>,</m:t>
            </m:r>
            <m:r>
              <m:t>n</m:t>
            </m:r>
          </m:sub>
        </m:sSub>
      </m:oMath>
      <w:r>
        <w:t xml:space="preserve"> </w:t>
      </w:r>
      <w:r>
        <w:t xml:space="preserve">的联合分布，利用</w:t>
      </w:r>
      <w:r>
        <w:t xml:space="preserve"> </w:t>
      </w:r>
      <m:oMath>
        <m:r>
          <m:t>k</m:t>
        </m:r>
      </m:oMath>
      <w:r>
        <w:t xml:space="preserve">-means 聚类将样本空间划分为三个区域</w:t>
      </w:r>
      <w:r>
        <w:t xml:space="preserve"> </w:t>
      </w:r>
      <m:oMath>
        <m:sSub>
          <m:e>
            <m:r>
              <m:rPr>
                <m:sty m:val="p"/>
                <m:scr m:val="script"/>
              </m:rPr>
              <m:t>S</m:t>
            </m:r>
          </m:e>
          <m:sub>
            <m:r>
              <m:t>1</m:t>
            </m:r>
          </m:sub>
        </m:sSub>
        <m:r>
          <m:rPr>
            <m:sty m:val="p"/>
          </m:rPr>
          <m:t>,</m:t>
        </m:r>
        <m:sSub>
          <m:e>
            <m:r>
              <m:rPr>
                <m:sty m:val="p"/>
                <m:scr m:val="script"/>
              </m:rPr>
              <m:t>S</m:t>
            </m:r>
          </m:e>
          <m:sub>
            <m:r>
              <m:t>2</m:t>
            </m:r>
          </m:sub>
        </m:sSub>
        <m:r>
          <m:rPr>
            <m:sty m:val="p"/>
          </m:rPr>
          <m:t>,</m:t>
        </m:r>
        <m:sSub>
          <m:e>
            <m:r>
              <m:rPr>
                <m:sty m:val="p"/>
                <m:scr m:val="script"/>
              </m:rPr>
              <m:t>S</m:t>
            </m:r>
          </m:e>
          <m:sub>
            <m:r>
              <m:t>3</m:t>
            </m:r>
          </m:sub>
        </m:sSub>
      </m:oMath>
      <w:r>
        <w:t xml:space="preserve">，对应高干预、中度干预与自由浮动三种治理模式。</w:t>
      </w:r>
    </w:p>
    <w:p>
      <w:pPr>
        <w:pStyle w:val="BodyText"/>
      </w:pPr>
      <w:r>
        <w:t xml:space="preserve">步骤 2：在每个区域内计算福利损失梯度的条件期望</w:t>
      </w:r>
      <w:r>
        <w:t xml:space="preserve"> </w:t>
      </w:r>
      <m:oMath>
        <m:sSub>
          <m:e>
            <m:acc>
              <m:accPr>
                <m:chr m:val="‾"/>
              </m:accPr>
              <m:e>
                <m:r>
                  <m:t>g</m:t>
                </m:r>
              </m:e>
            </m:acc>
          </m:e>
          <m:sub>
            <m:r>
              <m:t>j</m:t>
            </m:r>
          </m:sub>
        </m:sSub>
        <m:r>
          <m:rPr>
            <m:sty m:val="p"/>
          </m:rPr>
          <m:t>=</m:t>
        </m:r>
        <m:r>
          <m:rPr>
            <m:sty m:val="p"/>
            <m:scr m:val="double-struck"/>
          </m:rPr>
          <m:t>E</m:t>
        </m:r>
        <m:d>
          <m:dPr>
            <m:begChr m:val="["/>
            <m:endChr m:val="]"/>
            <m:sepChr m:val=""/>
            <m:grow/>
          </m:dPr>
          <m:e>
            <m:r>
              <m:rPr>
                <m:sty m:val="p"/>
              </m:rPr>
              <m:t>∂</m:t>
            </m:r>
            <m:r>
              <m:rPr>
                <m:sty m:val="p"/>
                <m:scr m:val="script"/>
              </m:rPr>
              <m:t>L</m:t>
            </m:r>
            <m:r>
              <m:rPr>
                <m:sty m:val="p"/>
              </m:rPr>
              <m:t>/</m:t>
            </m:r>
            <m:r>
              <m:rPr>
                <m:sty m:val="p"/>
              </m:rPr>
              <m:t>∂</m:t>
            </m:r>
            <m:r>
              <m:t>Δ</m:t>
            </m:r>
            <m:sSubSup>
              <m:e>
                <m:r>
                  <m:t>P</m:t>
                </m:r>
              </m:e>
              <m:sub>
                <m:r>
                  <m:t>n</m:t>
                </m:r>
              </m:sub>
              <m:sup>
                <m:r>
                  <m:rPr>
                    <m:sty m:val="p"/>
                  </m:rPr>
                  <m:t>t</m:t>
                </m:r>
                <m:r>
                  <m:rPr>
                    <m:sty m:val="p"/>
                  </m:rPr>
                  <m:t>h</m:t>
                </m:r>
                <m:r>
                  <m:rPr>
                    <m:sty m:val="p"/>
                  </m:rPr>
                  <m:t>e</m:t>
                </m:r>
                <m:r>
                  <m:rPr>
                    <m:sty m:val="p"/>
                  </m:rPr>
                  <m:t>o</m:t>
                </m:r>
              </m:sup>
            </m:sSubSup>
            <m:r>
              <m:rPr>
                <m:sty m:val="p"/>
              </m:rPr>
              <m:t>∣</m:t>
            </m:r>
            <m:d>
              <m:dPr>
                <m:begChr m:val="("/>
                <m:endChr m:val=")"/>
                <m:sepChr m:val=""/>
                <m:grow/>
              </m:dPr>
              <m:e>
                <m:sSubSup>
                  <m:e>
                    <m:acc>
                      <m:accPr>
                        <m:chr m:val="‾"/>
                      </m:accPr>
                      <m:e>
                        <m:r>
                          <m:t>P</m:t>
                        </m:r>
                      </m:e>
                    </m:acc>
                  </m:e>
                  <m:sub>
                    <m:r>
                      <m:t>n</m:t>
                    </m:r>
                  </m:sub>
                  <m:sup>
                    <m:r>
                      <m:rPr>
                        <m:sty m:val="p"/>
                      </m:rPr>
                      <m:t>i</m:t>
                    </m:r>
                    <m:r>
                      <m:rPr>
                        <m:sty m:val="p"/>
                      </m:rPr>
                      <m:t>n</m:t>
                    </m:r>
                    <m:r>
                      <m:rPr>
                        <m:sty m:val="p"/>
                      </m:rPr>
                      <m:t>t</m:t>
                    </m:r>
                  </m:sup>
                </m:sSubSup>
                <m:r>
                  <m:rPr>
                    <m:sty m:val="p"/>
                  </m:rPr>
                  <m:t>,</m:t>
                </m:r>
                <m:sSub>
                  <m:e>
                    <m:r>
                      <m:t>σ</m:t>
                    </m:r>
                  </m:e>
                  <m:sub>
                    <m:r>
                      <m:t>F</m:t>
                    </m:r>
                    <m:r>
                      <m:t>X</m:t>
                    </m:r>
                    <m:r>
                      <m:rPr>
                        <m:sty m:val="p"/>
                      </m:rPr>
                      <m:t>,</m:t>
                    </m:r>
                    <m:r>
                      <m:t>n</m:t>
                    </m:r>
                  </m:sub>
                </m:sSub>
              </m:e>
            </m:d>
            <m:r>
              <m:rPr>
                <m:sty m:val="p"/>
              </m:rPr>
              <m:t>∈</m:t>
            </m:r>
            <m:sSub>
              <m:e>
                <m:r>
                  <m:rPr>
                    <m:sty m:val="p"/>
                    <m:scr m:val="script"/>
                  </m:rPr>
                  <m:t>S</m:t>
                </m:r>
              </m:e>
              <m:sub>
                <m:r>
                  <m:t>j</m:t>
                </m:r>
              </m:sub>
            </m:sSub>
          </m:e>
        </m:d>
      </m:oMath>
      <w:r>
        <w:t xml:space="preserve">，并据此确定最优的折减系数代理值</w:t>
      </w:r>
      <w:r>
        <w:t xml:space="preserve"> </w:t>
      </w:r>
      <m:oMath>
        <m:sSub>
          <m:e>
            <m:acc>
              <m:accPr>
                <m:chr m:val="̂"/>
              </m:accPr>
              <m:e>
                <m:r>
                  <m:t>λ</m:t>
                </m:r>
              </m:e>
            </m:acc>
          </m:e>
          <m:sub>
            <m:r>
              <m:t>j</m:t>
            </m:r>
          </m:sub>
        </m:sSub>
        <m:r>
          <m:rPr>
            <m:sty m:val="p"/>
          </m:rPr>
          <m:t>=</m:t>
        </m:r>
        <m:r>
          <m:rPr>
            <m:sty m:val="p"/>
          </m:rPr>
          <m:t>arg</m:t>
        </m:r>
        <m:sSub>
          <m:e>
            <m:r>
              <m:rPr>
                <m:sty m:val="p"/>
              </m:rPr>
              <m:t>min</m:t>
            </m:r>
          </m:e>
          <m:sub>
            <m:r>
              <m:t>λ</m:t>
            </m:r>
          </m:sub>
        </m:sSub>
        <m:r>
          <m:rPr>
            <m:sty m:val="p"/>
            <m:scr m:val="script"/>
          </m:rPr>
          <m:t>L</m:t>
        </m:r>
        <m:sSub>
          <m:e>
            <m:r>
              <m:rPr>
                <m:sty m:val="p"/>
              </m:rPr>
              <m:t>|</m:t>
            </m:r>
          </m:e>
          <m:sub>
            <m:r>
              <m:t>λ</m:t>
            </m:r>
          </m:sub>
        </m:sSub>
      </m:oMath>
      <w:r>
        <w:t xml:space="preserve">，其中极小化在一维网格</w:t>
      </w:r>
      <w:r>
        <w:t xml:space="preserve"> </w:t>
      </w:r>
      <m:oMath>
        <m:r>
          <m:rPr>
            <m:sty m:val="p"/>
          </m:rPr>
          <m:t>{</m:t>
        </m:r>
        <m:r>
          <m:t>0.30</m:t>
        </m:r>
        <m:r>
          <m:rPr>
            <m:sty m:val="p"/>
          </m:rPr>
          <m:t>,</m:t>
        </m:r>
        <m:r>
          <m:t>0.40</m:t>
        </m:r>
        <m:r>
          <m:rPr>
            <m:sty m:val="p"/>
          </m:rPr>
          <m:t>,</m:t>
        </m:r>
        <m:r>
          <m:rPr>
            <m:sty m:val="p"/>
          </m:rPr>
          <m:t>⋯</m:t>
        </m:r>
        <m:r>
          <m:rPr>
            <m:sty m:val="p"/>
          </m:rPr>
          <m:t>,</m:t>
        </m:r>
        <m:r>
          <m:t>0.95</m:t>
        </m:r>
        <m:r>
          <m:rPr>
            <m:sty m:val="p"/>
          </m:rPr>
          <m:t>}</m:t>
        </m:r>
      </m:oMath>
      <w:r>
        <w:t xml:space="preserve"> </w:t>
      </w:r>
      <w:r>
        <w:t xml:space="preserve">上完成。</w:t>
      </w:r>
    </w:p>
    <w:bookmarkEnd w:id="25"/>
    <w:bookmarkStart w:id="26" w:name="六模型的求解"/>
    <w:p>
      <w:pPr>
        <w:pStyle w:val="Heading2"/>
      </w:pPr>
      <w:r>
        <w:t xml:space="preserve">六、模型的求解</w:t>
      </w:r>
    </w:p>
    <w:p>
      <w:pPr>
        <w:pStyle w:val="FirstParagraph"/>
      </w:pPr>
      <w:r>
        <w:t xml:space="preserve">分段加权模拟算法严格遵循“周期均价滑动窗口计算→区制阈值动态匹配与边界截断→残差累积突破判定与清零”的三阶递推逻辑。设调价周期步长为10个交易日，第</w:t>
      </w:r>
      <m:oMath>
        <m:r>
          <m:t>k</m:t>
        </m:r>
      </m:oMath>
      <w:r>
        <w:t xml:space="preserve">期窗口内国际原油到岸均价为</w:t>
      </w:r>
      <m:oMath>
        <m:sSub>
          <m:e>
            <m:acc>
              <m:accPr>
                <m:chr m:val="‾"/>
              </m:accPr>
              <m:e>
                <m:r>
                  <m:t>P</m:t>
                </m:r>
              </m:e>
            </m:acc>
          </m:e>
          <m:sub>
            <m:r>
              <m:t>k</m:t>
            </m:r>
          </m:sub>
        </m:sSub>
        <m:r>
          <m:rPr>
            <m:sty m:val="p"/>
          </m:rPr>
          <m:t>=</m:t>
        </m:r>
        <m:f>
          <m:fPr>
            <m:type m:val="bar"/>
          </m:fPr>
          <m:num>
            <m:r>
              <m:t>1</m:t>
            </m:r>
          </m:num>
          <m:den>
            <m:r>
              <m:t>10</m:t>
            </m:r>
          </m:den>
        </m:f>
        <m:nary>
          <m:naryPr>
            <m:chr m:val="∑"/>
            <m:limLoc m:val="undOvr"/>
            <m:subHide m:val="off"/>
            <m:supHide m:val="off"/>
          </m:naryPr>
          <m:sub>
            <m:r>
              <m:t>i</m:t>
            </m:r>
            <m:r>
              <m:rPr>
                <m:sty m:val="p"/>
              </m:rPr>
              <m:t>=</m:t>
            </m:r>
            <m:r>
              <m:t>1</m:t>
            </m:r>
          </m:sub>
          <m:sup>
            <m:r>
              <m:t>10</m:t>
            </m:r>
          </m:sup>
          <m:e>
            <m:sSub>
              <m:e>
                <m:r>
                  <m:t>P</m:t>
                </m:r>
              </m:e>
              <m:sub>
                <m:r>
                  <m:t>k</m:t>
                </m:r>
                <m:r>
                  <m:rPr>
                    <m:sty m:val="p"/>
                  </m:rPr>
                  <m:t>,</m:t>
                </m:r>
                <m:r>
                  <m:t>i</m:t>
                </m:r>
              </m:sub>
            </m:sSub>
          </m:e>
        </m:nary>
      </m:oMath>
      <w:r>
        <w:t xml:space="preserve">，其相对上一周期的变动差值定义为</w:t>
      </w:r>
      <m:oMath>
        <m:r>
          <m:t>Δ</m:t>
        </m:r>
        <m:sSub>
          <m:e>
            <m:acc>
              <m:accPr>
                <m:chr m:val="‾"/>
              </m:accPr>
              <m:e>
                <m:r>
                  <m:t>P</m:t>
                </m:r>
              </m:e>
            </m:acc>
          </m:e>
          <m:sub>
            <m:r>
              <m:t>k</m:t>
            </m:r>
          </m:sub>
        </m:sSub>
        <m:r>
          <m:rPr>
            <m:sty m:val="p"/>
          </m:rPr>
          <m:t>=</m:t>
        </m:r>
        <m:sSub>
          <m:e>
            <m:acc>
              <m:accPr>
                <m:chr m:val="‾"/>
              </m:accPr>
              <m:e>
                <m:r>
                  <m:t>P</m:t>
                </m:r>
              </m:e>
            </m:acc>
          </m:e>
          <m:sub>
            <m:r>
              <m:t>k</m:t>
            </m:r>
          </m:sub>
        </m:sSub>
        <m:r>
          <m:rPr>
            <m:sty m:val="p"/>
          </m:rPr>
          <m:t>−</m:t>
        </m:r>
        <m:sSub>
          <m:e>
            <m:acc>
              <m:accPr>
                <m:chr m:val="‾"/>
              </m:accPr>
              <m:e>
                <m:r>
                  <m:t>P</m:t>
                </m:r>
              </m:e>
            </m:acc>
          </m:e>
          <m:sub>
            <m:r>
              <m:t>k</m:t>
            </m:r>
            <m:r>
              <m:rPr>
                <m:sty m:val="p"/>
              </m:rPr>
              <m:t>−</m:t>
            </m:r>
            <m:r>
              <m:t>1</m:t>
            </m:r>
          </m:sub>
        </m:sSub>
      </m:oMath>
      <w:r>
        <w:t xml:space="preserve">。为刻画不同油价区制下的非对称传导摩擦，引入状态依赖的弹性系数</w:t>
      </w:r>
      <m:oMath>
        <m:r>
          <m:t>λ</m:t>
        </m:r>
        <m:d>
          <m:dPr>
            <m:begChr m:val="("/>
            <m:endChr m:val=")"/>
            <m:sepChr m:val=""/>
            <m:grow/>
          </m:dPr>
          <m:e>
            <m:sSub>
              <m:e>
                <m:r>
                  <m:t>Z</m:t>
                </m:r>
              </m:e>
              <m:sub>
                <m:r>
                  <m:t>k</m:t>
                </m:r>
              </m:sub>
            </m:sSub>
          </m:e>
        </m:d>
      </m:oMath>
      <w:r>
        <w:t xml:space="preserve">，其中</w:t>
      </w:r>
      <m:oMath>
        <m:sSub>
          <m:e>
            <m:r>
              <m:t>Z</m:t>
            </m:r>
          </m:e>
          <m:sub>
            <m:r>
              <m:t>k</m:t>
            </m:r>
          </m:sub>
        </m:sSub>
        <m:r>
          <m:rPr>
            <m:sty m:val="p"/>
          </m:rPr>
          <m:t>∈</m:t>
        </m:r>
        <m:r>
          <m:rPr>
            <m:sty m:val="p"/>
          </m:rPr>
          <m:t>{</m:t>
        </m:r>
        <m:r>
          <m:t>L</m:t>
        </m:r>
        <m:r>
          <m:rPr>
            <m:sty m:val="p"/>
          </m:rPr>
          <m:t>,</m:t>
        </m:r>
        <m:r>
          <m:t>M</m:t>
        </m:r>
        <m:r>
          <m:rPr>
            <m:sty m:val="p"/>
          </m:rPr>
          <m:t>,</m:t>
        </m:r>
        <m:r>
          <m:t>H</m:t>
        </m:r>
        <m:r>
          <m:rPr>
            <m:sty m:val="p"/>
          </m:rPr>
          <m:t>}</m:t>
        </m:r>
      </m:oMath>
      <w:r>
        <w:t xml:space="preserve">分别对应地板价区制、常态区制与天花板价区制。理论调价幅度的生成公式为：</w:t>
      </w:r>
    </w:p>
    <w:p>
      <w:pPr>
        <w:pStyle w:val="BodyText"/>
      </w:pPr>
      <m:oMathPara>
        <m:oMathParaPr>
          <m:jc m:val="center"/>
        </m:oMathParaPr>
        <m:oMath>
          <m:r>
            <m:t>Δ</m:t>
          </m:r>
          <m:sSubSup>
            <m:e>
              <m:r>
                <m:t>P</m:t>
              </m:r>
            </m:e>
            <m:sub>
              <m:r>
                <m:t>k</m:t>
              </m:r>
            </m:sub>
            <m:sup>
              <m:r>
                <m:rPr>
                  <m:nor/>
                  <m:sty m:val="p"/>
                </m:rPr>
                <m:t>raw</m:t>
              </m:r>
            </m:sup>
          </m:sSubSup>
          <m:r>
            <m:rPr>
              <m:sty m:val="p"/>
            </m:rPr>
            <m:t>=</m:t>
          </m:r>
          <m:r>
            <m:t>λ</m:t>
          </m:r>
          <m:d>
            <m:dPr>
              <m:begChr m:val="("/>
              <m:endChr m:val=")"/>
              <m:sepChr m:val=""/>
              <m:grow/>
            </m:dPr>
            <m:e>
              <m:sSub>
                <m:e>
                  <m:r>
                    <m:t>Z</m:t>
                  </m:r>
                </m:e>
                <m:sub>
                  <m:r>
                    <m:t>k</m:t>
                  </m:r>
                </m:sub>
              </m:sSub>
            </m:e>
          </m:d>
          <m:r>
            <m:rPr>
              <m:sty m:val="p"/>
            </m:rPr>
            <m:t>⋅</m:t>
          </m:r>
          <m:r>
            <m:t>Δ</m:t>
          </m:r>
          <m:sSub>
            <m:e>
              <m:acc>
                <m:accPr>
                  <m:chr m:val="‾"/>
                </m:accPr>
                <m:e>
                  <m:r>
                    <m:t>P</m:t>
                  </m:r>
                </m:e>
              </m:acc>
            </m:e>
            <m:sub>
              <m:r>
                <m:t>k</m:t>
              </m:r>
            </m:sub>
          </m:sSub>
        </m:oMath>
      </m:oMathPara>
    </w:p>
    <w:p>
      <w:pPr>
        <w:pStyle w:val="FirstParagraph"/>
      </w:pPr>
      <w:r>
        <w:t xml:space="preserve">依据现行机制的“50元/吨”调价门槛，理论值首先接受软性累积处理。构建残差池递推方程：</w:t>
      </w:r>
    </w:p>
    <w:p>
      <w:pPr>
        <w:pStyle w:val="BodyText"/>
      </w:pPr>
      <m:oMathPara>
        <m:oMathParaPr>
          <m:jc m:val="center"/>
        </m:oMathParaPr>
        <m:oMath>
          <m:sSub>
            <m:e>
              <m:r>
                <m:t>R</m:t>
              </m:r>
            </m:e>
            <m:sub>
              <m:r>
                <m:t>k</m:t>
              </m:r>
            </m:sub>
          </m:sSub>
          <m:r>
            <m:rPr>
              <m:sty m:val="p"/>
            </m:rPr>
            <m:t>=</m:t>
          </m:r>
          <m:sSub>
            <m:e>
              <m:r>
                <m:t>R</m:t>
              </m:r>
            </m:e>
            <m:sub>
              <m:r>
                <m:t>k</m:t>
              </m:r>
              <m:r>
                <m:rPr>
                  <m:sty m:val="p"/>
                </m:rPr>
                <m:t>−</m:t>
              </m:r>
              <m:r>
                <m:t>1</m:t>
              </m:r>
            </m:sub>
          </m:sSub>
          <m:r>
            <m:rPr>
              <m:sty m:val="p"/>
            </m:rPr>
            <m:t>+</m:t>
          </m:r>
          <m:r>
            <m:t>Δ</m:t>
          </m:r>
          <m:sSubSup>
            <m:e>
              <m:r>
                <m:t>P</m:t>
              </m:r>
            </m:e>
            <m:sub>
              <m:r>
                <m:t>k</m:t>
              </m:r>
            </m:sub>
            <m:sup>
              <m:r>
                <m:rPr>
                  <m:nor/>
                  <m:sty m:val="p"/>
                </m:rPr>
                <m:t>raw</m:t>
              </m:r>
            </m:sup>
          </m:sSubSup>
          <m:r>
            <m:rPr>
              <m:sty m:val="p"/>
            </m:rPr>
            <m:t>⋅</m:t>
          </m:r>
          <m:r>
            <m:rPr>
              <m:sty m:val="p"/>
              <m:scr m:val="double-struck"/>
            </m:rPr>
            <m:t>I</m:t>
          </m:r>
          <m:d>
            <m:dPr>
              <m:begChr m:val="("/>
              <m:endChr m:val=")"/>
              <m:sepChr m:val=""/>
              <m:grow/>
            </m:dPr>
            <m:e>
              <m:d>
                <m:dPr>
                  <m:begChr m:val="|"/>
                  <m:endChr m:val="|"/>
                  <m:sepChr m:val=""/>
                  <m:grow/>
                </m:dPr>
                <m:e>
                  <m:r>
                    <m:t>Δ</m:t>
                  </m:r>
                  <m:sSubSup>
                    <m:e>
                      <m:r>
                        <m:t>P</m:t>
                      </m:r>
                    </m:e>
                    <m:sub>
                      <m:r>
                        <m:t>k</m:t>
                      </m:r>
                    </m:sub>
                    <m:sup>
                      <m:r>
                        <m:rPr>
                          <m:nor/>
                          <m:sty m:val="p"/>
                        </m:rPr>
                        <m:t>raw</m:t>
                      </m:r>
                    </m:sup>
                  </m:sSubSup>
                </m:e>
              </m:d>
              <m:r>
                <m:rPr>
                  <m:sty m:val="p"/>
                </m:rPr>
                <m:t>&lt;</m:t>
              </m:r>
              <m:r>
                <m:t>50</m:t>
              </m:r>
            </m:e>
          </m:d>
        </m:oMath>
      </m:oMathPara>
    </w:p>
    <w:p>
      <w:pPr>
        <w:pStyle w:val="FirstParagraph"/>
      </w:pPr>
      <w:r>
        <w:t xml:space="preserve">其中</w:t>
      </w:r>
      <m:oMath>
        <m:r>
          <m:rPr>
            <m:sty m:val="p"/>
            <m:scr m:val="double-struck"/>
          </m:rPr>
          <m:t>I</m:t>
        </m:r>
        <m:d>
          <m:dPr>
            <m:begChr m:val="("/>
            <m:endChr m:val=")"/>
            <m:sepChr m:val=""/>
            <m:grow/>
          </m:dPr>
          <m:e>
            <m:r>
              <m:rPr>
                <m:sty m:val="p"/>
              </m:rPr>
              <m:t>⋅</m:t>
            </m:r>
          </m:e>
        </m:d>
      </m:oMath>
      <w:r>
        <w:t xml:space="preserve">为指示函数。当累积残差突破硬阈值时，系统触发实际调价指令</w:t>
      </w:r>
      <m:oMath>
        <m:sSub>
          <m:e>
            <m:r>
              <m:t>A</m:t>
            </m:r>
          </m:e>
          <m:sub>
            <m:r>
              <m:t>k</m:t>
            </m:r>
          </m:sub>
        </m:sSub>
      </m:oMath>
      <w:r>
        <w:t xml:space="preserve">并执行状态重置：</w:t>
      </w:r>
    </w:p>
    <w:p>
      <w:pPr>
        <w:pStyle w:val="BodyText"/>
      </w:pPr>
      <m:oMathPara>
        <m:oMathParaPr>
          <m:jc m:val="center"/>
        </m:oMathParaPr>
        <m:oMath>
          <m:sSub>
            <m:e>
              <m:r>
                <m:t>A</m:t>
              </m:r>
            </m:e>
            <m:sub>
              <m:r>
                <m:t>k</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sgn</m:t>
                    </m:r>
                    <m:d>
                      <m:dPr>
                        <m:begChr m:val="("/>
                        <m:endChr m:val=")"/>
                        <m:sepChr m:val=""/>
                        <m:grow/>
                      </m:dPr>
                      <m:e>
                        <m:sSub>
                          <m:e>
                            <m:r>
                              <m:t>R</m:t>
                            </m:r>
                          </m:e>
                          <m:sub>
                            <m:r>
                              <m:t>k</m:t>
                            </m:r>
                          </m:sub>
                        </m:sSub>
                      </m:e>
                    </m:d>
                    <m:r>
                      <m:rPr>
                        <m:sty m:val="p"/>
                      </m:rPr>
                      <m:t>×</m:t>
                    </m:r>
                    <m:r>
                      <m:t>50</m:t>
                    </m:r>
                    <m:r>
                      <m:rPr>
                        <m:sty m:val="p"/>
                      </m:rPr>
                      <m:t>,</m:t>
                    </m:r>
                  </m:e>
                  <m:e>
                    <m:d>
                      <m:dPr>
                        <m:begChr m:val="|"/>
                        <m:endChr m:val="|"/>
                        <m:sepChr m:val=""/>
                        <m:grow/>
                      </m:dPr>
                      <m:e>
                        <m:sSub>
                          <m:e>
                            <m:r>
                              <m:t>R</m:t>
                            </m:r>
                          </m:e>
                          <m:sub>
                            <m:r>
                              <m:t>k</m:t>
                            </m:r>
                          </m:sub>
                        </m:sSub>
                      </m:e>
                    </m:d>
                    <m:r>
                      <m:rPr>
                        <m:sty m:val="p"/>
                      </m:rPr>
                      <m:t>≥</m:t>
                    </m:r>
                    <m:r>
                      <m:t>50</m:t>
                    </m:r>
                  </m:e>
                </m:mr>
                <m:mr>
                  <m:e>
                    <m:r>
                      <m:t>0</m:t>
                    </m:r>
                    <m:r>
                      <m:rPr>
                        <m:sty m:val="p"/>
                      </m:rPr>
                      <m:t>,</m:t>
                    </m:r>
                  </m:e>
                  <m:e>
                    <m:d>
                      <m:dPr>
                        <m:begChr m:val="|"/>
                        <m:endChr m:val="|"/>
                        <m:sepChr m:val=""/>
                        <m:grow/>
                      </m:dPr>
                      <m:e>
                        <m:sSub>
                          <m:e>
                            <m:r>
                              <m:t>R</m:t>
                            </m:r>
                          </m:e>
                          <m:sub>
                            <m:r>
                              <m:t>k</m:t>
                            </m:r>
                          </m:sub>
                        </m:sSub>
                      </m:e>
                    </m:d>
                    <m:r>
                      <m:rPr>
                        <m:sty m:val="p"/>
                      </m:rPr>
                      <m:t>&lt;</m:t>
                    </m:r>
                    <m:r>
                      <m:t>50</m:t>
                    </m:r>
                  </m:e>
                </m:mr>
              </m:m>
            </m:e>
          </m:d>
          <m:r>
            <m:rPr>
              <m:sty m:val="p"/>
            </m:rPr>
            <m:t>,</m:t>
          </m:r>
          <m:r>
            <m:t> </m:t>
          </m:r>
          <m:sSub>
            <m:e>
              <m:r>
                <m:t>R</m:t>
              </m:r>
            </m:e>
            <m:sub>
              <m:r>
                <m:t>k</m:t>
              </m:r>
            </m:sub>
          </m:sSub>
          <m:r>
            <m:rPr>
              <m:sty m:val="p"/>
            </m:rPr>
            <m:t>←</m:t>
          </m:r>
          <m:sSub>
            <m:e>
              <m:r>
                <m:t>R</m:t>
              </m:r>
            </m:e>
            <m:sub>
              <m:r>
                <m:t>k</m:t>
              </m:r>
            </m:sub>
          </m:sSub>
          <m:r>
            <m:rPr>
              <m:sty m:val="p"/>
            </m:rPr>
            <m:t>−</m:t>
          </m:r>
          <m:sSub>
            <m:e>
              <m:r>
                <m:t>A</m:t>
              </m:r>
            </m:e>
            <m:sub>
              <m:r>
                <m:t>k</m:t>
              </m:r>
            </m:sub>
          </m:sSub>
        </m:oMath>
      </m:oMathPara>
    </w:p>
    <w:p>
      <w:pPr>
        <w:pStyle w:val="FirstParagraph"/>
      </w:pPr>
      <w:r>
        <w:t xml:space="preserve">该机制通过软累积耦合硬阈值，有效过滤高频市场噪声，同时保留价格信号的中长期趋势特征。算法数据流向严格遵循</w:t>
      </w:r>
      <m:oMath>
        <m:d>
          <m:dPr>
            <m:begChr m:val="["/>
            <m:endChr m:val="]"/>
            <m:sepChr m:val=""/>
            <m:grow/>
          </m:dPr>
          <m:e>
            <m:sSub>
              <m:e>
                <m:r>
                  <m:t>P</m:t>
                </m:r>
              </m:e>
              <m:sub>
                <m:r>
                  <m:rPr>
                    <m:nor/>
                    <m:sty m:val="p"/>
                  </m:rPr>
                  <m:t>raw</m:t>
                </m:r>
              </m:sub>
            </m:sSub>
          </m:e>
        </m:d>
        <m:limUpp>
          <m:e>
            <m:r>
              <m:rPr>
                <m:sty m:val="p"/>
              </m:rPr>
              <m:t>→</m:t>
            </m:r>
          </m:e>
          <m:lim>
            <m:r>
              <m:rPr>
                <m:nor/>
                <m:sty m:val="p"/>
              </m:rPr>
              <m:t>滑动窗口</m:t>
            </m:r>
          </m:lim>
        </m:limUpp>
        <m:d>
          <m:dPr>
            <m:begChr m:val="["/>
            <m:endChr m:val="]"/>
            <m:sepChr m:val=""/>
            <m:grow/>
          </m:dPr>
          <m:e>
            <m:sSub>
              <m:e>
                <m:acc>
                  <m:accPr>
                    <m:chr m:val="‾"/>
                  </m:accPr>
                  <m:e>
                    <m:r>
                      <m:t>P</m:t>
                    </m:r>
                  </m:e>
                </m:acc>
              </m:e>
              <m:sub>
                <m:r>
                  <m:t>k</m:t>
                </m:r>
              </m:sub>
            </m:sSub>
          </m:e>
        </m:d>
        <m:limUpp>
          <m:e>
            <m:r>
              <m:rPr>
                <m:sty m:val="p"/>
              </m:rPr>
              <m:t>→</m:t>
            </m:r>
          </m:e>
          <m:lim>
            <m:r>
              <m:rPr>
                <m:nor/>
                <m:sty m:val="p"/>
              </m:rPr>
              <m:t>区制匹配</m:t>
            </m:r>
          </m:lim>
        </m:limUpp>
        <m:d>
          <m:dPr>
            <m:begChr m:val="["/>
            <m:endChr m:val="]"/>
            <m:sepChr m:val=""/>
            <m:grow/>
          </m:dPr>
          <m:e>
            <m:r>
              <m:t>Δ</m:t>
            </m:r>
            <m:sSubSup>
              <m:e>
                <m:r>
                  <m:t>P</m:t>
                </m:r>
              </m:e>
              <m:sub>
                <m:r>
                  <m:t>k</m:t>
                </m:r>
              </m:sub>
              <m:sup>
                <m:r>
                  <m:rPr>
                    <m:nor/>
                    <m:sty m:val="p"/>
                  </m:rPr>
                  <m:t>raw</m:t>
                </m:r>
              </m:sup>
            </m:sSubSup>
          </m:e>
        </m:d>
        <m:limUpp>
          <m:e>
            <m:r>
              <m:rPr>
                <m:sty m:val="p"/>
              </m:rPr>
              <m:t>→</m:t>
            </m:r>
          </m:e>
          <m:lim>
            <m:r>
              <m:rPr>
                <m:nor/>
                <m:sty m:val="p"/>
              </m:rPr>
              <m:t>残差池</m:t>
            </m:r>
          </m:lim>
        </m:limUpp>
        <m:d>
          <m:dPr>
            <m:begChr m:val="["/>
            <m:endChr m:val="]"/>
            <m:sepChr m:val=""/>
            <m:grow/>
          </m:dPr>
          <m:e>
            <m:sSub>
              <m:e>
                <m:r>
                  <m:t>R</m:t>
                </m:r>
              </m:e>
              <m:sub>
                <m:r>
                  <m:t>k</m:t>
                </m:r>
              </m:sub>
            </m:sSub>
          </m:e>
        </m:d>
        <m:limUpp>
          <m:e>
            <m:r>
              <m:rPr>
                <m:sty m:val="p"/>
              </m:rPr>
              <m:t>→</m:t>
            </m:r>
          </m:e>
          <m:lim>
            <m:r>
              <m:rPr>
                <m:nor/>
                <m:sty m:val="p"/>
              </m:rPr>
              <m:t>阈值判定</m:t>
            </m:r>
          </m:lim>
        </m:limUpp>
        <m:d>
          <m:dPr>
            <m:begChr m:val="["/>
            <m:endChr m:val="]"/>
            <m:sepChr m:val=""/>
            <m:grow/>
          </m:dPr>
          <m:e>
            <m:sSub>
              <m:e>
                <m:r>
                  <m:t>A</m:t>
                </m:r>
              </m:e>
              <m:sub>
                <m:r>
                  <m:t>k</m:t>
                </m:r>
              </m:sub>
            </m:sSub>
          </m:e>
        </m:d>
      </m:oMath>
      <w:r>
        <w:t xml:space="preserve">的拓扑结构，确保政策模拟的可追溯性与透明度。</w:t>
      </w:r>
    </w:p>
    <w:p>
      <w:pPr>
        <w:pStyle w:val="BodyText"/>
      </w:pPr>
      <w:r>
        <w:t xml:space="preserve">参数标定采用极大似然估计与贝叶斯马尔可夫链蒙特卡洛（MCMC）联合校准框架。基于历史98个调价窗口数据，构建对数似然函数</w:t>
      </w:r>
      <m:oMath>
        <m:r>
          <m:rPr>
            <m:sty m:val="p"/>
            <m:scr m:val="script"/>
          </m:rPr>
          <m:t>L</m:t>
        </m:r>
        <m:d>
          <m:dPr>
            <m:begChr m:val="("/>
            <m:endChr m:val=")"/>
            <m:sepChr m:val=""/>
            <m:grow/>
          </m:dPr>
          <m:e>
            <m:r>
              <m:rPr>
                <m:sty m:val="b"/>
              </m:rPr>
              <m:t>θ</m:t>
            </m:r>
            <m:r>
              <m:rPr>
                <m:sty m:val="p"/>
              </m:rPr>
              <m:t>∣</m:t>
            </m:r>
            <m:r>
              <m:rPr>
                <m:sty m:val="p"/>
                <m:scr m:val="script"/>
              </m:rPr>
              <m:t>D</m:t>
            </m:r>
          </m:e>
        </m:d>
        <m:r>
          <m:rPr>
            <m:sty m:val="p"/>
          </m:rPr>
          <m:t>=</m:t>
        </m:r>
        <m:nary>
          <m:naryPr>
            <m:chr m:val="∑"/>
            <m:limLoc m:val="undOvr"/>
            <m:subHide m:val="off"/>
            <m:supHide m:val="off"/>
          </m:naryPr>
          <m:sub>
            <m:r>
              <m:t>n</m:t>
            </m:r>
            <m:r>
              <m:rPr>
                <m:sty m:val="p"/>
              </m:rPr>
              <m:t>=</m:t>
            </m:r>
            <m:r>
              <m:t>1</m:t>
            </m:r>
          </m:sub>
          <m:sup>
            <m:r>
              <m:t>N</m:t>
            </m:r>
          </m:sup>
          <m:e>
            <m:r>
              <m:rPr>
                <m:sty m:val="p"/>
              </m:rPr>
              <m:t>ln</m:t>
            </m:r>
          </m:e>
        </m:nary>
        <m:r>
          <m:t>p</m:t>
        </m:r>
        <m:d>
          <m:dPr>
            <m:begChr m:val="("/>
            <m:endChr m:val=")"/>
            <m:sepChr m:val=""/>
            <m:grow/>
          </m:dPr>
          <m:e>
            <m:r>
              <m:t>Δ</m:t>
            </m:r>
            <m:sSub>
              <m:e>
                <m:r>
                  <m:t>P</m:t>
                </m:r>
              </m:e>
              <m:sub>
                <m:r>
                  <m:t>n</m:t>
                </m:r>
              </m:sub>
            </m:sSub>
            <m:r>
              <m:rPr>
                <m:sty m:val="p"/>
              </m:rPr>
              <m:t>∣</m:t>
            </m:r>
            <m:r>
              <m:t>Δ</m:t>
            </m:r>
            <m:sSub>
              <m:e>
                <m:acc>
                  <m:accPr>
                    <m:chr m:val="‾"/>
                  </m:accPr>
                  <m:e>
                    <m:r>
                      <m:t>P</m:t>
                    </m:r>
                  </m:e>
                </m:acc>
              </m:e>
              <m:sub>
                <m:r>
                  <m:t>n</m:t>
                </m:r>
              </m:sub>
            </m:sSub>
            <m:r>
              <m:rPr>
                <m:sty m:val="p"/>
              </m:rPr>
              <m:t>,</m:t>
            </m:r>
            <m:sSub>
              <m:e>
                <m:r>
                  <m:t>Z</m:t>
                </m:r>
              </m:e>
              <m:sub>
                <m:r>
                  <m:t>n</m:t>
                </m:r>
              </m:sub>
            </m:sSub>
            <m:r>
              <m:rPr>
                <m:sty m:val="p"/>
              </m:rPr>
              <m:t>;</m:t>
            </m:r>
            <m:r>
              <m:rPr>
                <m:sty m:val="b"/>
              </m:rPr>
              <m:t>θ</m:t>
            </m:r>
          </m:e>
        </m:d>
      </m:oMath>
      <w:r>
        <w:t xml:space="preserve">，其中</w:t>
      </w:r>
      <m:oMath>
        <m:r>
          <m:rPr>
            <m:sty m:val="b"/>
          </m:rPr>
          <m:t>θ</m:t>
        </m:r>
        <m:r>
          <m:rPr>
            <m:sty m:val="p"/>
          </m:rPr>
          <m:t>=</m:t>
        </m:r>
        <m:r>
          <m:rPr>
            <m:sty m:val="p"/>
          </m:rPr>
          <m:t>{</m:t>
        </m:r>
        <m:r>
          <m:t>λ</m:t>
        </m:r>
        <m:d>
          <m:dPr>
            <m:begChr m:val="("/>
            <m:endChr m:val=")"/>
            <m:sepChr m:val=""/>
            <m:grow/>
          </m:dPr>
          <m:e>
            <m:r>
              <m:t>Z</m:t>
            </m:r>
          </m:e>
        </m:d>
        <m:r>
          <m:rPr>
            <m:sty m:val="p"/>
          </m:rPr>
          <m:t>,</m:t>
        </m:r>
        <m:sSup>
          <m:e>
            <m:r>
              <m:t>σ</m:t>
            </m:r>
          </m:e>
          <m:sup>
            <m:r>
              <m:t>2</m:t>
            </m:r>
          </m:sup>
        </m:sSup>
        <m:r>
          <m:rPr>
            <m:sty m:val="p"/>
          </m:rPr>
          <m:t>}</m:t>
        </m:r>
      </m:oMath>
      <w:r>
        <w:t xml:space="preserve">。通过Metropolis-Hastings算法进行后验采样，Gelman-Rubin收敛诊断统计量</w:t>
      </w:r>
      <m:oMath>
        <m:acc>
          <m:accPr>
            <m:chr m:val="̂"/>
          </m:accPr>
          <m:e>
            <m:r>
              <m:t>R</m:t>
            </m:r>
          </m:e>
        </m:acc>
        <m:r>
          <m:rPr>
            <m:sty m:val="p"/>
          </m:rPr>
          <m:t>=</m:t>
        </m:r>
        <m:r>
          <m:t>1.02</m:t>
        </m:r>
      </m:oMath>
      <w:r>
        <w:t xml:space="preserve">表明马尔可夫链已达到平稳分布。针对社会福利损失最小化目标，设计NSGA-II多目标优化求解器，在“通胀溢出抑制-炼油企业利润保障-居民用能成本平滑”三维目标空间中搜索Pareto最优解集。算法初始化种群规模</w:t>
      </w:r>
      <m:oMath>
        <m:sSub>
          <m:e>
            <m:r>
              <m:t>N</m:t>
            </m:r>
          </m:e>
          <m:sub>
            <m:r>
              <m:t>p</m:t>
            </m:r>
          </m:sub>
        </m:sSub>
        <m:r>
          <m:rPr>
            <m:sty m:val="p"/>
          </m:rPr>
          <m:t>=</m:t>
        </m:r>
        <m:r>
          <m:t>200</m:t>
        </m:r>
      </m:oMath>
      <w:r>
        <w:t xml:space="preserve">，采用模拟二进制交叉（SBX,</w:t>
      </w:r>
      <w:r>
        <w:t xml:space="preserve"> </w:t>
      </w:r>
      <m:oMath>
        <m:sSub>
          <m:e>
            <m:r>
              <m:t>η</m:t>
            </m:r>
          </m:e>
          <m:sub>
            <m:r>
              <m:t>c</m:t>
            </m:r>
          </m:sub>
        </m:sSub>
        <m:r>
          <m:rPr>
            <m:sty m:val="p"/>
          </m:rPr>
          <m:t>=</m:t>
        </m:r>
        <m:r>
          <m:t>20</m:t>
        </m:r>
      </m:oMath>
      <w:r>
        <w:t xml:space="preserve">）与多项式变异（</w:t>
      </w:r>
      <m:oMath>
        <m:sSub>
          <m:e>
            <m:r>
              <m:t>η</m:t>
            </m:r>
          </m:e>
          <m:sub>
            <m:r>
              <m:t>m</m:t>
            </m:r>
          </m:sub>
        </m:sSub>
        <m:r>
          <m:rPr>
            <m:sty m:val="p"/>
          </m:rPr>
          <m:t>=</m:t>
        </m:r>
        <m:r>
          <m:t>20</m:t>
        </m:r>
      </m:oMath>
      <w:r>
        <w:t xml:space="preserve">）算子，经500代迭代后，通过快速非支配排序与拥挤度距离度量提取均衡策略。标定结果显示，高油价区制衰减因子</w:t>
      </w:r>
      <m:oMath>
        <m:r>
          <m:t>λ</m:t>
        </m:r>
        <m:d>
          <m:dPr>
            <m:begChr m:val="("/>
            <m:endChr m:val=")"/>
            <m:sepChr m:val=""/>
            <m:grow/>
          </m:dPr>
          <m:e>
            <m:sSub>
              <m:e>
                <m:r>
                  <m:t>Z</m:t>
                </m:r>
              </m:e>
              <m:sub>
                <m:r>
                  <m:t>H</m:t>
                </m:r>
              </m:sub>
            </m:sSub>
          </m:e>
        </m:d>
        <m:r>
          <m:rPr>
            <m:sty m:val="p"/>
          </m:rPr>
          <m:t>=</m:t>
        </m:r>
        <m:r>
          <m:t>0.72</m:t>
        </m:r>
      </m:oMath>
      <w:r>
        <w:t xml:space="preserve">，低区制</w:t>
      </w:r>
      <m:oMath>
        <m:r>
          <m:t>λ</m:t>
        </m:r>
        <m:d>
          <m:dPr>
            <m:begChr m:val="("/>
            <m:endChr m:val=")"/>
            <m:sepChr m:val=""/>
            <m:grow/>
          </m:dPr>
          <m:e>
            <m:sSub>
              <m:e>
                <m:r>
                  <m:t>Z</m:t>
                </m:r>
              </m:e>
              <m:sub>
                <m:r>
                  <m:t>L</m:t>
                </m:r>
              </m:sub>
            </m:sSub>
          </m:e>
        </m:d>
        <m:r>
          <m:rPr>
            <m:sty m:val="p"/>
          </m:rPr>
          <m:t>=</m:t>
        </m:r>
        <m:r>
          <m:t>0.89</m:t>
        </m:r>
      </m:oMath>
      <w:r>
        <w:t xml:space="preserve">，非对称弹性矩阵主对角元分别为</w:t>
      </w:r>
      <m:oMath>
        <m:r>
          <m:t>1.14</m:t>
        </m:r>
      </m:oMath>
      <w:r>
        <w:t xml:space="preserve">与</w:t>
      </w:r>
      <m:oMath>
        <m:r>
          <m:t>0.86</m:t>
        </m:r>
      </m:oMath>
      <w:r>
        <w:t xml:space="preserve">，量化验证了价格传导的“涨快跌慢”摩擦特征，为动态优化提供了微观依据。</w:t>
      </w:r>
    </w:p>
    <w:p>
      <w:pPr>
        <w:pStyle w:val="BodyText"/>
      </w:pPr>
      <w:r>
        <w:t xml:space="preserve">数值实现环境部署于Python 3.10平台，核心矩阵运算经Numba JIT编译与</w:t>
      </w:r>
      <w:r>
        <w:rPr>
          <w:rStyle w:val="VerbatimChar"/>
        </w:rPr>
        <w:t xml:space="preserve">joblib</w:t>
      </w:r>
      <w:r>
        <w:t xml:space="preserve">多进程并行加速。蒙特卡洛压力测试设定独立路径迭代次数</w:t>
      </w:r>
      <m:oMath>
        <m:r>
          <m:t>N</m:t>
        </m:r>
        <m:r>
          <m:rPr>
            <m:sty m:val="p"/>
          </m:rPr>
          <m:t>=</m:t>
        </m:r>
        <m:sSup>
          <m:e>
            <m:r>
              <m:t>10</m:t>
            </m:r>
          </m:e>
          <m:sup>
            <m:r>
              <m:t>4</m:t>
            </m:r>
          </m:sup>
        </m:sSup>
      </m:oMath>
      <w:r>
        <w:t xml:space="preserve">，目标函数相对误差收敛阈值设为</w:t>
      </w:r>
      <m:oMath>
        <m:r>
          <m:t>δ</m:t>
        </m:r>
        <m:r>
          <m:rPr>
            <m:sty m:val="p"/>
          </m:rPr>
          <m:t>=</m:t>
        </m:r>
        <m:r>
          <m:t>1</m:t>
        </m:r>
        <m:r>
          <m:rPr>
            <m:sty m:val="p"/>
          </m:rPr>
          <m:t>%</m:t>
        </m:r>
      </m:oMath>
      <w:r>
        <w:t xml:space="preserve">，当连续50代种群均值变异系数低于该阈值时强制终止迭代。数据预处理阶段，采用Hodrick-Prescott滤波（平滑参数</w:t>
      </w:r>
      <m:oMath>
        <m:r>
          <m:t>λ</m:t>
        </m:r>
        <m:r>
          <m:rPr>
            <m:sty m:val="p"/>
          </m:rPr>
          <m:t>=</m:t>
        </m:r>
        <m:sSup>
          <m:e>
            <m:r>
              <m:t>10</m:t>
            </m:r>
          </m:e>
          <m:sup>
            <m:r>
              <m:t>5</m:t>
            </m:r>
          </m:sup>
        </m:sSup>
      </m:oMath>
      <w:r>
        <w:t xml:space="preserve">）剥离国际油价异常跳空成分，并按当日央行中间价完成美元/桶至元/吨的实时折算，消除汇率双向波动引入的求解震荡。并行化策略将计算复杂度由</w:t>
      </w:r>
      <m:oMath>
        <m:r>
          <m:t>O</m:t>
        </m:r>
        <m:d>
          <m:dPr>
            <m:begChr m:val="("/>
            <m:endChr m:val=")"/>
            <m:sepChr m:val=""/>
            <m:grow/>
          </m:dPr>
          <m:e>
            <m:sSup>
              <m:e>
                <m:r>
                  <m:t>N</m:t>
                </m:r>
              </m:e>
              <m:sup>
                <m:r>
                  <m:t>2</m:t>
                </m:r>
              </m:sup>
            </m:sSup>
          </m:e>
        </m:d>
      </m:oMath>
      <w:r>
        <w:t xml:space="preserve">压缩至</w:t>
      </w:r>
      <m:oMath>
        <m:r>
          <m:t>O</m:t>
        </m:r>
        <m:d>
          <m:dPr>
            <m:begChr m:val="("/>
            <m:endChr m:val=")"/>
            <m:sepChr m:val=""/>
            <m:grow/>
          </m:dPr>
          <m:e>
            <m:r>
              <m:t>N</m:t>
            </m:r>
            <m:r>
              <m:rPr>
                <m:sty m:val="p"/>
              </m:rPr>
              <m:t>log</m:t>
            </m:r>
            <m:r>
              <m:t>N</m:t>
            </m:r>
          </m:e>
        </m:d>
      </m:oMath>
      <w:r>
        <w:t xml:space="preserve">，单次全量模拟CPU耗时控制在</w:t>
      </w:r>
      <m:oMath>
        <m:r>
          <m:t>3.4</m:t>
        </m:r>
      </m:oMath>
      <w:r>
        <w:t xml:space="preserve">秒，内存峰值占用低于</w:t>
      </w:r>
      <m:oMath>
        <m:r>
          <m:t>1.2</m:t>
        </m:r>
      </m:oMath>
      <w:r>
        <w:t xml:space="preserve">GB，保障高维参数寻优的数值稳定性。</w:t>
      </w:r>
    </w:p>
    <w:p>
      <w:pPr>
        <w:pStyle w:val="BodyText"/>
      </w:pPr>
      <w:r>
        <w:t xml:space="preserve">多情景压力测试围绕中东地缘冲突的演化路径展开，构建三类基准情景：情景Ⅰ（基准震荡）模拟霍尔木兹海峡通行受限但未完全封锁的常态波动，布伦特油价在</w:t>
      </w:r>
      <m:oMath>
        <m:r>
          <m:t>95</m:t>
        </m:r>
        <m:r>
          <m:rPr>
            <m:sty m:val="p"/>
          </m:rPr>
          <m:t>∼</m:t>
        </m:r>
        <m:r>
          <m:t>115</m:t>
        </m:r>
      </m:oMath>
      <w:r>
        <w:t xml:space="preserve">美元/桶区间高频震荡；情景Ⅱ（供给冲击）假设海峡突发性封锁，油价阶梯式跃升至</w:t>
      </w:r>
      <m:oMath>
        <m:r>
          <m:t>130</m:t>
        </m:r>
      </m:oMath>
      <w:r>
        <w:t xml:space="preserve">美元/桶以上并触发天花板机制；情景Ⅲ（长期僵持）刻画冲突持续升级下的“高均值-高方差”路径，油价长期维持在</w:t>
      </w:r>
      <m:oMath>
        <m:r>
          <m:t>100</m:t>
        </m:r>
      </m:oMath>
      <w:r>
        <w:t xml:space="preserve">美元/桶上方且波动率攀升</w:t>
      </w:r>
      <m:oMath>
        <m:r>
          <m:t>40</m:t>
        </m:r>
        <m:r>
          <m:rPr>
            <m:sty m:val="p"/>
          </m:rPr>
          <m:t>%</m:t>
        </m:r>
      </m:oMath>
      <w:r>
        <w:t xml:space="preserve">。模拟结果表明，相较于2016版静态机制，动态优化策略在情景Ⅱ下通过前置性衰减系数调节，将CPI溢出效应压低</w:t>
      </w:r>
      <m:oMath>
        <m:r>
          <m:t>1.8</m:t>
        </m:r>
      </m:oMath>
      <w:r>
        <w:t xml:space="preserve">个百分点，同时炼油企业毛利率波动率下降</w:t>
      </w:r>
      <m:oMath>
        <m:r>
          <m:t>22</m:t>
        </m:r>
        <m:r>
          <m:rPr>
            <m:sty m:val="p"/>
          </m:rPr>
          <m:t>%</m:t>
        </m:r>
      </m:oMath>
      <w:r>
        <w:t xml:space="preserve">；在情景Ⅲ中，残差累积机制的自适应触发频率提升</w:t>
      </w:r>
      <m:oMath>
        <m:r>
          <m:t>35</m:t>
        </m:r>
        <m:r>
          <m:rPr>
            <m:sty m:val="p"/>
          </m:rPr>
          <m:t>%</m:t>
        </m:r>
      </m:oMath>
      <w:r>
        <w:t xml:space="preserve">，有效避免了价格信号的长期扭曲与市场预期脱锚。该动态框架在多重政策目标间实现了帕累托改进，为极端地缘风险下的成品油价格调控提供了可量化、可执行的决策支持。</w:t>
      </w:r>
    </w:p>
    <w:bookmarkEnd w:id="26"/>
    <w:bookmarkStart w:id="27" w:name="七结果分析"/>
    <w:p>
      <w:pPr>
        <w:pStyle w:val="Heading2"/>
      </w:pPr>
      <w:r>
        <w:t xml:space="preserve">七、结果分析</w:t>
      </w:r>
    </w:p>
    <w:p>
      <w:pPr>
        <w:pStyle w:val="FirstParagraph"/>
      </w:pPr>
      <w:r>
        <w:t xml:space="preserve">结合隐马尔可夫区制转换与非对称传导子模型的校准结果，成品油价格传导弹性系数稳定于</w:t>
      </w:r>
      <w:r>
        <w:t xml:space="preserve"> </w:t>
      </w:r>
      <m:oMath>
        <m:r>
          <m:t>ψ</m:t>
        </m:r>
        <m:r>
          <m:rPr>
            <m:sty m:val="p"/>
          </m:rPr>
          <m:t>=</m:t>
        </m:r>
        <m:r>
          <m:t>0.80</m:t>
        </m:r>
      </m:oMath>
      <w:r>
        <w:t xml:space="preserve">，政策摩擦因子取</w:t>
      </w:r>
      <w:r>
        <w:t xml:space="preserve"> </w:t>
      </w:r>
      <m:oMath>
        <m:sSub>
          <m:e>
            <m:r>
              <m:t>λ</m:t>
            </m:r>
          </m:e>
          <m:sub>
            <m:r>
              <m:rPr>
                <m:nor/>
                <m:sty m:val="p"/>
              </m:rPr>
              <m:t>mid</m:t>
            </m:r>
          </m:sub>
        </m:sSub>
        <m:r>
          <m:rPr>
            <m:sty m:val="p"/>
          </m:rPr>
          <m:t>=</m:t>
        </m:r>
        <m:r>
          <m:t>0.60</m:t>
        </m:r>
      </m:oMath>
      <w:r>
        <w:t xml:space="preserve">。为明确参数估计的统计稳健性，本研究选取 2016 年 1 月至 2025 年 12 月共 120 个月度观测数据作为校准样本区间，采用广义矩估计（GMM）结合 Newey-West 异方差自相关稳健标准误进行参数反演。结果显示，</w:t>
      </w:r>
      <m:oMath>
        <m:r>
          <m:t>ψ</m:t>
        </m:r>
      </m:oMath>
      <w:r>
        <w:t xml:space="preserve"> </w:t>
      </w:r>
      <w:r>
        <w:t xml:space="preserve">与</w:t>
      </w:r>
      <w:r>
        <w:t xml:space="preserve"> </w:t>
      </w:r>
      <m:oMath>
        <m:r>
          <m:t>λ</m:t>
        </m:r>
      </m:oMath>
      <w:r>
        <w:t xml:space="preserve"> </w:t>
      </w:r>
      <w:r>
        <w:t xml:space="preserve">的估计值均在 1% 显著性水平下拒绝零假设（</w:t>
      </w:r>
      <m:oMath>
        <m:sSub>
          <m:e>
            <m:r>
              <m:t>t</m:t>
            </m:r>
          </m:e>
          <m:sub>
            <m:r>
              <m:t>ψ</m:t>
            </m:r>
          </m:sub>
        </m:sSub>
        <m:r>
          <m:rPr>
            <m:sty m:val="p"/>
          </m:rPr>
          <m:t>=</m:t>
        </m:r>
        <m:r>
          <m:t>12.47</m:t>
        </m:r>
        <m:r>
          <m:rPr>
            <m:sty m:val="p"/>
          </m:rPr>
          <m:t>,</m:t>
        </m:r>
        <m:r>
          <m:t>p</m:t>
        </m:r>
        <m:r>
          <m:rPr>
            <m:sty m:val="p"/>
          </m:rPr>
          <m:t>&lt;</m:t>
        </m:r>
        <m:r>
          <m:t>0.001</m:t>
        </m:r>
      </m:oMath>
      <w:r>
        <w:t xml:space="preserve">；</w:t>
      </w:r>
      <m:oMath>
        <m:sSub>
          <m:e>
            <m:r>
              <m:t>t</m:t>
            </m:r>
          </m:e>
          <m:sub>
            <m:r>
              <m:t>λ</m:t>
            </m:r>
          </m:sub>
        </m:sSub>
        <m:r>
          <m:rPr>
            <m:sty m:val="p"/>
          </m:rPr>
          <m:t>=</m:t>
        </m:r>
        <m:r>
          <m:t>9.83</m:t>
        </m:r>
        <m:r>
          <m:rPr>
            <m:sty m:val="p"/>
          </m:rPr>
          <m:t>,</m:t>
        </m:r>
        <m:r>
          <m:t>p</m:t>
        </m:r>
        <m:r>
          <m:rPr>
            <m:sty m:val="p"/>
          </m:rPr>
          <m:t>&lt;</m:t>
        </m:r>
        <m:r>
          <m:t>0.001</m:t>
        </m:r>
      </m:oMath>
      <w:r>
        <w:t xml:space="preserve">），且 Hansen</w:t>
      </w:r>
      <w:r>
        <w:t xml:space="preserve"> </w:t>
      </w:r>
      <m:oMath>
        <m:r>
          <m:t>J</m:t>
        </m:r>
      </m:oMath>
      <w:r>
        <w:t xml:space="preserve"> </w:t>
      </w:r>
      <w:r>
        <w:t xml:space="preserve">检验未拒绝工具变量有效性原假设，证实参数组合具备高度的统计显著性与经济合理性。该参数组合定量映射了国际油价向国内终端传导过程中的流通缓冲损耗机制：炼厂加工成本刚性、中间仓储周转及税费结构共同构成物理阻尼，致使国际基准变动仅能以 80% 的效率穿透至零售端。在样本期覆盖的 31 个调价窗口内，模型识别状态</w:t>
      </w:r>
      <w:r>
        <w:t xml:space="preserve"> </w:t>
      </w:r>
      <m:oMath>
        <m:sSub>
          <m:e>
            <m:r>
              <m:t>Z</m:t>
            </m:r>
          </m:e>
          <m:sub>
            <m:r>
              <m:t>n</m:t>
            </m:r>
          </m:sub>
        </m:sSub>
      </m:oMath>
      <w:r>
        <w:t xml:space="preserve"> </w:t>
      </w:r>
      <w:r>
        <w:t xml:space="preserve">全数落入低油价区制。理论调价序列</w:t>
      </w:r>
      <w:r>
        <w:t xml:space="preserve"> </w:t>
      </w:r>
      <m:oMath>
        <m:r>
          <m:t>Δ</m:t>
        </m:r>
        <m:sSubSup>
          <m:e>
            <m:r>
              <m:t>P</m:t>
            </m:r>
          </m:e>
          <m:sub>
            <m:r>
              <m:t>n</m:t>
            </m:r>
          </m:sub>
          <m:sup>
            <m:r>
              <m:rPr>
                <m:nor/>
                <m:sty m:val="p"/>
              </m:rPr>
              <m:t>theo</m:t>
            </m:r>
          </m:sup>
        </m:sSubSup>
      </m:oMath>
      <w:r>
        <w:t xml:space="preserve"> </w:t>
      </w:r>
      <w:r>
        <w:t xml:space="preserve">与实际执行均值精确收敛于 2428.07 元/吨，且期末累积残差严格归零。此结果证实了定价机制在低位运行时的跨期自洽性，残差软累积递推与硬阈值触发逻辑有效过滤了短期噪声，确保价格调整在宏观可控区间内实现跨期守恒。</w:t>
      </w:r>
    </w:p>
    <w:p>
      <w:pPr>
        <w:pStyle w:val="BodyText"/>
      </w:pPr>
      <w:r>
        <w:t xml:space="preserve">为系统评估调控效能，构建政策灵敏度综合指标</w:t>
      </w:r>
      <w:r>
        <w:t xml:space="preserve"> </w:t>
      </w:r>
      <m:oMath>
        <m:sSub>
          <m:e>
            <m:r>
              <m:rPr>
                <m:sty m:val="p"/>
                <m:scr m:val="script"/>
              </m:rPr>
              <m:t>S</m:t>
            </m:r>
          </m:e>
          <m:sub>
            <m:r>
              <m:rPr>
                <m:nor/>
                <m:sty m:val="p"/>
              </m:rPr>
              <m:t>comp</m:t>
            </m:r>
          </m:sub>
        </m:sSub>
      </m:oMath>
      <w:r>
        <w:t xml:space="preserve">。该指标由通胀抑制率</w:t>
      </w:r>
      <w:r>
        <w:t xml:space="preserve"> </w:t>
      </w:r>
      <m:oMath>
        <m:sSub>
          <m:e>
            <m:r>
              <m:t>I</m:t>
            </m:r>
          </m:e>
          <m:sub>
            <m:r>
              <m:t>1</m:t>
            </m:r>
          </m:sub>
        </m:sSub>
      </m:oMath>
      <w:r>
        <w:t xml:space="preserve">、炼厂利润波动率</w:t>
      </w:r>
      <w:r>
        <w:t xml:space="preserve"> </w:t>
      </w:r>
      <m:oMath>
        <m:sSub>
          <m:e>
            <m:r>
              <m:t>I</m:t>
            </m:r>
          </m:e>
          <m:sub>
            <m:r>
              <m:t>2</m:t>
            </m:r>
          </m:sub>
        </m:sSub>
      </m:oMath>
      <w:r>
        <w:t xml:space="preserve"> </w:t>
      </w:r>
      <w:r>
        <w:t xml:space="preserve">及社会预期稳定度</w:t>
      </w:r>
      <w:r>
        <w:t xml:space="preserve"> </w:t>
      </w:r>
      <m:oMath>
        <m:sSub>
          <m:e>
            <m:r>
              <m:t>I</m:t>
            </m:r>
          </m:e>
          <m:sub>
            <m:r>
              <m:t>3</m:t>
            </m:r>
          </m:sub>
        </m:sSub>
      </m:oMath>
      <w:r>
        <w:t xml:space="preserve"> </w:t>
      </w:r>
      <w:r>
        <w:t xml:space="preserve">三维子指标构成，具体公式为：</w:t>
      </w:r>
    </w:p>
    <w:p>
      <w:pPr>
        <w:pStyle w:val="BodyText"/>
      </w:pPr>
      <m:oMathPara>
        <m:oMathParaPr>
          <m:jc m:val="center"/>
        </m:oMathParaPr>
        <m:oMath>
          <m:sSub>
            <m:e>
              <m:r>
                <m:rPr>
                  <m:sty m:val="p"/>
                  <m:scr m:val="script"/>
                </m:rPr>
                <m:t>S</m:t>
              </m:r>
            </m:e>
            <m:sub>
              <m:r>
                <m:rPr>
                  <m:nor/>
                  <m:sty m:val="p"/>
                </m:rPr>
                <m:t>comp</m:t>
              </m:r>
            </m:sub>
          </m:sSub>
          <m:r>
            <m:rPr>
              <m:sty m:val="p"/>
            </m:rPr>
            <m:t>=</m:t>
          </m:r>
          <m:nary>
            <m:naryPr>
              <m:chr m:val="∑"/>
              <m:limLoc m:val="undOvr"/>
              <m:subHide m:val="off"/>
              <m:supHide m:val="off"/>
            </m:naryPr>
            <m:sub>
              <m:r>
                <m:t>k</m:t>
              </m:r>
              <m:r>
                <m:rPr>
                  <m:sty m:val="p"/>
                </m:rPr>
                <m:t>=</m:t>
              </m:r>
              <m:r>
                <m:t>1</m:t>
              </m:r>
            </m:sub>
            <m:sup>
              <m:r>
                <m:t>3</m:t>
              </m:r>
            </m:sup>
            <m:e>
              <m:sSub>
                <m:e>
                  <m:r>
                    <m:t>ω</m:t>
                  </m:r>
                </m:e>
                <m:sub>
                  <m:r>
                    <m:t>k</m:t>
                  </m:r>
                </m:sub>
              </m:sSub>
            </m:e>
          </m:nary>
          <m:r>
            <m:rPr>
              <m:sty m:val="p"/>
            </m:rPr>
            <m:t>⋅</m:t>
          </m:r>
          <m:sSub>
            <m:e>
              <m:acc>
                <m:accPr>
                  <m:chr m:val="̃"/>
                </m:accPr>
                <m:e>
                  <m:r>
                    <m:t>I</m:t>
                  </m:r>
                </m:e>
              </m:acc>
            </m:e>
            <m:sub>
              <m:r>
                <m:t>k</m:t>
              </m:r>
            </m:sub>
          </m:sSub>
          <m:r>
            <m:rPr>
              <m:sty m:val="p"/>
            </m:rPr>
            <m:t>,</m:t>
          </m:r>
          <m:r>
            <m:t> </m:t>
          </m:r>
          <m:r>
            <m:rPr>
              <m:nor/>
              <m:sty m:val="p"/>
            </m:rPr>
            <m:t>其中 </m:t>
          </m:r>
          <m:sSub>
            <m:e>
              <m:acc>
                <m:accPr>
                  <m:chr m:val="̃"/>
                </m:accPr>
                <m:e>
                  <m:r>
                    <m:t>I</m:t>
                  </m:r>
                </m:e>
              </m:acc>
            </m:e>
            <m:sub>
              <m:r>
                <m:t>k</m:t>
              </m:r>
            </m:sub>
          </m:sSub>
          <m:r>
            <m:rPr>
              <m:sty m:val="p"/>
            </m:rPr>
            <m:t>=</m:t>
          </m:r>
          <m:f>
            <m:fPr>
              <m:type m:val="bar"/>
            </m:fPr>
            <m:num>
              <m:sSub>
                <m:e>
                  <m:r>
                    <m:t>I</m:t>
                  </m:r>
                </m:e>
                <m:sub>
                  <m:r>
                    <m:t>k</m:t>
                  </m:r>
                </m:sub>
              </m:sSub>
              <m:r>
                <m:rPr>
                  <m:sty m:val="p"/>
                </m:rPr>
                <m:t>−</m:t>
              </m:r>
              <m:sSubSup>
                <m:e>
                  <m:r>
                    <m:t>I</m:t>
                  </m:r>
                </m:e>
                <m:sub>
                  <m:r>
                    <m:t>k</m:t>
                  </m:r>
                </m:sub>
                <m:sup>
                  <m:r>
                    <m:rPr>
                      <m:sty m:val="p"/>
                    </m:rPr>
                    <m:t>min</m:t>
                  </m:r>
                </m:sup>
              </m:sSubSup>
            </m:num>
            <m:den>
              <m:sSubSup>
                <m:e>
                  <m:r>
                    <m:t>I</m:t>
                  </m:r>
                </m:e>
                <m:sub>
                  <m:r>
                    <m:t>k</m:t>
                  </m:r>
                </m:sub>
                <m:sup>
                  <m:r>
                    <m:rPr>
                      <m:sty m:val="p"/>
                    </m:rPr>
                    <m:t>max</m:t>
                  </m:r>
                </m:sup>
              </m:sSubSup>
              <m:r>
                <m:rPr>
                  <m:sty m:val="p"/>
                </m:rPr>
                <m:t>−</m:t>
              </m:r>
              <m:sSubSup>
                <m:e>
                  <m:r>
                    <m:t>I</m:t>
                  </m:r>
                </m:e>
                <m:sub>
                  <m:r>
                    <m:t>k</m:t>
                  </m:r>
                </m:sub>
                <m:sup>
                  <m:r>
                    <m:rPr>
                      <m:sty m:val="p"/>
                    </m:rPr>
                    <m:t>min</m:t>
                  </m:r>
                </m:sup>
              </m:sSubSup>
            </m:den>
          </m:f>
        </m:oMath>
      </m:oMathPara>
    </w:p>
    <w:p>
      <w:pPr>
        <w:pStyle w:val="FirstParagraph"/>
      </w:pPr>
      <w:r>
        <w:t xml:space="preserve">权重设定</w:t>
      </w:r>
      <w:r>
        <w:t xml:space="preserve"> </w:t>
      </w:r>
      <m:oMath>
        <m:r>
          <m:rPr>
            <m:sty m:val="b"/>
          </m:rPr>
          <m:t>ω</m:t>
        </m:r>
        <m:r>
          <m:rPr>
            <m:sty m:val="p"/>
          </m:rPr>
          <m:t>=</m:t>
        </m:r>
        <m:sSup>
          <m:e>
            <m:d>
              <m:dPr>
                <m:begChr m:val="["/>
                <m:endChr m:val="]"/>
                <m:sepChr m:val=""/>
                <m:grow/>
              </m:dPr>
              <m:e>
                <m:r>
                  <m:t>0.45</m:t>
                </m:r>
                <m:r>
                  <m:rPr>
                    <m:sty m:val="p"/>
                  </m:rPr>
                  <m:t>,</m:t>
                </m:r>
                <m:r>
                  <m:t>0.30</m:t>
                </m:r>
                <m:r>
                  <m:rPr>
                    <m:sty m:val="p"/>
                  </m:rPr>
                  <m:t>,</m:t>
                </m:r>
                <m:r>
                  <m:t>0.25</m:t>
                </m:r>
              </m:e>
            </m:d>
          </m:e>
          <m:sup>
            <m:r>
              <m:rPr>
                <m:sty m:val="p"/>
              </m:rPr>
              <m:t>⊤</m:t>
            </m:r>
          </m:sup>
        </m:sSup>
      </m:oMath>
      <w:r>
        <w:t xml:space="preserve"> </w:t>
      </w:r>
      <w:r>
        <w:t xml:space="preserve">基于熵权法与专家德尔菲法交叉验证确定，归一化处理采用极差标准化以消除量纲异质性并映射至</w:t>
      </w:r>
      <w:r>
        <w:t xml:space="preserve"> </w:t>
      </w:r>
      <m:oMath>
        <m:d>
          <m:dPr>
            <m:begChr m:val="["/>
            <m:endChr m:val="]"/>
            <m:sepChr m:val=""/>
            <m:grow/>
          </m:dPr>
          <m:e>
            <m:r>
              <m:t>0</m:t>
            </m:r>
            <m:r>
              <m:rPr>
                <m:sty m:val="p"/>
              </m:rPr>
              <m:t>,</m:t>
            </m:r>
            <m:r>
              <m:t>1</m:t>
            </m:r>
          </m:e>
        </m:d>
      </m:oMath>
      <w:r>
        <w:t xml:space="preserve"> </w:t>
      </w:r>
      <w:r>
        <w:t xml:space="preserve">区间。基准情景下政策灵敏度综合评分为</w:t>
      </w:r>
      <w:r>
        <w:t xml:space="preserve"> </w:t>
      </w:r>
      <m:oMath>
        <m:r>
          <m:t>0.48</m:t>
        </m:r>
      </m:oMath>
      <w:r>
        <w:t xml:space="preserve">，揭示了现行机制在“稳物价”与“市场化”间的权衡边界。相较于固定周期序列，基于 NSGA-II 提取的 Pareto 最优动态策略将调价滞后性显著压缩。NSGA-II 多目标优化模型以最小化社会福利损失</w:t>
      </w:r>
      <w:r>
        <w:t xml:space="preserve"> </w:t>
      </w:r>
      <m:oMath>
        <m:sSub>
          <m:e>
            <m:r>
              <m:rPr>
                <m:sty m:val="p"/>
                <m:scr m:val="script"/>
              </m:rPr>
              <m:t>L</m:t>
            </m:r>
          </m:e>
          <m:sub>
            <m:r>
              <m:rPr>
                <m:nor/>
                <m:sty m:val="p"/>
              </m:rPr>
              <m:t>welfare</m:t>
            </m:r>
          </m:sub>
        </m:sSub>
      </m:oMath>
      <w:r>
        <w:t xml:space="preserve">、最小化价格偏离度</w:t>
      </w:r>
      <w:r>
        <w:t xml:space="preserve"> </w:t>
      </w:r>
      <m:oMath>
        <m:sSub>
          <m:e>
            <m:r>
              <m:rPr>
                <m:sty m:val="p"/>
                <m:scr m:val="script"/>
              </m:rPr>
              <m:t>D</m:t>
            </m:r>
          </m:e>
          <m:sub>
            <m:r>
              <m:rPr>
                <m:nor/>
                <m:sty m:val="p"/>
              </m:rPr>
              <m:t>dev</m:t>
            </m:r>
          </m:sub>
        </m:sSub>
      </m:oMath>
      <w:r>
        <w:t xml:space="preserve"> </w:t>
      </w:r>
      <w:r>
        <w:t xml:space="preserve">及最大化市场响应敏捷度</w:t>
      </w:r>
      <w:r>
        <w:t xml:space="preserve"> </w:t>
      </w:r>
      <m:oMath>
        <m:sSub>
          <m:e>
            <m:r>
              <m:rPr>
                <m:sty m:val="p"/>
                <m:scr m:val="script"/>
              </m:rPr>
              <m:t>A</m:t>
            </m:r>
          </m:e>
          <m:sub>
            <m:r>
              <m:rPr>
                <m:nor/>
                <m:sty m:val="p"/>
              </m:rPr>
              <m:t>resp</m:t>
            </m:r>
          </m:sub>
        </m:sSub>
      </m:oMath>
      <w:r>
        <w:t xml:space="preserve"> </w:t>
      </w:r>
      <w:r>
        <w:t xml:space="preserve">为目标函数，约束条件严格限定于</w:t>
      </w:r>
      <w:r>
        <w:t xml:space="preserve"> </w:t>
      </w:r>
      <m:oMath>
        <m:d>
          <m:dPr>
            <m:begChr m:val="["/>
            <m:endChr m:val="]"/>
            <m:sepChr m:val=""/>
            <m:grow/>
          </m:dPr>
          <m:e>
            <m:r>
              <m:t>40</m:t>
            </m:r>
            <m:r>
              <m:rPr>
                <m:sty m:val="p"/>
              </m:rPr>
              <m:t>,</m:t>
            </m:r>
            <m:r>
              <m:t>130</m:t>
            </m:r>
          </m:e>
        </m:d>
      </m:oMath>
      <w:r>
        <w:t xml:space="preserve"> </w:t>
      </w:r>
      <w:r>
        <w:t xml:space="preserve">美元/桶的价格区间管制、单次调幅上限</w:t>
      </w:r>
      <w:r>
        <w:t xml:space="preserve"> </w:t>
      </w:r>
      <m:oMath>
        <m:r>
          <m:rPr>
            <m:sty m:val="p"/>
          </m:rPr>
          <m:t>≤</m:t>
        </m:r>
        <m:r>
          <m:t>15</m:t>
        </m:r>
        <m:r>
          <m:rPr>
            <m:sty m:val="p"/>
          </m:rPr>
          <m:t>%</m:t>
        </m:r>
      </m:oMath>
      <w:r>
        <w:t xml:space="preserve"> </w:t>
      </w:r>
      <w:r>
        <w:t xml:space="preserve">及调价周期</w:t>
      </w:r>
      <w:r>
        <w:t xml:space="preserve"> </w:t>
      </w:r>
      <m:oMath>
        <m:r>
          <m:t>τ</m:t>
        </m:r>
        <m:r>
          <m:rPr>
            <m:sty m:val="p"/>
          </m:rPr>
          <m:t>∈</m:t>
        </m:r>
        <m:d>
          <m:dPr>
            <m:begChr m:val="["/>
            <m:endChr m:val="]"/>
            <m:sepChr m:val=""/>
            <m:grow/>
          </m:dPr>
          <m:e>
            <m:r>
              <m:t>5</m:t>
            </m:r>
            <m:r>
              <m:rPr>
                <m:sty m:val="p"/>
              </m:rPr>
              <m:t>,</m:t>
            </m:r>
            <m:r>
              <m:t>10</m:t>
            </m:r>
          </m:e>
        </m:d>
      </m:oMath>
      <w:r>
        <w:t xml:space="preserve"> </w:t>
      </w:r>
      <w:r>
        <w:t xml:space="preserve">个工作日。算法收敛准则设定为连续 50 代 Pareto 前沿超体积（Hypervolume）指标相对变化率低于</w:t>
      </w:r>
      <w:r>
        <w:t xml:space="preserve"> </w:t>
      </w:r>
      <m:oMath>
        <m:sSup>
          <m:e>
            <m:r>
              <m:t>10</m:t>
            </m:r>
          </m:e>
          <m:sup>
            <m:r>
              <m:rPr>
                <m:sty m:val="p"/>
              </m:rPr>
              <m:t>−</m:t>
            </m:r>
            <m:r>
              <m:t>4</m:t>
            </m:r>
          </m:sup>
        </m:sSup>
      </m:oMath>
      <w:r>
        <w:t xml:space="preserve">，并辅以拥挤距离排序维持解集分布均匀性，防止早熟收敛。</w:t>
      </w:r>
    </w:p>
    <w:p>
      <w:pPr>
        <w:pStyle w:val="BodyText"/>
      </w:pPr>
      <w:r>
        <w:t xml:space="preserve">为评估动态响应效能，实施单参数灵敏度扰动测试：将摩擦因子</w:t>
      </w:r>
      <w:r>
        <w:t xml:space="preserve"> </w:t>
      </w:r>
      <m:oMath>
        <m:sSub>
          <m:e>
            <m:r>
              <m:t>λ</m:t>
            </m:r>
          </m:e>
          <m:sub>
            <m:r>
              <m:rPr>
                <m:nor/>
                <m:sty m:val="p"/>
              </m:rPr>
              <m:t>mid</m:t>
            </m:r>
          </m:sub>
        </m:sSub>
      </m:oMath>
      <w:r>
        <w:t xml:space="preserve"> </w:t>
      </w:r>
      <w:r>
        <w:t xml:space="preserve">从基准值</w:t>
      </w:r>
      <w:r>
        <w:t xml:space="preserve"> </w:t>
      </w:r>
      <m:oMath>
        <m:r>
          <m:t>0.60</m:t>
        </m:r>
      </m:oMath>
      <w:r>
        <w:t xml:space="preserve"> </w:t>
      </w:r>
      <w:r>
        <w:t xml:space="preserve">下调至</w:t>
      </w:r>
      <w:r>
        <w:t xml:space="preserve"> </w:t>
      </w:r>
      <m:oMath>
        <m:r>
          <m:t>0.45</m:t>
        </m:r>
      </m:oMath>
      <w:r>
        <w:t xml:space="preserve"> </w:t>
      </w:r>
      <w:r>
        <w:t xml:space="preserve">时，灵敏度得分跃升至</w:t>
      </w:r>
      <w:r>
        <w:t xml:space="preserve"> </w:t>
      </w:r>
      <m:oMath>
        <m:r>
          <m:t>0.63</m:t>
        </m:r>
      </m:oMath>
      <w:r>
        <w:t xml:space="preserve">，但社会福利损失因价格超调反向增加</w:t>
      </w:r>
      <w:r>
        <w:t xml:space="preserve"> </w:t>
      </w:r>
      <m:oMath>
        <m:r>
          <m:t>7.2</m:t>
        </m:r>
        <m:r>
          <m:rPr>
            <m:sty m:val="p"/>
          </m:rPr>
          <m:t>%</m:t>
        </m:r>
      </m:oMath>
      <w:r>
        <w:t xml:space="preserve">；反之上调至</w:t>
      </w:r>
      <w:r>
        <w:t xml:space="preserve"> </w:t>
      </w:r>
      <m:oMath>
        <m:r>
          <m:t>0.75</m:t>
        </m:r>
      </m:oMath>
      <w:r>
        <w:t xml:space="preserve"> </w:t>
      </w:r>
      <w:r>
        <w:t xml:space="preserve">时，灵敏度降至</w:t>
      </w:r>
      <w:r>
        <w:t xml:space="preserve"> </w:t>
      </w:r>
      <m:oMath>
        <m:r>
          <m:t>0.31</m:t>
        </m:r>
      </m:oMath>
      <w:r>
        <w:t xml:space="preserve">，平均响应滞后延长</w:t>
      </w:r>
      <w:r>
        <w:t xml:space="preserve"> </w:t>
      </w:r>
      <m:oMath>
        <m:r>
          <m:t>3.8</m:t>
        </m:r>
      </m:oMath>
      <w:r>
        <w:t xml:space="preserve"> </w:t>
      </w:r>
      <w:r>
        <w:t xml:space="preserve">个工作日。构建灵敏度-油价波动率响应曲面表明，当波动率</w:t>
      </w:r>
      <w:r>
        <w:t xml:space="preserve"> </w:t>
      </w:r>
      <m:oMath>
        <m:r>
          <m:t>σ</m:t>
        </m:r>
        <m:r>
          <m:rPr>
            <m:sty m:val="p"/>
          </m:rPr>
          <m:t>∈</m:t>
        </m:r>
        <m:d>
          <m:dPr>
            <m:begChr m:val="["/>
            <m:endChr m:val="]"/>
            <m:sepChr m:val=""/>
            <m:grow/>
          </m:dPr>
          <m:e>
            <m:r>
              <m:t>1.5</m:t>
            </m:r>
            <m:r>
              <m:rPr>
                <m:sty m:val="p"/>
              </m:rPr>
              <m:t>%</m:t>
            </m:r>
            <m:r>
              <m:rPr>
                <m:sty m:val="p"/>
              </m:rPr>
              <m:t>,</m:t>
            </m:r>
            <m:r>
              <m:t>3.0</m:t>
            </m:r>
            <m:r>
              <m:rPr>
                <m:sty m:val="p"/>
              </m:rPr>
              <m:t>%</m:t>
            </m:r>
          </m:e>
        </m:d>
      </m:oMath>
      <w:r>
        <w:t xml:space="preserve"> </w:t>
      </w:r>
      <w:r>
        <w:t xml:space="preserve">时，弹性传导区间维持在</w:t>
      </w:r>
      <w:r>
        <w:t xml:space="preserve"> </w:t>
      </w:r>
      <m:oMath>
        <m:d>
          <m:dPr>
            <m:begChr m:val="["/>
            <m:endChr m:val="]"/>
            <m:sepChr m:val=""/>
            <m:grow/>
          </m:dPr>
          <m:e>
            <m:r>
              <m:t>0.72</m:t>
            </m:r>
            <m:r>
              <m:rPr>
                <m:sty m:val="p"/>
              </m:rPr>
              <m:t>,</m:t>
            </m:r>
            <m:r>
              <m:t>0.85</m:t>
            </m:r>
          </m:e>
        </m:d>
      </m:oMath>
      <w:r>
        <w:t xml:space="preserve"> </w:t>
      </w:r>
      <w:r>
        <w:t xml:space="preserve">的稳健带内，其边际损失函数可表述为：</w:t>
      </w:r>
    </w:p>
    <w:p>
      <w:pPr>
        <w:pStyle w:val="BodyText"/>
      </w:pPr>
      <m:oMathPara>
        <m:oMathParaPr>
          <m:jc m:val="center"/>
        </m:oMathParaPr>
        <m:oMath>
          <m:f>
            <m:fPr>
              <m:type m:val="bar"/>
            </m:fPr>
            <m:num>
              <m:r>
                <m:rPr>
                  <m:sty m:val="p"/>
                </m:rPr>
                <m:t>∂</m:t>
              </m:r>
              <m:sSub>
                <m:e>
                  <m:r>
                    <m:rPr>
                      <m:sty m:val="p"/>
                      <m:scr m:val="script"/>
                    </m:rPr>
                    <m:t>L</m:t>
                  </m:r>
                </m:e>
                <m:sub>
                  <m:r>
                    <m:rPr>
                      <m:nor/>
                      <m:sty m:val="p"/>
                    </m:rPr>
                    <m:t>welfare</m:t>
                  </m:r>
                </m:sub>
              </m:sSub>
            </m:num>
            <m:den>
              <m:r>
                <m:rPr>
                  <m:sty m:val="p"/>
                </m:rPr>
                <m:t>∂</m:t>
              </m:r>
              <m:r>
                <m:t>λ</m:t>
              </m:r>
            </m:den>
          </m:f>
          <m:r>
            <m:rPr>
              <m:sty m:val="p"/>
            </m:rPr>
            <m:t>=</m:t>
          </m:r>
          <m:sSub>
            <m:e>
              <m:r>
                <m:t>κ</m:t>
              </m:r>
            </m:e>
            <m:sub>
              <m:r>
                <m:t>1</m:t>
              </m:r>
            </m:sub>
          </m:sSub>
          <m:sSup>
            <m:e>
              <m:d>
                <m:dPr>
                  <m:begChr m:val="("/>
                  <m:endChr m:val=")"/>
                  <m:sepChr m:val=""/>
                  <m:grow/>
                </m:dPr>
                <m:e>
                  <m:r>
                    <m:t>λ</m:t>
                  </m:r>
                  <m:r>
                    <m:rPr>
                      <m:sty m:val="p"/>
                    </m:rPr>
                    <m:t>−</m:t>
                  </m:r>
                  <m:sSup>
                    <m:e>
                      <m:r>
                        <m:t>λ</m:t>
                      </m:r>
                    </m:e>
                    <m:sup>
                      <m:r>
                        <m:rPr>
                          <m:sty m:val="p"/>
                        </m:rPr>
                        <m:t>*</m:t>
                      </m:r>
                    </m:sup>
                  </m:sSup>
                </m:e>
              </m:d>
            </m:e>
            <m:sup>
              <m:r>
                <m:t>2</m:t>
              </m:r>
            </m:sup>
          </m:sSup>
          <m:r>
            <m:rPr>
              <m:sty m:val="p"/>
            </m:rPr>
            <m:t>+</m:t>
          </m:r>
          <m:sSub>
            <m:e>
              <m:r>
                <m:t>κ</m:t>
              </m:r>
            </m:e>
            <m:sub>
              <m:r>
                <m:t>2</m:t>
              </m:r>
            </m:sub>
          </m:sSub>
          <m:sSup>
            <m:e>
              <m:r>
                <m:t>σ</m:t>
              </m:r>
            </m:e>
            <m:sup>
              <m:r>
                <m:t>2</m:t>
              </m:r>
            </m:sup>
          </m:sSup>
          <m:r>
            <m:rPr>
              <m:sty m:val="p"/>
            </m:rPr>
            <m:t>,</m:t>
          </m:r>
          <m:r>
            <m:t> </m:t>
          </m:r>
          <m:sSup>
            <m:e>
              <m:r>
                <m:t>λ</m:t>
              </m:r>
            </m:e>
            <m:sup>
              <m:r>
                <m:rPr>
                  <m:sty m:val="p"/>
                </m:rPr>
                <m:t>*</m:t>
              </m:r>
            </m:sup>
          </m:sSup>
          <m:r>
            <m:rPr>
              <m:sty m:val="p"/>
            </m:rPr>
            <m:t>=</m:t>
          </m:r>
          <m:r>
            <m:t>0.60</m:t>
          </m:r>
        </m:oMath>
      </m:oMathPara>
    </w:p>
    <w:p>
      <w:pPr>
        <w:pStyle w:val="FirstParagraph"/>
      </w:pPr>
      <w:r>
        <w:t xml:space="preserve">多目标优化使基准社会福利损失降幅达</w:t>
      </w:r>
      <w:r>
        <w:t xml:space="preserve"> </w:t>
      </w:r>
      <m:oMath>
        <m:r>
          <m:t>18.6</m:t>
        </m:r>
        <m:r>
          <m:rPr>
            <m:sty m:val="p"/>
          </m:rPr>
          <m:t>%</m:t>
        </m:r>
      </m:oMath>
      <w:r>
        <w:t xml:space="preserve">，验证了</w:t>
      </w:r>
      <w:r>
        <w:t xml:space="preserve"> </w:t>
      </w:r>
      <m:oMath>
        <m:sSub>
          <m:e>
            <m:r>
              <m:t>λ</m:t>
            </m:r>
          </m:e>
          <m:sub>
            <m:r>
              <m:rPr>
                <m:nor/>
                <m:sty m:val="p"/>
              </m:rPr>
              <m:t>mid</m:t>
            </m:r>
          </m:sub>
        </m:sSub>
        <m:r>
          <m:rPr>
            <m:sty m:val="p"/>
          </m:rPr>
          <m:t>=</m:t>
        </m:r>
        <m:r>
          <m:t>0.60</m:t>
        </m:r>
      </m:oMath>
      <w:r>
        <w:t xml:space="preserve"> </w:t>
      </w:r>
      <w:r>
        <w:t xml:space="preserve">为 Pareto 前沿上的最优均衡点。</w:t>
      </w:r>
    </w:p>
    <w:p>
      <w:pPr>
        <w:pStyle w:val="BodyText"/>
      </w:pPr>
      <w:r>
        <w:t xml:space="preserve">然而，基准区制的平稳性难以涵盖地缘政治黑天鹅事件的极端冲击。为检验机制在尾部风险下的鲁棒性，本研究通过引入马尔可夫状态转移概率矩阵的结构性断点，实现从基准情景向极端地缘政治压力测试的建模逻辑转换：当霍尔木兹海峡封锁风险溢价突破历史 95% 分位数且国际油价波动率持续高于阈值时，强制触发高油价区制切换（</w:t>
      </w:r>
      <m:oMath>
        <m:sSub>
          <m:e>
            <m:r>
              <m:t>τ</m:t>
            </m:r>
          </m:e>
          <m:sub>
            <m:r>
              <m:t>H</m:t>
            </m:r>
          </m:sub>
        </m:sSub>
        <m:r>
          <m:rPr>
            <m:sty m:val="p"/>
          </m:rPr>
          <m:t>=</m:t>
        </m:r>
        <m:r>
          <m:t>4.4</m:t>
        </m:r>
      </m:oMath>
      <w:r>
        <w:t xml:space="preserve">），模拟供应链断裂与投机性囤货叠加的非线性冲击。在此极端压力测试下，需先行界定调价残差的经济学内涵。残差项</w:t>
      </w:r>
      <w:r>
        <w:t xml:space="preserve"> </w:t>
      </w:r>
      <m:oMath>
        <m:sSub>
          <m:e>
            <m:r>
              <m:t>R</m:t>
            </m:r>
          </m:e>
          <m:sub>
            <m:r>
              <m:t>t</m:t>
            </m:r>
          </m:sub>
        </m:sSub>
      </m:oMath>
      <w:r>
        <w:t xml:space="preserve"> </w:t>
      </w:r>
      <w:r>
        <w:t xml:space="preserve">并非单纯的会计差额，而是表征“价格蓄水池”功能的跨期平滑缓冲池，其物理对应为炼厂与流通环节的隐性库存调节能力，金融对应则为政策对冲基金的风险准备金规模。初始状态设定为</w:t>
      </w:r>
      <w:r>
        <w:t xml:space="preserve"> </w:t>
      </w:r>
      <m:oMath>
        <m:sSub>
          <m:e>
            <m:r>
              <m:t>R</m:t>
            </m:r>
          </m:e>
          <m:sub>
            <m:r>
              <m:t>0</m:t>
            </m:r>
          </m:sub>
        </m:sSub>
        <m:r>
          <m:rPr>
            <m:sty m:val="p"/>
          </m:rPr>
          <m:t>=</m:t>
        </m:r>
        <m:r>
          <m:t>0</m:t>
        </m:r>
      </m:oMath>
      <w:r>
        <w:t xml:space="preserve">，反映机制启动期初无历史累积偏差。引入残差动态演化方程：</w:t>
      </w:r>
    </w:p>
    <w:p>
      <w:pPr>
        <w:pStyle w:val="BodyText"/>
      </w:pPr>
      <m:oMathPara>
        <m:oMathParaPr>
          <m:jc m:val="center"/>
        </m:oMathParaPr>
        <m:oMath>
          <m:sSub>
            <m:e>
              <m:r>
                <m:t>R</m:t>
              </m:r>
            </m:e>
            <m:sub>
              <m:r>
                <m:t>t</m:t>
              </m:r>
            </m:sub>
          </m:sSub>
          <m:r>
            <m:rPr>
              <m:sty m:val="p"/>
            </m:rPr>
            <m:t>=</m:t>
          </m:r>
          <m:sSub>
            <m:e>
              <m:r>
                <m:t>R</m:t>
              </m:r>
            </m:e>
            <m:sub>
              <m:r>
                <m:t>t</m:t>
              </m:r>
              <m:r>
                <m:rPr>
                  <m:sty m:val="p"/>
                </m:rPr>
                <m:t>−</m:t>
              </m:r>
              <m:r>
                <m:t>1</m:t>
              </m:r>
            </m:sub>
          </m:sSub>
          <m:r>
            <m:rPr>
              <m:sty m:val="p"/>
            </m:rPr>
            <m:t>exp</m:t>
          </m:r>
          <m:d>
            <m:dPr>
              <m:begChr m:val="("/>
              <m:endChr m:val=")"/>
              <m:sepChr m:val=""/>
              <m:grow/>
            </m:dPr>
            <m:e>
              <m:r>
                <m:rPr>
                  <m:sty m:val="p"/>
                </m:rPr>
                <m:t>−</m:t>
              </m:r>
              <m:r>
                <m:t>γ</m:t>
              </m:r>
              <m:r>
                <m:t>Δ</m:t>
              </m:r>
              <m:r>
                <m:t>t</m:t>
              </m:r>
            </m:e>
          </m:d>
          <m:r>
            <m:rPr>
              <m:sty m:val="p"/>
            </m:rPr>
            <m:t>+</m:t>
          </m:r>
          <m:sSub>
            <m:e>
              <m:r>
                <m:t>ξ</m:t>
              </m:r>
            </m:e>
            <m:sub>
              <m:r>
                <m:t>t</m:t>
              </m:r>
            </m:sub>
          </m:sSub>
          <m:d>
            <m:dPr>
              <m:begChr m:val="("/>
              <m:endChr m:val=")"/>
              <m:sepChr m:val=""/>
              <m:grow/>
            </m:dPr>
            <m:e>
              <m:r>
                <m:t>Δ</m:t>
              </m:r>
              <m:sSubSup>
                <m:e>
                  <m:r>
                    <m:t>P</m:t>
                  </m:r>
                </m:e>
                <m:sub>
                  <m:r>
                    <m:t>t</m:t>
                  </m:r>
                </m:sub>
                <m:sup>
                  <m:r>
                    <m:rPr>
                      <m:nor/>
                      <m:sty m:val="p"/>
                    </m:rPr>
                    <m:t>theo</m:t>
                  </m:r>
                </m:sup>
              </m:sSubSup>
              <m:r>
                <m:rPr>
                  <m:sty m:val="p"/>
                </m:rPr>
                <m:t>−</m:t>
              </m:r>
              <m:r>
                <m:t>Δ</m:t>
              </m:r>
              <m:sSubSup>
                <m:e>
                  <m:r>
                    <m:t>P</m:t>
                  </m:r>
                </m:e>
                <m:sub>
                  <m:r>
                    <m:t>t</m:t>
                  </m:r>
                </m:sub>
                <m:sup>
                  <m:r>
                    <m:rPr>
                      <m:nor/>
                      <m:sty m:val="p"/>
                    </m:rPr>
                    <m:t>actual</m:t>
                  </m:r>
                </m:sup>
              </m:sSubSup>
            </m:e>
          </m:d>
        </m:oMath>
      </m:oMathPara>
    </w:p>
    <w:p>
      <w:pPr>
        <w:pStyle w:val="FirstParagraph"/>
      </w:pPr>
      <w:r>
        <w:t xml:space="preserve">其中，</w:t>
      </w:r>
      <m:oMath>
        <m:r>
          <m:t>γ</m:t>
        </m:r>
      </m:oMath>
      <w:r>
        <w:t xml:space="preserve"> </w:t>
      </w:r>
      <w:r>
        <w:t xml:space="preserve">为耗散系数，表征缓冲池随时间推移的自然衰减与库存周转消耗；</w:t>
      </w:r>
      <m:oMath>
        <m:sSub>
          <m:e>
            <m:r>
              <m:t>ξ</m:t>
            </m:r>
          </m:e>
          <m:sub>
            <m:r>
              <m:t>t</m:t>
            </m:r>
          </m:sub>
        </m:sSub>
      </m:oMath>
      <w:r>
        <w:t xml:space="preserve"> </w:t>
      </w:r>
      <w:r>
        <w:t xml:space="preserve">为状态依赖的累积指示函数。压力测试显示，调价触发频率跃升至</w:t>
      </w:r>
      <w:r>
        <w:t xml:space="preserve"> </w:t>
      </w:r>
      <m:oMath>
        <m:r>
          <m:t>4.8</m:t>
        </m:r>
      </m:oMath>
      <w:r>
        <w:t xml:space="preserve"> </w:t>
      </w:r>
      <w:r>
        <w:t xml:space="preserve">次/月，单次调价幅度呈现显著右偏截断分布。经极大似然估计（MLE）标定耗散系数</w:t>
      </w:r>
      <w:r>
        <w:t xml:space="preserve"> </w:t>
      </w:r>
      <m:oMath>
        <m:r>
          <m:t>γ</m:t>
        </m:r>
        <m:r>
          <m:rPr>
            <m:sty m:val="p"/>
          </m:rPr>
          <m:t>=</m:t>
        </m:r>
        <m:r>
          <m:t>0.34</m:t>
        </m:r>
      </m:oMath>
      <w:r>
        <w:t xml:space="preserve">，残差蓄水池消耗路径遵循分段指数衰减规律。低维调控规则在剧烈波动中未引发价格超调。不同置信水平下的预测带宽度与福利损失量化结果如表 1 所示。热力图刻画显示，当国际油价突破</w:t>
      </w:r>
      <w:r>
        <w:t xml:space="preserve"> </w:t>
      </w:r>
      <m:oMath>
        <m:r>
          <m:t>110</m:t>
        </m:r>
      </m:oMath>
      <w:r>
        <w:t xml:space="preserve"> </w:t>
      </w:r>
      <w:r>
        <w:t xml:space="preserve">美元/桶时，净损失呈阶梯跃升，阈值截断机制有效阻断了通胀螺旋传导。</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置信水平</w:t>
            </w:r>
          </w:p>
        </w:tc>
        <w:tc>
          <w:tcPr/>
          <w:p>
            <w:pPr>
              <w:pStyle w:val="Compact"/>
              <w:jc w:val="left"/>
            </w:pPr>
            <w:r>
              <w:t xml:space="preserve">预测带宽度(元/吨)</w:t>
            </w:r>
          </w:p>
        </w:tc>
        <w:tc>
          <w:tcPr/>
          <w:p>
            <w:pPr>
              <w:pStyle w:val="Compact"/>
              <w:jc w:val="left"/>
            </w:pPr>
            <w:r>
              <w:t xml:space="preserve">福利损失边际增量(%)</w:t>
            </w:r>
          </w:p>
        </w:tc>
        <w:tc>
          <w:tcPr/>
          <w:p>
            <w:pPr>
              <w:pStyle w:val="Compact"/>
              <w:jc w:val="left"/>
            </w:pPr>
            <w:r>
              <w:t xml:space="preserve">触发频率(次/月)</w:t>
            </w:r>
          </w:p>
        </w:tc>
      </w:tr>
      <w:tr>
        <w:tc>
          <w:tcPr/>
          <w:p>
            <w:pPr>
              <w:pStyle w:val="Compact"/>
              <w:jc w:val="left"/>
            </w:pPr>
            <w:r>
              <w:t xml:space="preserve">90%</w:t>
            </w:r>
          </w:p>
        </w:tc>
        <w:tc>
          <w:tcPr/>
          <w:p>
            <w:pPr>
              <w:pStyle w:val="Compact"/>
              <w:jc w:val="left"/>
            </w:pPr>
            <m:oMath>
              <m:r>
                <m:rPr>
                  <m:sty m:val="p"/>
                </m:rPr>
                <m:t>±</m:t>
              </m:r>
              <m:r>
                <m:t>210</m:t>
              </m:r>
            </m:oMath>
          </w:p>
        </w:tc>
        <w:tc>
          <w:tcPr/>
          <w:p>
            <w:pPr>
              <w:pStyle w:val="Compact"/>
              <w:jc w:val="left"/>
            </w:pPr>
            <w:r>
              <w:t xml:space="preserve">3.2</w:t>
            </w:r>
          </w:p>
        </w:tc>
        <w:tc>
          <w:tcPr/>
          <w:p>
            <w:pPr>
              <w:pStyle w:val="Compact"/>
              <w:jc w:val="left"/>
            </w:pPr>
            <w:r>
              <w:t xml:space="preserve">3.1</w:t>
            </w:r>
          </w:p>
        </w:tc>
      </w:tr>
      <w:tr>
        <w:tc>
          <w:tcPr/>
          <w:p>
            <w:pPr>
              <w:pStyle w:val="Compact"/>
              <w:jc w:val="left"/>
            </w:pPr>
            <w:r>
              <w:t xml:space="preserve">95%</w:t>
            </w:r>
          </w:p>
        </w:tc>
        <w:tc>
          <w:tcPr/>
          <w:p>
            <w:pPr>
              <w:pStyle w:val="Compact"/>
              <w:jc w:val="left"/>
            </w:pPr>
            <m:oMath>
              <m:r>
                <m:rPr>
                  <m:sty m:val="p"/>
                </m:rPr>
                <m:t>±</m:t>
              </m:r>
              <m:r>
                <m:t>320</m:t>
              </m:r>
            </m:oMath>
          </w:p>
        </w:tc>
        <w:tc>
          <w:tcPr/>
          <w:p>
            <w:pPr>
              <w:pStyle w:val="Compact"/>
              <w:jc w:val="left"/>
            </w:pPr>
            <w:r>
              <w:t xml:space="preserve">5.8</w:t>
            </w:r>
          </w:p>
        </w:tc>
        <w:tc>
          <w:tcPr/>
          <w:p>
            <w:pPr>
              <w:pStyle w:val="Compact"/>
              <w:jc w:val="left"/>
            </w:pPr>
            <w:r>
              <w:t xml:space="preserve">4.8</w:t>
            </w:r>
          </w:p>
        </w:tc>
      </w:tr>
      <w:tr>
        <w:tc>
          <w:tcPr/>
          <w:p>
            <w:pPr>
              <w:pStyle w:val="Compact"/>
              <w:jc w:val="left"/>
            </w:pPr>
            <w:r>
              <w:t xml:space="preserve">99%</w:t>
            </w:r>
          </w:p>
        </w:tc>
        <w:tc>
          <w:tcPr/>
          <w:p>
            <w:pPr>
              <w:pStyle w:val="Compact"/>
              <w:jc w:val="left"/>
            </w:pPr>
            <m:oMath>
              <m:r>
                <m:rPr>
                  <m:sty m:val="p"/>
                </m:rPr>
                <m:t>±</m:t>
              </m:r>
              <m:r>
                <m:t>485</m:t>
              </m:r>
            </m:oMath>
          </w:p>
        </w:tc>
        <w:tc>
          <w:tcPr/>
          <w:p>
            <w:pPr>
              <w:pStyle w:val="Compact"/>
              <w:jc w:val="left"/>
            </w:pPr>
            <w:r>
              <w:t xml:space="preserve">9.4</w:t>
            </w:r>
          </w:p>
        </w:tc>
        <w:tc>
          <w:tcPr/>
          <w:p>
            <w:pPr>
              <w:pStyle w:val="Compact"/>
              <w:jc w:val="left"/>
            </w:pPr>
            <w:r>
              <w:t xml:space="preserve">6.2</w:t>
            </w:r>
          </w:p>
        </w:tc>
      </w:tr>
    </w:tbl>
    <w:p>
      <w:pPr>
        <w:pStyle w:val="BodyText"/>
      </w:pPr>
      <w:r>
        <w:t xml:space="preserve">基于仿真结论，提出三项可操作优化路径：其一，引入 5 日弹性调价机制，缩短观测周期以降低信息滞后成本约</w:t>
      </w:r>
      <w:r>
        <w:t xml:space="preserve"> </w:t>
      </w:r>
      <m:oMath>
        <m:r>
          <m:t>22</m:t>
        </m:r>
        <m:r>
          <m:rPr>
            <m:sty m:val="p"/>
          </m:rPr>
          <m:t>%</m:t>
        </m:r>
      </m:oMath>
      <w:r>
        <w:t xml:space="preserve">；其二，动态调整挂靠油种权重</w:t>
      </w:r>
      <w:r>
        <w:t xml:space="preserve"> </w:t>
      </w:r>
      <m:oMath>
        <m:sSub>
          <m:e>
            <m:r>
              <m:t>w</m:t>
            </m:r>
          </m:e>
          <m:sub>
            <m:r>
              <m:t>i</m:t>
            </m:r>
          </m:sub>
        </m:sSub>
      </m:oMath>
      <w:r>
        <w:t xml:space="preserve">，构建自适应加权篮子提升区域供需代表性；其三，设立官方“残差平滑基金”，在低波动期计提超额利润，于高波动期对冲调价缺口。经行政成本效益测算，该方案年化执行成本仅占调价总额的</w:t>
      </w:r>
      <w:r>
        <w:t xml:space="preserve"> </w:t>
      </w:r>
      <m:oMath>
        <m:r>
          <m:t>0.8</m:t>
        </m:r>
        <m:r>
          <m:rPr>
            <m:sty m:val="p"/>
          </m:rPr>
          <m:t>%</m:t>
        </m:r>
      </m:oMath>
      <w:r>
        <w:t xml:space="preserve">，但可使市场预期引导效率提升</w:t>
      </w:r>
      <w:r>
        <w:t xml:space="preserve"> </w:t>
      </w:r>
      <m:oMath>
        <m:r>
          <m:t>31.5</m:t>
        </m:r>
        <m:r>
          <m:rPr>
            <m:sty m:val="p"/>
          </m:rPr>
          <m:t>%</m:t>
        </m:r>
      </m:oMath>
      <w:r>
        <w:t xml:space="preserve">。该决策支持框架实现了从“被动跟价”向“主动平滑”的范式转换，为宏观价格调控提供了严密的量化基准。</w:t>
      </w:r>
    </w:p>
    <w:bookmarkEnd w:id="27"/>
    <w:bookmarkStart w:id="28" w:name="八灵敏度分析"/>
    <w:p>
      <w:pPr>
        <w:pStyle w:val="Heading2"/>
      </w:pPr>
      <w:r>
        <w:t xml:space="preserve">八、灵敏度分析</w:t>
      </w:r>
    </w:p>
    <w:p>
      <w:pPr>
        <w:pStyle w:val="FirstParagraph"/>
      </w:pPr>
      <w:r>
        <w:t xml:space="preserve">为量化动态调价机制在极端地缘冲击下的政策效能，本研究首先构建国际油价向国内成品油价格传导的递推框架。设第</w:t>
      </w:r>
      <w:r>
        <w:t xml:space="preserve"> </w:t>
      </w:r>
      <m:oMath>
        <m:r>
          <m:t>n</m:t>
        </m:r>
      </m:oMath>
      <w:r>
        <w:t xml:space="preserve"> </w:t>
      </w:r>
      <w:r>
        <w:t xml:space="preserve">个调价窗口期的国际加权均价为</w:t>
      </w:r>
      <w:r>
        <w:t xml:space="preserve"> </w:t>
      </w:r>
      <m:oMath>
        <m:sSubSup>
          <m:e>
            <m:acc>
              <m:accPr>
                <m:chr m:val="‾"/>
              </m:accPr>
              <m:e>
                <m:r>
                  <m:t>P</m:t>
                </m:r>
              </m:e>
            </m:acc>
          </m:e>
          <m:sub>
            <m:r>
              <m:t>n</m:t>
            </m:r>
          </m:sub>
          <m:sup>
            <m:r>
              <m:rPr>
                <m:nor/>
                <m:sty m:val="p"/>
              </m:rPr>
              <m:t>int</m:t>
            </m:r>
          </m:sup>
        </m:sSubSup>
      </m:oMath>
      <w:r>
        <w:t xml:space="preserve">，其计算严格遵循一揽子原油权重分配与窗口期移动平均规则：</w:t>
      </w:r>
    </w:p>
    <w:p>
      <w:pPr>
        <w:pStyle w:val="BodyText"/>
      </w:pPr>
      <m:oMathPara>
        <m:oMathParaPr>
          <m:jc m:val="center"/>
        </m:oMathParaPr>
        <m:oMath>
          <m:sSubSup>
            <m:e>
              <m:acc>
                <m:accPr>
                  <m:chr m:val="‾"/>
                </m:accPr>
                <m:e>
                  <m:r>
                    <m:t>P</m:t>
                  </m:r>
                </m:e>
              </m:acc>
            </m:e>
            <m:sub>
              <m:r>
                <m:t>n</m:t>
              </m:r>
            </m:sub>
            <m:sup>
              <m:r>
                <m:rPr>
                  <m:nor/>
                  <m:sty m:val="p"/>
                </m:rPr>
                <m:t>int</m:t>
              </m:r>
            </m:sup>
          </m:sSubSup>
          <m:r>
            <m:rPr>
              <m:sty m:val="p"/>
            </m:rPr>
            <m:t>=</m:t>
          </m:r>
          <m:nary>
            <m:naryPr>
              <m:chr m:val="∑"/>
              <m:limLoc m:val="undOvr"/>
              <m:subHide m:val="off"/>
              <m:supHide m:val="off"/>
            </m:naryPr>
            <m:sub>
              <m:r>
                <m:t>i</m:t>
              </m:r>
              <m:r>
                <m:rPr>
                  <m:sty m:val="p"/>
                </m:rPr>
                <m:t>=</m:t>
              </m:r>
              <m:r>
                <m:t>1</m:t>
              </m:r>
            </m:sub>
            <m:sup>
              <m:r>
                <m:t>M</m:t>
              </m:r>
            </m:sup>
            <m:e>
              <m:sSub>
                <m:e>
                  <m:r>
                    <m:t>w</m:t>
                  </m:r>
                </m:e>
                <m:sub>
                  <m:r>
                    <m:t>i</m:t>
                  </m:r>
                </m:sub>
              </m:sSub>
            </m:e>
          </m:nary>
          <m:d>
            <m:dPr>
              <m:begChr m:val="("/>
              <m:endChr m:val=")"/>
              <m:sepChr m:val=""/>
              <m:grow/>
            </m:dPr>
            <m:e>
              <m:f>
                <m:fPr>
                  <m:type m:val="bar"/>
                </m:fPr>
                <m:num>
                  <m:r>
                    <m:t>1</m:t>
                  </m:r>
                </m:num>
                <m:den>
                  <m:r>
                    <m:t>K</m:t>
                  </m:r>
                </m:den>
              </m:f>
              <m:nary>
                <m:naryPr>
                  <m:chr m:val="∑"/>
                  <m:limLoc m:val="undOvr"/>
                  <m:subHide m:val="off"/>
                  <m:supHide m:val="off"/>
                </m:naryPr>
                <m:sub>
                  <m:r>
                    <m:t>k</m:t>
                  </m:r>
                  <m:r>
                    <m:rPr>
                      <m:sty m:val="p"/>
                    </m:rPr>
                    <m:t>=</m:t>
                  </m:r>
                  <m:r>
                    <m:t>0</m:t>
                  </m:r>
                </m:sub>
                <m:sup>
                  <m:r>
                    <m:t>K</m:t>
                  </m:r>
                  <m:r>
                    <m:rPr>
                      <m:sty m:val="p"/>
                    </m:rPr>
                    <m:t>−</m:t>
                  </m:r>
                  <m:r>
                    <m:t>1</m:t>
                  </m:r>
                </m:sup>
                <m:e>
                  <m:sSub>
                    <m:e>
                      <m:r>
                        <m:t>P</m:t>
                      </m:r>
                    </m:e>
                    <m:sub>
                      <m:r>
                        <m:t>i</m:t>
                      </m:r>
                      <m:r>
                        <m:rPr>
                          <m:sty m:val="p"/>
                        </m:rPr>
                        <m:t>,</m:t>
                      </m:r>
                      <m:r>
                        <m:t>n</m:t>
                      </m:r>
                      <m:r>
                        <m:rPr>
                          <m:sty m:val="p"/>
                        </m:rPr>
                        <m:t>−</m:t>
                      </m:r>
                      <m:r>
                        <m:t>k</m:t>
                      </m:r>
                    </m:sub>
                  </m:sSub>
                </m:e>
              </m:nary>
            </m:e>
          </m:d>
        </m:oMath>
      </m:oMathPara>
    </w:p>
    <w:p>
      <w:pPr>
        <w:pStyle w:val="FirstParagraph"/>
      </w:pPr>
      <w:r>
        <w:t xml:space="preserve">其中</w:t>
      </w:r>
      <w:r>
        <w:t xml:space="preserve"> </w:t>
      </w:r>
      <m:oMath>
        <m:r>
          <m:t>M</m:t>
        </m:r>
      </m:oMath>
      <w:r>
        <w:t xml:space="preserve"> </w:t>
      </w:r>
      <w:r>
        <w:t xml:space="preserve">为挂靠油种数量，</w:t>
      </w:r>
      <m:oMath>
        <m:sSub>
          <m:e>
            <m:r>
              <m:t>w</m:t>
            </m:r>
          </m:e>
          <m:sub>
            <m:r>
              <m:t>i</m:t>
            </m:r>
          </m:sub>
        </m:sSub>
      </m:oMath>
      <w:r>
        <w:t xml:space="preserve"> </w:t>
      </w:r>
      <w:r>
        <w:t xml:space="preserve">为隐含权重（经历史拟合校准为</w:t>
      </w:r>
      <w:r>
        <w:t xml:space="preserve"> </w:t>
      </w:r>
      <m:oMath>
        <m:sSub>
          <m:e>
            <m:r>
              <m:t>w</m:t>
            </m:r>
          </m:e>
          <m:sub>
            <m:r>
              <m:rPr>
                <m:nor/>
                <m:sty m:val="p"/>
              </m:rPr>
              <m:t>Brent</m:t>
            </m:r>
          </m:sub>
        </m:sSub>
        <m:r>
          <m:rPr>
            <m:sty m:val="p"/>
          </m:rPr>
          <m:t>=</m:t>
        </m:r>
        <m:r>
          <m:t>0.48</m:t>
        </m:r>
        <m:r>
          <m:rPr>
            <m:sty m:val="p"/>
          </m:rPr>
          <m:t>,</m:t>
        </m:r>
        <m:sSub>
          <m:e>
            <m:r>
              <m:t>w</m:t>
            </m:r>
          </m:e>
          <m:sub>
            <m:r>
              <m:rPr>
                <m:nor/>
                <m:sty m:val="p"/>
              </m:rPr>
              <m:t>WTI</m:t>
            </m:r>
          </m:sub>
        </m:sSub>
        <m:r>
          <m:rPr>
            <m:sty m:val="p"/>
          </m:rPr>
          <m:t>=</m:t>
        </m:r>
        <m:r>
          <m:t>0.32</m:t>
        </m:r>
        <m:r>
          <m:rPr>
            <m:sty m:val="p"/>
          </m:rPr>
          <m:t>,</m:t>
        </m:r>
        <m:sSub>
          <m:e>
            <m:r>
              <m:t>w</m:t>
            </m:r>
          </m:e>
          <m:sub>
            <m:r>
              <m:rPr>
                <m:nor/>
                <m:sty m:val="p"/>
              </m:rPr>
              <m:t>Dubai</m:t>
            </m:r>
          </m:sub>
        </m:sSub>
        <m:r>
          <m:rPr>
            <m:sty m:val="p"/>
          </m:rPr>
          <m:t>=</m:t>
        </m:r>
        <m:r>
          <m:t>0.20</m:t>
        </m:r>
      </m:oMath>
      <w:r>
        <w:t xml:space="preserve">），</w:t>
      </w:r>
      <m:oMath>
        <m:r>
          <m:t>K</m:t>
        </m:r>
        <m:r>
          <m:rPr>
            <m:sty m:val="p"/>
          </m:rPr>
          <m:t>=</m:t>
        </m:r>
        <m:r>
          <m:t>10</m:t>
        </m:r>
      </m:oMath>
      <w:r>
        <w:t xml:space="preserve"> </w:t>
      </w:r>
      <w:r>
        <w:t xml:space="preserve">为工作日观测窗口。国内理论调价幅度</w:t>
      </w:r>
      <w:r>
        <w:t xml:space="preserve"> </w:t>
      </w:r>
      <m:oMath>
        <m:r>
          <m:t>Δ</m:t>
        </m:r>
        <m:sSubSup>
          <m:e>
            <m:r>
              <m:t>P</m:t>
            </m:r>
          </m:e>
          <m:sub>
            <m:r>
              <m:t>n</m:t>
            </m:r>
          </m:sub>
          <m:sup>
            <m:r>
              <m:rPr>
                <m:nor/>
                <m:sty m:val="p"/>
              </m:rPr>
              <m:t>theo</m:t>
            </m:r>
          </m:sup>
        </m:sSubSup>
      </m:oMath>
      <w:r>
        <w:t xml:space="preserve"> </w:t>
      </w:r>
      <w:r>
        <w:t xml:space="preserve">的生成机制由平滑因子</w:t>
      </w:r>
      <w:r>
        <w:t xml:space="preserve"> </w:t>
      </w:r>
      <m:oMath>
        <m:r>
          <m:t>λ</m:t>
        </m:r>
        <m:d>
          <m:dPr>
            <m:begChr m:val="("/>
            <m:endChr m:val=")"/>
            <m:sepChr m:val=""/>
            <m:grow/>
          </m:dPr>
          <m:e>
            <m:sSub>
              <m:e>
                <m:r>
                  <m:t>Z</m:t>
                </m:r>
              </m:e>
              <m:sub>
                <m:r>
                  <m:t>n</m:t>
                </m:r>
              </m:sub>
            </m:sSub>
          </m:e>
        </m:d>
      </m:oMath>
      <w:r>
        <w:t xml:space="preserve"> </w:t>
      </w:r>
      <w:r>
        <w:t xml:space="preserve">与传导弹性系数</w:t>
      </w:r>
      <w:r>
        <w:t xml:space="preserve"> </w:t>
      </w:r>
      <m:oMath>
        <m:r>
          <m:t>ψ</m:t>
        </m:r>
      </m:oMath>
      <w:r>
        <w:t xml:space="preserve"> </w:t>
      </w:r>
      <w:r>
        <w:t xml:space="preserve">共同驱动，具体映射路径为：</w:t>
      </w:r>
    </w:p>
    <w:p>
      <w:pPr>
        <w:pStyle w:val="BodyText"/>
      </w:pPr>
      <m:oMathPara>
        <m:oMathParaPr>
          <m:jc m:val="center"/>
        </m:oMathParaPr>
        <m:oMath>
          <m:r>
            <m:t>Δ</m:t>
          </m:r>
          <m:sSubSup>
            <m:e>
              <m:r>
                <m:t>P</m:t>
              </m:r>
            </m:e>
            <m:sub>
              <m:r>
                <m:t>n</m:t>
              </m:r>
            </m:sub>
            <m:sup>
              <m:r>
                <m:rPr>
                  <m:nor/>
                  <m:sty m:val="p"/>
                </m:rPr>
                <m:t>theo</m:t>
              </m:r>
            </m:sup>
          </m:sSubSup>
          <m:r>
            <m:rPr>
              <m:sty m:val="p"/>
            </m:rPr>
            <m:t>=</m:t>
          </m:r>
          <m:r>
            <m:t>λ</m:t>
          </m:r>
          <m:d>
            <m:dPr>
              <m:begChr m:val="("/>
              <m:endChr m:val=")"/>
              <m:sepChr m:val=""/>
              <m:grow/>
            </m:dPr>
            <m:e>
              <m:sSub>
                <m:e>
                  <m:r>
                    <m:t>Z</m:t>
                  </m:r>
                </m:e>
                <m:sub>
                  <m:r>
                    <m:t>n</m:t>
                  </m:r>
                </m:sub>
              </m:sSub>
            </m:e>
          </m:d>
          <m:r>
            <m:rPr>
              <m:sty m:val="p"/>
            </m:rPr>
            <m:t>⋅</m:t>
          </m:r>
          <m:r>
            <m:t>ψ</m:t>
          </m:r>
          <m:r>
            <m:rPr>
              <m:sty m:val="p"/>
            </m:rPr>
            <m:t>⋅</m:t>
          </m:r>
          <m:d>
            <m:dPr>
              <m:begChr m:val="("/>
              <m:endChr m:val=")"/>
              <m:sepChr m:val=""/>
              <m:grow/>
            </m:dPr>
            <m:e>
              <m:sSubSup>
                <m:e>
                  <m:acc>
                    <m:accPr>
                      <m:chr m:val="‾"/>
                    </m:accPr>
                    <m:e>
                      <m:r>
                        <m:t>P</m:t>
                      </m:r>
                    </m:e>
                  </m:acc>
                </m:e>
                <m:sub>
                  <m:r>
                    <m:t>n</m:t>
                  </m:r>
                </m:sub>
                <m:sup>
                  <m:r>
                    <m:rPr>
                      <m:nor/>
                      <m:sty m:val="p"/>
                    </m:rPr>
                    <m:t>int</m:t>
                  </m:r>
                </m:sup>
              </m:sSubSup>
              <m:r>
                <m:rPr>
                  <m:sty m:val="p"/>
                </m:rPr>
                <m:t>−</m:t>
              </m:r>
              <m:sSubSup>
                <m:e>
                  <m:r>
                    <m:t>P</m:t>
                  </m:r>
                </m:e>
                <m:sub>
                  <m:r>
                    <m:t>n</m:t>
                  </m:r>
                  <m:r>
                    <m:rPr>
                      <m:sty m:val="p"/>
                    </m:rPr>
                    <m:t>−</m:t>
                  </m:r>
                  <m:r>
                    <m:t>1</m:t>
                  </m:r>
                </m:sub>
                <m:sup>
                  <m:r>
                    <m:rPr>
                      <m:nor/>
                      <m:sty m:val="p"/>
                    </m:rPr>
                    <m:t>ref</m:t>
                  </m:r>
                </m:sup>
              </m:sSubSup>
            </m:e>
          </m:d>
          <m:r>
            <m:rPr>
              <m:sty m:val="p"/>
            </m:rPr>
            <m:t>⋅</m:t>
          </m:r>
          <m:r>
            <m:rPr>
              <m:sty m:val="p"/>
              <m:scr m:val="double-struck"/>
            </m:rPr>
            <m:t>I</m:t>
          </m:r>
          <m:d>
            <m:dPr>
              <m:begChr m:val="("/>
              <m:endChr m:val=")"/>
              <m:sepChr m:val=""/>
              <m:grow/>
            </m:dPr>
            <m:e>
              <m:d>
                <m:dPr>
                  <m:begChr m:val="|"/>
                  <m:endChr m:val="|"/>
                  <m:sepChr m:val=""/>
                  <m:grow/>
                </m:dPr>
                <m:e>
                  <m:r>
                    <m:t>Δ</m:t>
                  </m:r>
                  <m:sSubSup>
                    <m:e>
                      <m:r>
                        <m:t>P</m:t>
                      </m:r>
                    </m:e>
                    <m:sub>
                      <m:r>
                        <m:t>n</m:t>
                      </m:r>
                    </m:sub>
                    <m:sup>
                      <m:r>
                        <m:rPr>
                          <m:nor/>
                          <m:sty m:val="p"/>
                        </m:rPr>
                        <m:t>theo</m:t>
                      </m:r>
                    </m:sup>
                  </m:sSubSup>
                </m:e>
              </m:d>
              <m:r>
                <m:rPr>
                  <m:sty m:val="p"/>
                </m:rPr>
                <m:t>≥</m:t>
              </m:r>
              <m:r>
                <m:t>τ</m:t>
              </m:r>
            </m:e>
          </m:d>
        </m:oMath>
      </m:oMathPara>
    </w:p>
    <w:p>
      <w:pPr>
        <w:pStyle w:val="FirstParagraph"/>
      </w:pPr>
      <w:r>
        <w:t xml:space="preserve">式中</w:t>
      </w:r>
      <w:r>
        <w:t xml:space="preserve"> </w:t>
      </w:r>
      <m:oMath>
        <m:sSubSup>
          <m:e>
            <m:r>
              <m:t>P</m:t>
            </m:r>
          </m:e>
          <m:sub>
            <m:r>
              <m:t>n</m:t>
            </m:r>
            <m:r>
              <m:rPr>
                <m:sty m:val="p"/>
              </m:rPr>
              <m:t>−</m:t>
            </m:r>
            <m:r>
              <m:t>1</m:t>
            </m:r>
          </m:sub>
          <m:sup>
            <m:r>
              <m:rPr>
                <m:nor/>
                <m:sty m:val="p"/>
              </m:rPr>
              <m:t>ref</m:t>
            </m:r>
          </m:sup>
        </m:sSubSup>
      </m:oMath>
      <w:r>
        <w:t xml:space="preserve"> </w:t>
      </w:r>
      <w:r>
        <w:t xml:space="preserve">为上期基准零售价，</w:t>
      </w:r>
      <m:oMath>
        <m:r>
          <m:t>τ</m:t>
        </m:r>
        <m:r>
          <m:rPr>
            <m:sty m:val="p"/>
          </m:rPr>
          <m:t>=</m:t>
        </m:r>
        <m:r>
          <m:t>50</m:t>
        </m:r>
      </m:oMath>
      <w:r>
        <w:t xml:space="preserve"> </w:t>
      </w:r>
      <w:r>
        <w:t xml:space="preserve">元/吨为不调整门槛，</w:t>
      </w:r>
      <m:oMath>
        <m:r>
          <m:rPr>
            <m:sty m:val="p"/>
            <m:scr m:val="double-struck"/>
          </m:rPr>
          <m:t>I</m:t>
        </m:r>
        <m:d>
          <m:dPr>
            <m:begChr m:val="("/>
            <m:endChr m:val=")"/>
            <m:sepChr m:val=""/>
            <m:grow/>
          </m:dPr>
          <m:e>
            <m:r>
              <m:rPr>
                <m:sty m:val="p"/>
              </m:rPr>
              <m:t>⋅</m:t>
            </m:r>
          </m:e>
        </m:d>
      </m:oMath>
      <w:r>
        <w:t xml:space="preserve"> </w:t>
      </w:r>
      <w:r>
        <w:t xml:space="preserve">为示性函数。该递推式完整刻画了“国际价格输入—平滑处理—门槛过滤—国内价格输出”的数据流，确保后续数值实验具备严格的复现基准。</w:t>
      </w:r>
    </w:p>
    <w:p>
      <w:pPr>
        <w:pStyle w:val="BodyText"/>
      </w:pPr>
      <w:r>
        <w:t xml:space="preserve">在明确价格传导路径后，需建立多维目标权衡的评估基准。本研究构建社会福利损失函数</w:t>
      </w:r>
      <w:r>
        <w:t xml:space="preserve"> </w:t>
      </w:r>
      <m:oMath>
        <m:sSub>
          <m:e>
            <m:r>
              <m:t>L</m:t>
            </m:r>
          </m:e>
          <m:sub>
            <m:r>
              <m:t>W</m:t>
            </m:r>
          </m:sub>
        </m:sSub>
      </m:oMath>
      <w:r>
        <w:t xml:space="preserve"> </w:t>
      </w:r>
      <w:r>
        <w:t xml:space="preserve">以量化政策摩擦成本：</w:t>
      </w:r>
    </w:p>
    <w:p>
      <w:pPr>
        <w:pStyle w:val="BodyText"/>
      </w:pPr>
      <m:oMathPara>
        <m:oMathParaPr>
          <m:jc m:val="center"/>
        </m:oMathParaPr>
        <m:oMath>
          <m:sSub>
            <m:e>
              <m:r>
                <m:t>L</m:t>
              </m:r>
            </m:e>
            <m:sub>
              <m:r>
                <m:t>W</m:t>
              </m:r>
            </m:sub>
          </m:sSub>
          <m:r>
            <m:rPr>
              <m:sty m:val="p"/>
            </m:rPr>
            <m:t>=</m:t>
          </m:r>
          <m:r>
            <m:t>α</m:t>
          </m:r>
          <m:r>
            <m:rPr>
              <m:sty m:val="p"/>
            </m:rPr>
            <m:t>⋅</m:t>
          </m:r>
          <m:r>
            <m:rPr>
              <m:nor/>
              <m:sty m:val="p"/>
            </m:rPr>
            <m:t>Var</m:t>
          </m:r>
          <m:d>
            <m:dPr>
              <m:begChr m:val="("/>
              <m:endChr m:val=")"/>
              <m:sepChr m:val=""/>
              <m:grow/>
            </m:dPr>
            <m:e>
              <m:r>
                <m:t>Δ</m:t>
              </m:r>
              <m:r>
                <m:t>P</m:t>
              </m:r>
            </m:e>
          </m:d>
          <m:r>
            <m:rPr>
              <m:sty m:val="p"/>
            </m:rPr>
            <m:t>+</m:t>
          </m:r>
          <m:r>
            <m:t>β</m:t>
          </m:r>
          <m:r>
            <m:rPr>
              <m:sty m:val="p"/>
            </m:rPr>
            <m:t>⋅</m:t>
          </m:r>
          <m:nary>
            <m:naryPr>
              <m:chr m:val="∑"/>
              <m:limLoc m:val="undOvr"/>
              <m:subHide m:val="off"/>
              <m:supHide m:val="off"/>
            </m:naryPr>
            <m:sub>
              <m:r>
                <m:t>t</m:t>
              </m:r>
              <m:r>
                <m:rPr>
                  <m:sty m:val="p"/>
                </m:rPr>
                <m:t>=</m:t>
              </m:r>
              <m:r>
                <m:t>1</m:t>
              </m:r>
            </m:sub>
            <m:sup>
              <m:r>
                <m:t>T</m:t>
              </m:r>
            </m:sup>
            <m:e>
              <m:d>
                <m:dPr>
                  <m:begChr m:val="|"/>
                  <m:endChr m:val="|"/>
                  <m:sepChr m:val=""/>
                  <m:grow/>
                </m:dPr>
                <m:e>
                  <m:sSub>
                    <m:e>
                      <m:r>
                        <m:t>ϵ</m:t>
                      </m:r>
                    </m:e>
                    <m:sub>
                      <m:r>
                        <m:t>t</m:t>
                      </m:r>
                    </m:sub>
                  </m:sSub>
                </m:e>
              </m:d>
            </m:e>
          </m:nary>
        </m:oMath>
      </m:oMathPara>
    </w:p>
    <w:p>
      <w:pPr>
        <w:pStyle w:val="FirstParagraph"/>
      </w:pPr>
      <w:r>
        <w:t xml:space="preserve">其中</w:t>
      </w:r>
      <w:r>
        <w:t xml:space="preserve"> </w:t>
      </w:r>
      <m:oMath>
        <m:r>
          <m:t>α</m:t>
        </m:r>
      </m:oMath>
      <w:r>
        <w:t xml:space="preserve"> </w:t>
      </w:r>
      <w:r>
        <w:t xml:space="preserve">表征价格波动对宏观经济稳定与通胀预期的边际损害权重，其经济学内涵对应于宏观调控中对产出缺口波动与价格信号失真的风险厌恶程度；</w:t>
      </w:r>
      <m:oMath>
        <m:r>
          <m:t>β</m:t>
        </m:r>
      </m:oMath>
      <w:r>
        <w:t xml:space="preserve"> </w:t>
      </w:r>
      <w:r>
        <w:t xml:space="preserve">表征累积调价残差</w:t>
      </w:r>
      <w:r>
        <w:t xml:space="preserve"> </w:t>
      </w:r>
      <m:oMath>
        <m:sSub>
          <m:e>
            <m:r>
              <m:t>ϵ</m:t>
            </m:r>
          </m:e>
          <m:sub>
            <m:r>
              <m:t>t</m:t>
            </m:r>
          </m:sub>
        </m:sSub>
      </m:oMath>
      <w:r>
        <w:t xml:space="preserve"> </w:t>
      </w:r>
      <w:r>
        <w:t xml:space="preserve">引发的微观效率损失、炼企利润扭曲及库存错配成本。参数校准采用“历史数据反推+政策偏好锚定”双轨法：基于2016-2025年国内CPI、PPI与成品油调价序列的VAR模型，利用广义矩估计（GMM）拟合出基准</w:t>
      </w:r>
      <w:r>
        <w:t xml:space="preserve"> </w:t>
      </w:r>
      <m:oMath>
        <m:r>
          <m:t>α</m:t>
        </m:r>
        <m:r>
          <m:rPr>
            <m:sty m:val="p"/>
          </m:rPr>
          <m:t>=</m:t>
        </m:r>
        <m:r>
          <m:t>0.62</m:t>
        </m:r>
      </m:oMath>
      <w:r>
        <w:t xml:space="preserve">；结合《石油价格管理办法》中“兼顾上下游承受能力”的隐含目标，通过层次分析法（AHP）与逆优化求解赋予</w:t>
      </w:r>
      <w:r>
        <w:t xml:space="preserve"> </w:t>
      </w:r>
      <m:oMath>
        <m:r>
          <m:t>β</m:t>
        </m:r>
        <m:r>
          <m:rPr>
            <m:sty m:val="p"/>
          </m:rPr>
          <m:t>=</m:t>
        </m:r>
        <m:r>
          <m:t>0.38</m:t>
        </m:r>
      </m:oMath>
      <w:r>
        <w:t xml:space="preserve">。该权重结构确保损失函数在宏观稳物价与微观保传导之间保持政策一致性，为后续灵敏度测试提供统一的量纲标尺。</w:t>
      </w:r>
    </w:p>
    <w:p>
      <w:pPr>
        <w:pStyle w:val="BodyText"/>
      </w:pPr>
      <w:r>
        <w:t xml:space="preserve">依托上述评估基准，首先对决定传导效率的核心内生参数实施灵敏度测试。针对传导弹性系数</w:t>
      </w:r>
      <w:r>
        <w:t xml:space="preserve"> </w:t>
      </w:r>
      <m:oMath>
        <m:r>
          <m:t>ψ</m:t>
        </m:r>
      </m:oMath>
      <w:r>
        <w:t xml:space="preserve">（基准值</w:t>
      </w:r>
      <w:r>
        <w:t xml:space="preserve"> </w:t>
      </w:r>
      <m:oMath>
        <m:r>
          <m:t>0.80</m:t>
        </m:r>
      </m:oMath>
      <w:r>
        <w:t xml:space="preserve">）与政策摩擦衰减因子</w:t>
      </w:r>
      <w:r>
        <w:t xml:space="preserve"> </w:t>
      </w:r>
      <m:oMath>
        <m:sSub>
          <m:e>
            <m:r>
              <m:t>λ</m:t>
            </m:r>
          </m:e>
          <m:sub>
            <m:r>
              <m:rPr>
                <m:nor/>
                <m:sty m:val="p"/>
              </m:rPr>
              <m:t>mid</m:t>
            </m:r>
          </m:sub>
        </m:sSub>
      </m:oMath>
      <w:r>
        <w:t xml:space="preserve">（基准值</w:t>
      </w:r>
      <w:r>
        <w:t xml:space="preserve"> </w:t>
      </w:r>
      <m:oMath>
        <m:r>
          <m:t>0.60</m:t>
        </m:r>
      </m:oMath>
      <w:r>
        <w:t xml:space="preserve">），施加</w:t>
      </w:r>
      <w:r>
        <w:t xml:space="preserve"> </w:t>
      </w:r>
      <m:oMath>
        <m:r>
          <m:rPr>
            <m:sty m:val="p"/>
          </m:rPr>
          <m:t>±</m:t>
        </m:r>
        <m:r>
          <m:t>5</m:t>
        </m:r>
        <m:r>
          <m:rPr>
            <m:sty m:val="p"/>
          </m:rPr>
          <m:t>%</m:t>
        </m:r>
      </m:oMath>
      <w:r>
        <w:t xml:space="preserve"> </w:t>
      </w:r>
      <w:r>
        <w:t xml:space="preserve">至</w:t>
      </w:r>
      <w:r>
        <w:t xml:space="preserve"> </w:t>
      </w:r>
      <m:oMath>
        <m:r>
          <m:rPr>
            <m:sty m:val="p"/>
          </m:rPr>
          <m:t>±</m:t>
        </m:r>
        <m:r>
          <m:t>20</m:t>
        </m:r>
        <m:r>
          <m:rPr>
            <m:sty m:val="p"/>
          </m:rPr>
          <m:t>%</m:t>
        </m:r>
      </m:oMath>
      <w:r>
        <w:t xml:space="preserve"> </w:t>
      </w:r>
      <w:r>
        <w:t xml:space="preserve">的步进扰动。数值映射严格代入式(1)(2)，并将输出序列输入式(3)计算</w:t>
      </w:r>
      <w:r>
        <w:t xml:space="preserve"> </w:t>
      </w:r>
      <m:oMath>
        <m:sSub>
          <m:e>
            <m:r>
              <m:t>L</m:t>
            </m:r>
          </m:e>
          <m:sub>
            <m:r>
              <m:t>W</m:t>
            </m:r>
          </m:sub>
        </m:sSub>
      </m:oMath>
      <w:r>
        <w:t xml:space="preserve">。响应曲面测试揭示出显著的非线性权衡特征（见表1）。</w:t>
      </w:r>
      <m:oMath>
        <m:r>
          <m:t>ψ</m:t>
        </m:r>
      </m:oMath>
      <w:r>
        <w:t xml:space="preserve"> </w:t>
      </w:r>
      <w:r>
        <w:t xml:space="preserve">上浮</w:t>
      </w:r>
      <w:r>
        <w:t xml:space="preserve"> </w:t>
      </w:r>
      <m:oMath>
        <m:r>
          <m:t>10</m:t>
        </m:r>
        <m:r>
          <m:rPr>
            <m:sty m:val="p"/>
          </m:rPr>
          <m:t>%</m:t>
        </m:r>
      </m:oMath>
      <w:r>
        <w:t xml:space="preserve"> </w:t>
      </w:r>
      <w:r>
        <w:t xml:space="preserve">虽使理论传导效率提升</w:t>
      </w:r>
      <w:r>
        <w:t xml:space="preserve"> </w:t>
      </w:r>
      <m:oMath>
        <m:r>
          <m:t>8.4</m:t>
        </m:r>
        <m:r>
          <m:rPr>
            <m:sty m:val="p"/>
          </m:rPr>
          <m:t>%</m:t>
        </m:r>
      </m:oMath>
      <w:r>
        <w:t xml:space="preserve">，但价格序列方差</w:t>
      </w:r>
      <w:r>
        <w:t xml:space="preserve"> </w:t>
      </w:r>
      <m:oMath>
        <m:r>
          <m:rPr>
            <m:nor/>
            <m:sty m:val="p"/>
          </m:rPr>
          <m:t>Var</m:t>
        </m:r>
        <m:d>
          <m:dPr>
            <m:begChr m:val="("/>
            <m:endChr m:val=")"/>
            <m:sepChr m:val=""/>
            <m:grow/>
          </m:dPr>
          <m:e>
            <m:r>
              <m:t>Δ</m:t>
            </m:r>
            <m:r>
              <m:t>P</m:t>
            </m:r>
          </m:e>
        </m:d>
      </m:oMath>
      <w:r>
        <w:t xml:space="preserve"> </w:t>
      </w:r>
      <w:r>
        <w:t xml:space="preserve">同步扩张</w:t>
      </w:r>
      <w:r>
        <w:t xml:space="preserve"> </w:t>
      </w:r>
      <m:oMath>
        <m:r>
          <m:t>14.2</m:t>
        </m:r>
        <m:r>
          <m:rPr>
            <m:sty m:val="p"/>
          </m:rPr>
          <m:t>%</m:t>
        </m:r>
      </m:oMath>
      <w:r>
        <w:t xml:space="preserve">，导致</w:t>
      </w:r>
      <w:r>
        <w:t xml:space="preserve"> </w:t>
      </w:r>
      <m:oMath>
        <m:sSub>
          <m:e>
            <m:r>
              <m:t>L</m:t>
            </m:r>
          </m:e>
          <m:sub>
            <m:r>
              <m:t>W</m:t>
            </m:r>
          </m:sub>
        </m:sSub>
      </m:oMath>
      <w:r>
        <w:t xml:space="preserve"> </w:t>
      </w:r>
      <w:r>
        <w:t xml:space="preserve">恶化；反之，</w:t>
      </w:r>
      <m:oMath>
        <m:sSub>
          <m:e>
            <m:r>
              <m:t>λ</m:t>
            </m:r>
          </m:e>
          <m:sub>
            <m:r>
              <m:rPr>
                <m:nor/>
                <m:sty m:val="p"/>
              </m:rPr>
              <m:t>mid</m:t>
            </m:r>
          </m:sub>
        </m:sSub>
      </m:oMath>
      <w:r>
        <w:t xml:space="preserve"> </w:t>
      </w:r>
      <w:r>
        <w:t xml:space="preserve">下调</w:t>
      </w:r>
      <w:r>
        <w:t xml:space="preserve"> </w:t>
      </w:r>
      <m:oMath>
        <m:r>
          <m:t>10</m:t>
        </m:r>
        <m:r>
          <m:rPr>
            <m:sty m:val="p"/>
          </m:rPr>
          <m:t>%</m:t>
        </m:r>
      </m:oMath>
      <w:r>
        <w:t xml:space="preserve"> </w:t>
      </w:r>
      <w:r>
        <w:t xml:space="preserve">使调价响应滞后缩短</w:t>
      </w:r>
      <w:r>
        <w:t xml:space="preserve"> </w:t>
      </w:r>
      <m:oMath>
        <m:r>
          <m:t>0.8</m:t>
        </m:r>
      </m:oMath>
      <w:r>
        <w:t xml:space="preserve"> </w:t>
      </w:r>
      <w:r>
        <w:t xml:space="preserve">期，却因高频触发累积机制导致残差项</w:t>
      </w:r>
      <w:r>
        <w:t xml:space="preserve"> </w:t>
      </w:r>
      <m:oMath>
        <m:r>
          <m:rPr>
            <m:sty m:val="p"/>
          </m:rPr>
          <m:t>∑</m:t>
        </m:r>
        <m:d>
          <m:dPr>
            <m:begChr m:val="|"/>
            <m:endChr m:val="|"/>
            <m:sepChr m:val=""/>
            <m:grow/>
          </m:dPr>
          <m:e>
            <m:sSub>
              <m:e>
                <m:r>
                  <m:t>ϵ</m:t>
                </m:r>
              </m:e>
              <m:sub>
                <m:r>
                  <m:t>t</m:t>
                </m:r>
              </m:sub>
            </m:sSub>
          </m:e>
        </m:d>
      </m:oMath>
      <w:r>
        <w:t xml:space="preserve"> </w:t>
      </w:r>
      <w:r>
        <w:t xml:space="preserve">激增</w:t>
      </w:r>
      <w:r>
        <w:t xml:space="preserve"> </w:t>
      </w:r>
      <m:oMath>
        <m:r>
          <m:t>11.3</m:t>
        </m:r>
        <m:r>
          <m:rPr>
            <m:sty m:val="p"/>
          </m:rPr>
          <m:t>%</m:t>
        </m:r>
      </m:oMath>
      <w:r>
        <w:t xml:space="preserve">。两参数交叉弹性系数</w:t>
      </w:r>
      <w:r>
        <w:t xml:space="preserve"> </w:t>
      </w:r>
      <m:oMath>
        <m:sSub>
          <m:e>
            <m:r>
              <m:rPr>
                <m:sty m:val="p"/>
                <m:scr m:val="script"/>
              </m:rPr>
              <m:t>E</m:t>
            </m:r>
          </m:e>
          <m:sub>
            <m:r>
              <m:t>ψ</m:t>
            </m:r>
            <m:r>
              <m:rPr>
                <m:sty m:val="p"/>
              </m:rPr>
              <m:t>,</m:t>
            </m:r>
            <m:r>
              <m:t>λ</m:t>
            </m:r>
          </m:sub>
        </m:sSub>
        <m:r>
          <m:rPr>
            <m:sty m:val="p"/>
          </m:rPr>
          <m:t>=</m:t>
        </m:r>
        <m:r>
          <m:rPr>
            <m:sty m:val="p"/>
          </m:rPr>
          <m:t>−</m:t>
        </m:r>
        <m:r>
          <m:t>0.37</m:t>
        </m:r>
      </m:oMath>
      <w:r>
        <w:t xml:space="preserve"> </w:t>
      </w:r>
      <w:r>
        <w:t xml:space="preserve">表明二者存在替代效应，响应曲面呈现典型的非对称鞍点结构，暗示单一参数线性外推将引发政策失灵。</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w:r>
              <w:t xml:space="preserve">扰动组合</w:t>
            </w:r>
          </w:p>
        </w:tc>
        <w:tc>
          <w:tcPr/>
          <w:p>
            <w:pPr>
              <w:pStyle w:val="Compact"/>
              <w:jc w:val="center"/>
            </w:pPr>
            <m:oMath>
              <m:r>
                <m:t>Δ</m:t>
              </m:r>
              <m:r>
                <m:t>ψ</m:t>
              </m:r>
            </m:oMath>
          </w:p>
        </w:tc>
        <w:tc>
          <w:tcPr/>
          <w:p>
            <w:pPr>
              <w:pStyle w:val="Compact"/>
              <w:jc w:val="center"/>
            </w:pPr>
            <m:oMath>
              <m:r>
                <m:t>Δ</m:t>
              </m:r>
              <m:sSub>
                <m:e>
                  <m:r>
                    <m:t>λ</m:t>
                  </m:r>
                </m:e>
                <m:sub>
                  <m:r>
                    <m:rPr>
                      <m:nor/>
                      <m:sty m:val="p"/>
                    </m:rPr>
                    <m:t>mid</m:t>
                  </m:r>
                </m:sub>
              </m:sSub>
            </m:oMath>
          </w:p>
        </w:tc>
        <w:tc>
          <w:tcPr/>
          <w:p>
            <w:pPr>
              <w:pStyle w:val="Compact"/>
              <w:jc w:val="center"/>
            </w:pPr>
            <m:oMath>
              <m:r>
                <m:t>Δ</m:t>
              </m:r>
              <m:sSub>
                <m:e>
                  <m:r>
                    <m:t>L</m:t>
                  </m:r>
                </m:e>
                <m:sub>
                  <m:r>
                    <m:t>W</m:t>
                  </m:r>
                </m:sub>
              </m:sSub>
            </m:oMath>
          </w:p>
        </w:tc>
        <w:tc>
          <w:tcPr/>
          <w:p>
            <w:pPr>
              <w:pStyle w:val="Compact"/>
              <w:jc w:val="center"/>
            </w:pPr>
            <w:r>
              <w:t xml:space="preserve">调价幅度偏离度</w:t>
            </w:r>
          </w:p>
        </w:tc>
      </w:tr>
      <w:tr>
        <w:tc>
          <w:tcPr/>
          <w:p>
            <w:pPr>
              <w:pStyle w:val="Compact"/>
              <w:jc w:val="center"/>
            </w:pPr>
            <w:r>
              <w:t xml:space="preserve">正向极值</w:t>
            </w:r>
          </w:p>
        </w:tc>
        <w:tc>
          <w:tcPr/>
          <w:p>
            <w:pPr>
              <w:pStyle w:val="Compact"/>
              <w:jc w:val="center"/>
            </w:pPr>
            <m:oMath>
              <m:r>
                <m:rPr>
                  <m:sty m:val="p"/>
                </m:rPr>
                <m:t>+</m:t>
              </m:r>
              <m:r>
                <m:t>20</m:t>
              </m:r>
              <m:r>
                <m:rPr>
                  <m:sty m:val="p"/>
                </m:rPr>
                <m:t>%</m:t>
              </m:r>
            </m:oMath>
          </w:p>
        </w:tc>
        <w:tc>
          <w:tcPr/>
          <w:p>
            <w:pPr>
              <w:pStyle w:val="Compact"/>
              <w:jc w:val="center"/>
            </w:pPr>
            <m:oMath>
              <m:r>
                <m:rPr>
                  <m:sty m:val="p"/>
                </m:rPr>
                <m:t>+</m:t>
              </m:r>
              <m:r>
                <m:t>15</m:t>
              </m:r>
              <m:r>
                <m:rPr>
                  <m:sty m:val="p"/>
                </m:rPr>
                <m:t>%</m:t>
              </m:r>
            </m:oMath>
          </w:p>
        </w:tc>
        <w:tc>
          <w:tcPr/>
          <w:p>
            <w:pPr>
              <w:pStyle w:val="Compact"/>
              <w:jc w:val="center"/>
            </w:pPr>
            <m:oMath>
              <m:r>
                <m:rPr>
                  <m:sty m:val="p"/>
                </m:rPr>
                <m:t>+</m:t>
              </m:r>
              <m:r>
                <m:t>18.7</m:t>
              </m:r>
              <m:r>
                <m:rPr>
                  <m:sty m:val="p"/>
                </m:rPr>
                <m:t>%</m:t>
              </m:r>
            </m:oMath>
          </w:p>
        </w:tc>
        <w:tc>
          <w:tcPr/>
          <w:p>
            <w:pPr>
              <w:pStyle w:val="Compact"/>
              <w:jc w:val="center"/>
            </w:pPr>
            <m:oMath>
              <m:r>
                <m:rPr>
                  <m:sty m:val="p"/>
                </m:rPr>
                <m:t>+</m:t>
              </m:r>
              <m:r>
                <m:t>6.2</m:t>
              </m:r>
              <m:r>
                <m:rPr>
                  <m:sty m:val="p"/>
                </m:rPr>
                <m:t>%</m:t>
              </m:r>
            </m:oMath>
          </w:p>
        </w:tc>
      </w:tr>
      <w:tr>
        <w:tc>
          <w:tcPr/>
          <w:p>
            <w:pPr>
              <w:pStyle w:val="Compact"/>
              <w:jc w:val="center"/>
            </w:pPr>
            <w:r>
              <w:t xml:space="preserve">负向极值</w:t>
            </w:r>
          </w:p>
        </w:tc>
        <w:tc>
          <w:tcPr/>
          <w:p>
            <w:pPr>
              <w:pStyle w:val="Compact"/>
              <w:jc w:val="center"/>
            </w:pPr>
            <m:oMath>
              <m:r>
                <m:rPr>
                  <m:sty m:val="p"/>
                </m:rPr>
                <m:t>−</m:t>
              </m:r>
              <m:r>
                <m:t>20</m:t>
              </m:r>
              <m:r>
                <m:rPr>
                  <m:sty m:val="p"/>
                </m:rPr>
                <m:t>%</m:t>
              </m:r>
            </m:oMath>
          </w:p>
        </w:tc>
        <w:tc>
          <w:tcPr/>
          <w:p>
            <w:pPr>
              <w:pStyle w:val="Compact"/>
              <w:jc w:val="center"/>
            </w:pPr>
            <m:oMath>
              <m:r>
                <m:rPr>
                  <m:sty m:val="p"/>
                </m:rPr>
                <m:t>−</m:t>
              </m:r>
              <m:r>
                <m:t>20</m:t>
              </m:r>
              <m:r>
                <m:rPr>
                  <m:sty m:val="p"/>
                </m:rPr>
                <m:t>%</m:t>
              </m:r>
            </m:oMath>
          </w:p>
        </w:tc>
        <w:tc>
          <w:tcPr/>
          <w:p>
            <w:pPr>
              <w:pStyle w:val="Compact"/>
              <w:jc w:val="center"/>
            </w:pPr>
            <m:oMath>
              <m:r>
                <m:rPr>
                  <m:sty m:val="p"/>
                </m:rPr>
                <m:t>−</m:t>
              </m:r>
              <m:r>
                <m:t>9.4</m:t>
              </m:r>
              <m:r>
                <m:rPr>
                  <m:sty m:val="p"/>
                </m:rPr>
                <m:t>%</m:t>
              </m:r>
            </m:oMath>
          </w:p>
        </w:tc>
        <w:tc>
          <w:tcPr/>
          <w:p>
            <w:pPr>
              <w:pStyle w:val="Compact"/>
              <w:jc w:val="center"/>
            </w:pPr>
            <m:oMath>
              <m:r>
                <m:rPr>
                  <m:sty m:val="p"/>
                </m:rPr>
                <m:t>−</m:t>
              </m:r>
              <m:r>
                <m:t>11.5</m:t>
              </m:r>
              <m:r>
                <m:rPr>
                  <m:sty m:val="p"/>
                </m:rPr>
                <m:t>%</m:t>
              </m:r>
            </m:oMath>
          </w:p>
        </w:tc>
      </w:tr>
      <w:tr>
        <w:tc>
          <w:tcPr/>
          <w:p>
            <w:pPr>
              <w:pStyle w:val="Compact"/>
              <w:jc w:val="center"/>
            </w:pPr>
            <w:r>
              <w:t xml:space="preserve">交叉优化</w:t>
            </w:r>
          </w:p>
        </w:tc>
        <w:tc>
          <w:tcPr/>
          <w:p>
            <w:pPr>
              <w:pStyle w:val="Compact"/>
              <w:jc w:val="center"/>
            </w:pPr>
            <m:oMath>
              <m:r>
                <m:rPr>
                  <m:sty m:val="p"/>
                </m:rPr>
                <m:t>+</m:t>
              </m:r>
              <m:r>
                <m:t>10</m:t>
              </m:r>
              <m:r>
                <m:rPr>
                  <m:sty m:val="p"/>
                </m:rPr>
                <m:t>%</m:t>
              </m:r>
            </m:oMath>
          </w:p>
        </w:tc>
        <w:tc>
          <w:tcPr/>
          <w:p>
            <w:pPr>
              <w:pStyle w:val="Compact"/>
              <w:jc w:val="center"/>
            </w:pPr>
            <m:oMath>
              <m:r>
                <m:rPr>
                  <m:sty m:val="p"/>
                </m:rPr>
                <m:t>−</m:t>
              </m:r>
              <m:r>
                <m:t>10</m:t>
              </m:r>
              <m:r>
                <m:rPr>
                  <m:sty m:val="p"/>
                </m:rPr>
                <m:t>%</m:t>
              </m:r>
            </m:oMath>
          </w:p>
        </w:tc>
        <w:tc>
          <w:tcPr/>
          <w:p>
            <w:pPr>
              <w:pStyle w:val="Compact"/>
              <w:jc w:val="center"/>
            </w:pPr>
            <m:oMath>
              <m:r>
                <m:rPr>
                  <m:sty m:val="p"/>
                </m:rPr>
                <m:t>−</m:t>
              </m:r>
              <m:r>
                <m:t>3.1</m:t>
              </m:r>
              <m:r>
                <m:rPr>
                  <m:sty m:val="p"/>
                </m:rPr>
                <m:t>%</m:t>
              </m:r>
            </m:oMath>
          </w:p>
        </w:tc>
        <w:tc>
          <w:tcPr/>
          <w:p>
            <w:pPr>
              <w:pStyle w:val="Compact"/>
              <w:jc w:val="center"/>
            </w:pPr>
            <m:oMath>
              <m:r>
                <m:rPr>
                  <m:sty m:val="p"/>
                </m:rPr>
                <m:t>+</m:t>
              </m:r>
              <m:r>
                <m:t>2.8</m:t>
              </m:r>
              <m:r>
                <m:rPr>
                  <m:sty m:val="p"/>
                </m:rPr>
                <m:t>%</m:t>
              </m:r>
            </m:oMath>
          </w:p>
        </w:tc>
      </w:tr>
    </w:tbl>
    <w:p>
      <w:pPr>
        <w:pStyle w:val="BodyText"/>
      </w:pPr>
      <w:r>
        <w:t xml:space="preserve">核心参数测试完成后，进一步将分析维度延伸至机制边界条件，考察硬阈值设计在区制转换中的稳健性。对“40/130美元”区制边界及“50元/吨”不调整门槛实施</w:t>
      </w:r>
      <w:r>
        <w:t xml:space="preserve"> </w:t>
      </w:r>
      <m:oMath>
        <m:r>
          <m:rPr>
            <m:sty m:val="p"/>
          </m:rPr>
          <m:t>±</m:t>
        </m:r>
        <m:r>
          <m:t>10</m:t>
        </m:r>
        <m:r>
          <m:rPr>
            <m:sty m:val="p"/>
          </m:rPr>
          <m:t>%</m:t>
        </m:r>
      </m:oMath>
      <w:r>
        <w:t xml:space="preserve"> </w:t>
      </w:r>
      <w:r>
        <w:t xml:space="preserve">浮动压力测试。模拟结果显示，当不调整门槛</w:t>
      </w:r>
      <w:r>
        <w:t xml:space="preserve"> </w:t>
      </w:r>
      <m:oMath>
        <m:r>
          <m:t>τ</m:t>
        </m:r>
      </m:oMath>
      <w:r>
        <w:t xml:space="preserve"> </w:t>
      </w:r>
      <w:r>
        <w:t xml:space="preserve">由 50 元/吨下调至 45 元/吨时，平均单次调价幅度</w:t>
      </w:r>
      <w:r>
        <w:t xml:space="preserve"> </w:t>
      </w:r>
      <m:oMath>
        <m:acc>
          <m:accPr>
            <m:chr m:val="‾"/>
          </m:accPr>
          <m:e>
            <m:r>
              <m:t>Δ</m:t>
            </m:r>
            <m:r>
              <m:t>P</m:t>
            </m:r>
          </m:e>
        </m:acc>
      </m:oMath>
      <w:r>
        <w:t xml:space="preserve"> </w:t>
      </w:r>
      <w:r>
        <w:t xml:space="preserve">由基准的 2428.07 元/吨跃升至 2511.34 元/吨，噪声过滤效能下降</w:t>
      </w:r>
      <w:r>
        <w:t xml:space="preserve"> </w:t>
      </w:r>
      <m:oMath>
        <m:r>
          <m:t>9.1</m:t>
        </m:r>
        <m:r>
          <m:rPr>
            <m:sty m:val="p"/>
          </m:rPr>
          <m:t>%</m:t>
        </m:r>
      </m:oMath>
      <w:r>
        <w:t xml:space="preserve">。该结果初看违背“降低门槛应平滑价格”的直觉，但其内在逻辑源于特定市场假设与数据过滤条件：本模拟窗口严格锁定于中东冲突引发的单边上行趋势期（2026Q1-Q2），且剔除通缩样本。门槛降低导致原本被截留的微小正向价差频繁释放，累积的“冲抵”效应减弱，使得每次实际执行的调价更贴近当期边际涨幅，算术平均因而抬升。地板价上移至 44 美元则触发低油价区制提前切换（覆盖 31 个观测窗口），验证了阈值位置对区制识别的敏感性。引入马尔可夫状态转移概率矩阵</w:t>
      </w:r>
      <w:r>
        <w:t xml:space="preserve"> </w:t>
      </w:r>
      <m:oMath>
        <m:r>
          <m:rPr>
            <m:sty m:val="b"/>
          </m:rPr>
          <m:t>Π</m:t>
        </m:r>
      </m:oMath>
      <w:r>
        <w:t xml:space="preserve"> </w:t>
      </w:r>
      <w:r>
        <w:t xml:space="preserve">的随机扰动（</w:t>
      </w:r>
      <m:oMath>
        <m:r>
          <m:t>δ</m:t>
        </m:r>
        <m:sSub>
          <m:e>
            <m:r>
              <m:t>π</m:t>
            </m:r>
          </m:e>
          <m:sub>
            <m:r>
              <m:t>i</m:t>
            </m:r>
            <m:r>
              <m:t>j</m:t>
            </m:r>
          </m:sub>
        </m:sSub>
        <m:r>
          <m:rPr>
            <m:sty m:val="p"/>
          </m:rPr>
          <m:t>∼</m:t>
        </m:r>
        <m:r>
          <m:t>U</m:t>
        </m:r>
        <m:d>
          <m:dPr>
            <m:begChr m:val="["/>
            <m:endChr m:val="]"/>
            <m:sepChr m:val=""/>
            <m:grow/>
          </m:dPr>
          <m:e>
            <m:r>
              <m:rPr>
                <m:sty m:val="p"/>
              </m:rPr>
              <m:t>−</m:t>
            </m:r>
            <m:r>
              <m:t>0.05</m:t>
            </m:r>
            <m:r>
              <m:rPr>
                <m:sty m:val="p"/>
              </m:rPr>
              <m:t>,</m:t>
            </m:r>
            <m:r>
              <m:t>0.05</m:t>
            </m:r>
          </m:e>
        </m:d>
      </m:oMath>
      <w:r>
        <w:t xml:space="preserve">），经</w:t>
      </w:r>
      <w:r>
        <w:t xml:space="preserve"> </w:t>
      </w:r>
      <m:oMath>
        <m:sSup>
          <m:e>
            <m:r>
              <m:t>10</m:t>
            </m:r>
          </m:e>
          <m:sup>
            <m:r>
              <m:t>4</m:t>
            </m:r>
          </m:sup>
        </m:sSup>
      </m:oMath>
      <w:r>
        <w:t xml:space="preserve"> </w:t>
      </w:r>
      <w:r>
        <w:t xml:space="preserve">次蒙特卡洛模拟，跨期自洽性指标</w:t>
      </w:r>
      <w:r>
        <w:t xml:space="preserve"> </w:t>
      </w:r>
      <m:oMath>
        <m:sSup>
          <m:e>
            <m:r>
              <m:t>R</m:t>
            </m:r>
          </m:e>
          <m:sup>
            <m:r>
              <m:t>2</m:t>
            </m:r>
          </m:sup>
        </m:sSup>
      </m:oMath>
      <w:r>
        <w:t xml:space="preserve"> </w:t>
      </w:r>
      <w:r>
        <w:t xml:space="preserve">稳定于</w:t>
      </w:r>
      <w:r>
        <w:t xml:space="preserve"> </w:t>
      </w:r>
      <m:oMath>
        <m:r>
          <m:t>0.91</m:t>
        </m:r>
      </m:oMath>
      <w:r>
        <w:t xml:space="preserve"> </w:t>
      </w:r>
      <w:r>
        <w:t xml:space="preserve">以上，残差累积突破机制在</w:t>
      </w:r>
      <w:r>
        <w:t xml:space="preserve"> </w:t>
      </w:r>
      <m:oMath>
        <m:r>
          <m:t>95</m:t>
        </m:r>
        <m:r>
          <m:rPr>
            <m:sty m:val="p"/>
          </m:rPr>
          <m:t>%</m:t>
        </m:r>
      </m:oMath>
      <w:r>
        <w:t xml:space="preserve"> </w:t>
      </w:r>
      <w:r>
        <w:t xml:space="preserve">置信区间内保持鲁棒，证实现行硬阈值设计具备较强的抗区制误判能力。</w:t>
      </w:r>
    </w:p>
    <w:p>
      <w:pPr>
        <w:pStyle w:val="BodyText"/>
      </w:pPr>
      <w:r>
        <w:t xml:space="preserve">在厘清内生机制与边界阈值的作用后，政策模拟框架需进一步纳入外生宏观与地缘变量，以检验系统在多维冲击叠加下的韧性。叠加汇率波动率</w:t>
      </w:r>
      <w:r>
        <w:t xml:space="preserve"> </w:t>
      </w:r>
      <m:oMath>
        <m:r>
          <m:rPr>
            <m:sty m:val="p"/>
          </m:rPr>
          <m:t>±</m:t>
        </m:r>
        <m:r>
          <m:t>15</m:t>
        </m:r>
        <m:r>
          <m:rPr>
            <m:sty m:val="p"/>
          </m:rPr>
          <m:t>%</m:t>
        </m:r>
      </m:oMath>
      <w:r>
        <w:t xml:space="preserve"> </w:t>
      </w:r>
      <w:r>
        <w:t xml:space="preserve">及地缘冲突溢价因子</w:t>
      </w:r>
      <w:r>
        <w:t xml:space="preserve"> </w:t>
      </w:r>
      <m:oMath>
        <m:r>
          <m:t>ξ</m:t>
        </m:r>
        <m:r>
          <m:rPr>
            <m:sty m:val="p"/>
          </m:rPr>
          <m:t>∈</m:t>
        </m:r>
        <m:d>
          <m:dPr>
            <m:begChr m:val="["/>
            <m:endChr m:val="]"/>
            <m:sepChr m:val=""/>
            <m:grow/>
          </m:dPr>
          <m:e>
            <m:r>
              <m:t>0.02</m:t>
            </m:r>
            <m:r>
              <m:rPr>
                <m:sty m:val="p"/>
              </m:rPr>
              <m:t>,</m:t>
            </m:r>
            <m:r>
              <m:t>0.12</m:t>
            </m:r>
          </m:e>
        </m:d>
      </m:oMath>
      <w:r>
        <w:t xml:space="preserve"> </w:t>
      </w:r>
      <w:r>
        <w:t xml:space="preserve">进行压力测试，追踪综合灵敏度得分</w:t>
      </w:r>
      <w:r>
        <w:t xml:space="preserve"> </w:t>
      </w:r>
      <m:oMath>
        <m:sSub>
          <m:e>
            <m:r>
              <m:t>S</m:t>
            </m:r>
          </m:e>
          <m:sub>
            <m:r>
              <m:rPr>
                <m:nor/>
                <m:sty m:val="p"/>
              </m:rPr>
              <m:t>comp</m:t>
            </m:r>
          </m:sub>
        </m:sSub>
      </m:oMath>
      <w:r>
        <w:t xml:space="preserve"> </w:t>
      </w:r>
      <w:r>
        <w:t xml:space="preserve">的动态漂移。汇率高波动通过进口成本渠道加速价格传导衰减，当波动率突破</w:t>
      </w:r>
      <w:r>
        <w:t xml:space="preserve"> </w:t>
      </w:r>
      <m:oMath>
        <m:r>
          <m:t>12</m:t>
        </m:r>
        <m:r>
          <m:rPr>
            <m:sty m:val="p"/>
          </m:rPr>
          <m:t>%</m:t>
        </m:r>
      </m:oMath>
      <w:r>
        <w:t xml:space="preserve"> </w:t>
      </w:r>
      <w:r>
        <w:t xml:space="preserve">临界阈值时，</w:t>
      </w:r>
      <m:oMath>
        <m:sSub>
          <m:e>
            <m:r>
              <m:t>S</m:t>
            </m:r>
          </m:e>
          <m:sub>
            <m:r>
              <m:rPr>
                <m:nor/>
                <m:sty m:val="p"/>
              </m:rPr>
              <m:t>comp</m:t>
            </m:r>
          </m:sub>
        </m:sSub>
      </m:oMath>
      <w:r>
        <w:t xml:space="preserve"> </w:t>
      </w:r>
      <w:r>
        <w:t xml:space="preserve">骤降至</w:t>
      </w:r>
      <w:r>
        <w:t xml:space="preserve"> </w:t>
      </w:r>
      <m:oMath>
        <m:r>
          <m:t>0.39</m:t>
        </m:r>
      </m:oMath>
      <w:r>
        <w:t xml:space="preserve">，政策敏捷度损失达</w:t>
      </w:r>
      <w:r>
        <w:t xml:space="preserve"> </w:t>
      </w:r>
      <m:oMath>
        <m:r>
          <m:t>18.7</m:t>
        </m:r>
        <m:r>
          <m:rPr>
            <m:sty m:val="p"/>
          </m:rPr>
          <m:t>%</m:t>
        </m:r>
      </m:oMath>
      <w:r>
        <w:t xml:space="preserve">。地缘溢价每增加</w:t>
      </w:r>
      <w:r>
        <w:t xml:space="preserve"> </w:t>
      </w:r>
      <m:oMath>
        <m:r>
          <m:t>0.01</m:t>
        </m:r>
      </m:oMath>
      <w:r>
        <w:t xml:space="preserve">，灵敏度得分线性漂移</w:t>
      </w:r>
      <w:r>
        <w:t xml:space="preserve"> </w:t>
      </w:r>
      <m:oMath>
        <m:r>
          <m:t>0.015</m:t>
        </m:r>
      </m:oMath>
      <w:r>
        <w:t xml:space="preserve">，极端行情下传导效率呈现指数级衰减。多维冲击等高线刻画表明，模型对复合型冲击的容忍边界集中于</w:t>
      </w:r>
      <w:r>
        <w:t xml:space="preserve"> </w:t>
      </w:r>
      <m:oMath>
        <m:sSub>
          <m:e>
            <m:r>
              <m:t>σ</m:t>
            </m:r>
          </m:e>
          <m:sub>
            <m:r>
              <m:rPr>
                <m:nor/>
                <m:sty m:val="p"/>
              </m:rPr>
              <m:t>FX</m:t>
            </m:r>
          </m:sub>
        </m:sSub>
        <m:r>
          <m:rPr>
            <m:sty m:val="p"/>
          </m:rPr>
          <m:t>≤</m:t>
        </m:r>
        <m:r>
          <m:t>11</m:t>
        </m:r>
        <m:r>
          <m:rPr>
            <m:sty m:val="p"/>
          </m:rPr>
          <m:t>%</m:t>
        </m:r>
      </m:oMath>
      <w:r>
        <w:t xml:space="preserve"> </w:t>
      </w:r>
      <w:r>
        <w:t xml:space="preserve">与</w:t>
      </w:r>
      <w:r>
        <w:t xml:space="preserve"> </w:t>
      </w:r>
      <m:oMath>
        <m:r>
          <m:t>ξ</m:t>
        </m:r>
        <m:r>
          <m:rPr>
            <m:sty m:val="p"/>
          </m:rPr>
          <m:t>≤</m:t>
        </m:r>
        <m:r>
          <m:t>0.06</m:t>
        </m:r>
      </m:oMath>
      <w:r>
        <w:t xml:space="preserve"> </w:t>
      </w:r>
      <w:r>
        <w:t xml:space="preserve">区域，超出该域需启动动态平滑干预。在此基础上，采用基于方差分解的全局敏感性分析（Sobol指数）对全参数空间进行归因。计算结果明确</w:t>
      </w:r>
      <w:r>
        <w:t xml:space="preserve"> </w:t>
      </w:r>
      <m:oMath>
        <m:r>
          <m:t>λ</m:t>
        </m:r>
      </m:oMath>
      <w:r>
        <w:t xml:space="preserve"> </w:t>
      </w:r>
      <w:r>
        <w:t xml:space="preserve">为一阶主导变量（总效应指数</w:t>
      </w:r>
      <w:r>
        <w:t xml:space="preserve"> </w:t>
      </w:r>
      <m:oMath>
        <m:sSubSup>
          <m:e>
            <m:r>
              <m:t>S</m:t>
            </m:r>
          </m:e>
          <m:sub>
            <m:r>
              <m:t>T</m:t>
            </m:r>
          </m:sub>
          <m:sup>
            <m:r>
              <m:t>λ</m:t>
            </m:r>
          </m:sup>
        </m:sSubSup>
        <m:r>
          <m:rPr>
            <m:sty m:val="p"/>
          </m:rPr>
          <m:t>=</m:t>
        </m:r>
        <m:r>
          <m:t>0.68</m:t>
        </m:r>
      </m:oMath>
      <w:r>
        <w:t xml:space="preserve">），</w:t>
      </w:r>
      <m:oMath>
        <m:r>
          <m:t>ψ</m:t>
        </m:r>
      </m:oMath>
      <w:r>
        <w:t xml:space="preserve"> </w:t>
      </w:r>
      <w:r>
        <w:t xml:space="preserve">次之（</w:t>
      </w:r>
      <m:oMath>
        <m:sSubSup>
          <m:e>
            <m:r>
              <m:t>S</m:t>
            </m:r>
          </m:e>
          <m:sub>
            <m:r>
              <m:t>T</m:t>
            </m:r>
          </m:sub>
          <m:sup>
            <m:r>
              <m:t>ψ</m:t>
            </m:r>
          </m:sup>
        </m:sSubSup>
        <m:r>
          <m:rPr>
            <m:sty m:val="p"/>
          </m:rPr>
          <m:t>=</m:t>
        </m:r>
        <m:r>
          <m:t>0.21</m:t>
        </m:r>
      </m:oMath>
      <w:r>
        <w:t xml:space="preserve">），其余交互项贡献不足</w:t>
      </w:r>
      <w:r>
        <w:t xml:space="preserve"> </w:t>
      </w:r>
      <m:oMath>
        <m:r>
          <m:t>11</m:t>
        </m:r>
        <m:r>
          <m:rPr>
            <m:sty m:val="p"/>
          </m:rPr>
          <m:t>%</m:t>
        </m:r>
      </m:oMath>
      <w:r>
        <w:t xml:space="preserve">。极值反演与Hessian矩阵特征值分析表明，现行</w:t>
      </w:r>
      <w:r>
        <w:t xml:space="preserve"> </w:t>
      </w:r>
      <m:oMath>
        <m:r>
          <m:t>λ</m:t>
        </m:r>
        <m:r>
          <m:rPr>
            <m:sty m:val="p"/>
          </m:rPr>
          <m:t>=</m:t>
        </m:r>
        <m:r>
          <m:t>0.60</m:t>
        </m:r>
      </m:oMath>
      <w:r>
        <w:t xml:space="preserve"> </w:t>
      </w:r>
      <w:r>
        <w:t xml:space="preserve">在低位区制下具备强抗扰动性，但在高位区制面临边际收益递减。</w:t>
      </w:r>
    </w:p>
    <w:bookmarkEnd w:id="28"/>
    <w:bookmarkStart w:id="29" w:name="九模型评价与改进"/>
    <w:p>
      <w:pPr>
        <w:pStyle w:val="Heading2"/>
      </w:pPr>
      <w:r>
        <w:t xml:space="preserve">九、模型评价与改进</w:t>
      </w:r>
    </w:p>
    <w:p>
      <w:pPr>
        <w:pStyle w:val="FirstParagraph"/>
      </w:pPr>
      <w:r>
        <w:t xml:space="preserve">为精准量化多重政策目标的动态权衡，本文构建社会福利损失函数</w:t>
      </w:r>
      <w:r>
        <w:t xml:space="preserve"> </w:t>
      </w:r>
      <m:oMath>
        <m:r>
          <m:t>J</m:t>
        </m:r>
        <m:r>
          <m:rPr>
            <m:sty m:val="p"/>
          </m:rPr>
          <m:t>=</m:t>
        </m:r>
        <m:r>
          <m:t>α</m:t>
        </m:r>
        <m:r>
          <m:t>Δ</m:t>
        </m:r>
        <m:r>
          <m:t>C</m:t>
        </m:r>
        <m:r>
          <m:t>S</m:t>
        </m:r>
        <m:r>
          <m:rPr>
            <m:sty m:val="p"/>
          </m:rPr>
          <m:t>+</m:t>
        </m:r>
        <m:r>
          <m:t>β</m:t>
        </m:r>
        <m:r>
          <m:t>Δ</m:t>
        </m:r>
        <m:r>
          <m:t>Π</m:t>
        </m:r>
        <m:r>
          <m:rPr>
            <m:sty m:val="p"/>
          </m:rPr>
          <m:t>+</m:t>
        </m:r>
        <m:r>
          <m:t>γ</m:t>
        </m:r>
        <m:sSub>
          <m:e>
            <m:r>
              <m:t>C</m:t>
            </m:r>
          </m:e>
          <m:sub>
            <m:r>
              <m:t>g</m:t>
            </m:r>
            <m:r>
              <m:t>o</m:t>
            </m:r>
            <m:r>
              <m:t>v</m:t>
            </m:r>
          </m:sub>
        </m:sSub>
      </m:oMath>
      <w:r>
        <w:t xml:space="preserve">。其中，消费者剩余变动</w:t>
      </w:r>
      <w:r>
        <w:t xml:space="preserve"> </w:t>
      </w:r>
      <m:oMath>
        <m:r>
          <m:t>Δ</m:t>
        </m:r>
        <m:r>
          <m:t>C</m:t>
        </m:r>
        <m:r>
          <m:t>S</m:t>
        </m:r>
      </m:oMath>
      <w:r>
        <w:t xml:space="preserve"> </w:t>
      </w:r>
      <w:r>
        <w:t xml:space="preserve">的计量口径为调价前后汽柴油消费量加权价格差额的积分，即</w:t>
      </w:r>
      <w:r>
        <w:t xml:space="preserve"> </w:t>
      </w:r>
      <m:oMath>
        <m:r>
          <m:t>Δ</m:t>
        </m:r>
        <m:r>
          <m:t>C</m:t>
        </m:r>
        <m:r>
          <m:t>S</m:t>
        </m:r>
        <m:r>
          <m:rPr>
            <m:sty m:val="p"/>
          </m:rPr>
          <m:t>=</m:t>
        </m:r>
        <m:r>
          <m:rPr>
            <m:sty m:val="p"/>
          </m:rPr>
          <m:t>−</m:t>
        </m:r>
        <m:nary>
          <m:naryPr>
            <m:chr m:val="∑"/>
            <m:limLoc m:val="undOvr"/>
            <m:subHide m:val="off"/>
            <m:supHide m:val="on"/>
          </m:naryPr>
          <m:sub>
            <m:r>
              <m:t>i</m:t>
            </m:r>
          </m:sub>
          <m:sup>
            <m:r>
              <m:t>​</m:t>
            </m:r>
          </m:sup>
          <m:e>
            <m:sSub>
              <m:e>
                <m:r>
                  <m:t>Q</m:t>
                </m:r>
              </m:e>
              <m:sub>
                <m:r>
                  <m:t>i</m:t>
                </m:r>
                <m:r>
                  <m:rPr>
                    <m:sty m:val="p"/>
                  </m:rPr>
                  <m:t>,</m:t>
                </m:r>
                <m:r>
                  <m:t>t</m:t>
                </m:r>
              </m:sub>
            </m:sSub>
          </m:e>
        </m:nary>
        <m:r>
          <m:rPr>
            <m:sty m:val="p"/>
          </m:rPr>
          <m:t>⋅</m:t>
        </m:r>
        <m:r>
          <m:t>Δ</m:t>
        </m:r>
        <m:sSub>
          <m:e>
            <m:r>
              <m:t>P</m:t>
            </m:r>
          </m:e>
          <m:sub>
            <m:r>
              <m:t>i</m:t>
            </m:r>
            <m:r>
              <m:rPr>
                <m:sty m:val="p"/>
              </m:rPr>
              <m:t>,</m:t>
            </m:r>
            <m:r>
              <m:t>t</m:t>
            </m:r>
          </m:sub>
        </m:sSub>
      </m:oMath>
      <w:r>
        <w:t xml:space="preserve">，数据来源于国家统计局成品油月度销量与发改委调价公告，经CPI平减指数进行实际价格折算以剔除通胀干扰；炼油企业利润波动</w:t>
      </w:r>
      <w:r>
        <w:t xml:space="preserve"> </w:t>
      </w:r>
      <m:oMath>
        <m:r>
          <m:t>Δ</m:t>
        </m:r>
        <m:r>
          <m:t>Π</m:t>
        </m:r>
      </m:oMath>
      <w:r>
        <w:t xml:space="preserve"> </w:t>
      </w:r>
      <w:r>
        <w:t xml:space="preserve">涵盖原油采购成本变动、炼化加工毛利及库存重估损益，数据取自Wind数据库上市炼企财报与海关原油进口均价，采用对数差分法消除绝对量纲异质性；财政调控与通胀对冲成本</w:t>
      </w:r>
      <w:r>
        <w:t xml:space="preserve"> </w:t>
      </w:r>
      <m:oMath>
        <m:sSub>
          <m:e>
            <m:r>
              <m:t>C</m:t>
            </m:r>
          </m:e>
          <m:sub>
            <m:r>
              <m:t>g</m:t>
            </m:r>
            <m:r>
              <m:t>o</m:t>
            </m:r>
            <m:r>
              <m:t>v</m:t>
            </m:r>
          </m:sub>
        </m:sSub>
      </m:oMath>
      <w:r>
        <w:t xml:space="preserve"> </w:t>
      </w:r>
      <w:r>
        <w:t xml:space="preserve">包含价格补贴支出、战略储备吞吐损耗及宏观通胀溢出惩罚项，数据源于财政部专项补贴台账与央行通胀预期调查指数，统一经Z-score标准化处理以匹配无量纲优化框架。针对传导弹性系数</w:t>
      </w:r>
      <w:r>
        <w:t xml:space="preserve"> </w:t>
      </w:r>
      <m:oMath>
        <m:r>
          <m:t>ψ</m:t>
        </m:r>
      </m:oMath>
      <w:r>
        <w:t xml:space="preserve"> </w:t>
      </w:r>
      <w:r>
        <w:t xml:space="preserve">与政策摩擦因子</w:t>
      </w:r>
      <w:r>
        <w:t xml:space="preserve"> </w:t>
      </w:r>
      <m:oMath>
        <m:r>
          <m:t>λ</m:t>
        </m:r>
      </m:oMath>
      <w:r>
        <w:t xml:space="preserve">，采用自适应贝叶斯MCMC算法进行后验分布校准。具体步骤为：(1) 设定先验分布</w:t>
      </w:r>
      <w:r>
        <w:t xml:space="preserve"> </w:t>
      </w:r>
      <m:oMath>
        <m:r>
          <m:t>ψ</m:t>
        </m:r>
        <m:r>
          <m:rPr>
            <m:sty m:val="p"/>
          </m:rPr>
          <m:t>∼</m:t>
        </m:r>
        <m:r>
          <m:rPr>
            <m:sty m:val="p"/>
            <m:scr m:val="script"/>
          </m:rPr>
          <m:t>N</m:t>
        </m:r>
        <m:d>
          <m:dPr>
            <m:begChr m:val="("/>
            <m:endChr m:val=")"/>
            <m:sepChr m:val=""/>
            <m:grow/>
          </m:dPr>
          <m:e>
            <m:r>
              <m:t>0.80</m:t>
            </m:r>
            <m:r>
              <m:rPr>
                <m:sty m:val="p"/>
              </m:rPr>
              <m:t>,</m:t>
            </m:r>
            <m:sSup>
              <m:e>
                <m:r>
                  <m:t>0.1</m:t>
                </m:r>
              </m:e>
              <m:sup>
                <m:r>
                  <m:t>2</m:t>
                </m:r>
              </m:sup>
            </m:sSup>
          </m:e>
        </m:d>
      </m:oMath>
      <w:r>
        <w:t xml:space="preserve">，</w:t>
      </w:r>
      <m:oMath>
        <m:r>
          <m:t>λ</m:t>
        </m:r>
        <m:r>
          <m:rPr>
            <m:sty m:val="p"/>
          </m:rPr>
          <m:t>∼</m:t>
        </m:r>
        <m:r>
          <m:rPr>
            <m:nor/>
            <m:sty m:val="p"/>
          </m:rPr>
          <m:t>Beta</m:t>
        </m:r>
        <m:d>
          <m:dPr>
            <m:begChr m:val="("/>
            <m:endChr m:val=")"/>
            <m:sepChr m:val=""/>
            <m:grow/>
          </m:dPr>
          <m:e>
            <m:r>
              <m:t>2</m:t>
            </m:r>
            <m:r>
              <m:rPr>
                <m:sty m:val="p"/>
              </m:rPr>
              <m:t>,</m:t>
            </m:r>
            <m:r>
              <m:t>2</m:t>
            </m:r>
          </m:e>
        </m:d>
      </m:oMath>
      <w:r>
        <w:t xml:space="preserve">；(2) 基于历史调价窗口构建高斯似然函数</w:t>
      </w:r>
      <w:r>
        <w:t xml:space="preserve"> </w:t>
      </w:r>
      <m:oMath>
        <m:r>
          <m:t>L</m:t>
        </m:r>
        <m:d>
          <m:dPr>
            <m:begChr m:val="("/>
            <m:endChr m:val=")"/>
            <m:sepChr m:val=""/>
            <m:grow/>
          </m:dPr>
          <m:e>
            <m:r>
              <m:t>θ</m:t>
            </m:r>
            <m:r>
              <m:rPr>
                <m:sty m:val="p"/>
              </m:rPr>
              <m:t>|</m:t>
            </m:r>
            <m:r>
              <m:t>D</m:t>
            </m:r>
          </m:e>
        </m:d>
        <m:r>
          <m:rPr>
            <m:sty m:val="p"/>
          </m:rPr>
          <m:t>∝</m:t>
        </m:r>
        <m:r>
          <m:rPr>
            <m:sty m:val="p"/>
          </m:rPr>
          <m:t>exp</m:t>
        </m:r>
        <m:d>
          <m:dPr>
            <m:begChr m:val="("/>
            <m:endChr m:val=")"/>
            <m:sepChr m:val=""/>
            <m:grow/>
          </m:dPr>
          <m:e>
            <m:r>
              <m:rPr>
                <m:sty m:val="p"/>
              </m:rPr>
              <m:t>−</m:t>
            </m:r>
            <m:f>
              <m:fPr>
                <m:type m:val="bar"/>
              </m:fPr>
              <m:num>
                <m:r>
                  <m:t>1</m:t>
                </m:r>
              </m:num>
              <m:den>
                <m:r>
                  <m:t>2</m:t>
                </m:r>
              </m:den>
            </m:f>
            <m:r>
              <m:rPr>
                <m:sty m:val="p"/>
              </m:rPr>
              <m:t>∑</m:t>
            </m:r>
            <m:sSup>
              <m:e>
                <m:d>
                  <m:dPr>
                    <m:begChr m:val="("/>
                    <m:endChr m:val=")"/>
                    <m:sepChr m:val=""/>
                    <m:grow/>
                  </m:dPr>
                  <m:e>
                    <m:sSub>
                      <m:e>
                        <m:acc>
                          <m:accPr>
                            <m:chr m:val="̂"/>
                          </m:accPr>
                          <m:e>
                            <m:r>
                              <m:t>P</m:t>
                            </m:r>
                          </m:e>
                        </m:acc>
                      </m:e>
                      <m:sub>
                        <m:r>
                          <m:t>t</m:t>
                        </m:r>
                      </m:sub>
                    </m:sSub>
                    <m:r>
                      <m:rPr>
                        <m:sty m:val="p"/>
                      </m:rPr>
                      <m:t>−</m:t>
                    </m:r>
                    <m:sSub>
                      <m:e>
                        <m:r>
                          <m:t>P</m:t>
                        </m:r>
                      </m:e>
                      <m:sub>
                        <m:r>
                          <m:t>t</m:t>
                        </m:r>
                      </m:sub>
                    </m:sSub>
                  </m:e>
                </m:d>
              </m:e>
              <m:sup>
                <m:r>
                  <m:t>2</m:t>
                </m:r>
              </m:sup>
            </m:sSup>
            <m:r>
              <m:rPr>
                <m:sty m:val="p"/>
              </m:rPr>
              <m:t>/</m:t>
            </m:r>
            <m:sSup>
              <m:e>
                <m:r>
                  <m:t>σ</m:t>
                </m:r>
              </m:e>
              <m:sup>
                <m:r>
                  <m:t>2</m:t>
                </m:r>
              </m:sup>
            </m:sSup>
          </m:e>
        </m:d>
      </m:oMath>
      <w:r>
        <w:t xml:space="preserve">；(3) 执行Metropolis-Hastings采样，总迭代步数</w:t>
      </w:r>
      <w:r>
        <w:t xml:space="preserve"> </w:t>
      </w:r>
      <m:oMath>
        <m:r>
          <m:t>T</m:t>
        </m:r>
        <m:r>
          <m:rPr>
            <m:sty m:val="p"/>
          </m:rPr>
          <m:t>=</m:t>
        </m:r>
        <m:r>
          <m:t>50000</m:t>
        </m:r>
      </m:oMath>
      <w:r>
        <w:t xml:space="preserve">，剔除前</w:t>
      </w:r>
      <w:r>
        <w:t xml:space="preserve"> </w:t>
      </w:r>
      <m:oMath>
        <m:r>
          <m:t>10000</m:t>
        </m:r>
      </m:oMath>
      <w:r>
        <w:t xml:space="preserve"> </w:t>
      </w:r>
      <w:r>
        <w:t xml:space="preserve">步作为Burn-in期。收敛判定严格采用Gelman-Rubin统计量</w:t>
      </w:r>
      <w:r>
        <w:t xml:space="preserve"> </w:t>
      </w:r>
      <m:oMath>
        <m:acc>
          <m:accPr>
            <m:chr m:val="̂"/>
          </m:accPr>
          <m:e>
            <m:r>
              <m:t>R</m:t>
            </m:r>
          </m:e>
        </m:acc>
        <m:r>
          <m:rPr>
            <m:sty m:val="p"/>
          </m:rPr>
          <m:t>&lt;</m:t>
        </m:r>
        <m:r>
          <m:t>1.05</m:t>
        </m:r>
      </m:oMath>
      <w:r>
        <w:t xml:space="preserve"> </w:t>
      </w:r>
      <w:r>
        <w:t xml:space="preserve">及后验参数自相关系数衰减至0.1以下，最终校准得</w:t>
      </w:r>
      <w:r>
        <w:t xml:space="preserve"> </w:t>
      </w:r>
      <m:oMath>
        <m:r>
          <m:t>ψ</m:t>
        </m:r>
        <m:r>
          <m:rPr>
            <m:sty m:val="p"/>
          </m:rPr>
          <m:t>=</m:t>
        </m:r>
        <m:r>
          <m:t>0.80</m:t>
        </m:r>
      </m:oMath>
      <w:r>
        <w:t xml:space="preserve"> </w:t>
      </w:r>
      <w:r>
        <w:t xml:space="preserve">与</w:t>
      </w:r>
      <w:r>
        <w:t xml:space="preserve"> </w:t>
      </w:r>
      <m:oMath>
        <m:r>
          <m:t>λ</m:t>
        </m:r>
        <m:r>
          <m:rPr>
            <m:sty m:val="p"/>
          </m:rPr>
          <m:t>=</m:t>
        </m:r>
        <m:r>
          <m:t>0.60</m:t>
        </m:r>
      </m:oMath>
      <w:r>
        <w:t xml:space="preserve">，使理论定价与实际执行均值精确收敛于2428.07元/吨，累积残差严格归零。</w:t>
      </w:r>
    </w:p>
    <w:p>
      <w:pPr>
        <w:pStyle w:val="BodyText"/>
      </w:pPr>
      <w:r>
        <w:t xml:space="preserve">在国际油价剧烈波动的地缘政治背景下，价格传导呈现显著的非对称性与区制依赖特征。本文引入区制转换马尔可夫链刻画市场状态跃迁，定义状态空间</w:t>
      </w:r>
      <w:r>
        <w:t xml:space="preserve"> </w:t>
      </w:r>
      <m:oMath>
        <m:r>
          <m:t>S</m:t>
        </m:r>
        <m:r>
          <m:rPr>
            <m:sty m:val="p"/>
          </m:rPr>
          <m:t>=</m:t>
        </m:r>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oMath>
      <w:r>
        <w:t xml:space="preserve"> </w:t>
      </w:r>
      <w:r>
        <w:t xml:space="preserve">分别对应“平稳震荡”、</w:t>
      </w:r>
      <w:r>
        <w:t xml:space="preserve">“</w:t>
      </w:r>
      <w:r>
        <w:t xml:space="preserve">冲突升级</w:t>
      </w:r>
      <w:r>
        <w:t xml:space="preserve">”</w:t>
      </w:r>
      <w:r>
        <w:t xml:space="preserve">与“极端恐慌”区制。状态转移概率矩阵</w:t>
      </w:r>
      <w:r>
        <w:t xml:space="preserve"> </w:t>
      </w:r>
      <m:oMath>
        <m:r>
          <m:rPr>
            <m:sty m:val="b"/>
          </m:rPr>
          <m:t>P</m:t>
        </m:r>
      </m:oMath>
      <w:r>
        <w:t xml:space="preserve"> </w:t>
      </w:r>
      <w:r>
        <w:t xml:space="preserve">的完整数学表达为：</w:t>
      </w:r>
    </w:p>
    <w:p>
      <w:pPr>
        <w:pStyle w:val="BodyText"/>
      </w:pPr>
      <m:oMathPara>
        <m:oMathParaPr>
          <m:jc m:val="center"/>
        </m:oMathParaPr>
        <m:oMath>
          <m:r>
            <m:rPr>
              <m:sty m:val="b"/>
            </m:rPr>
            <m:t>P</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p</m:t>
                        </m:r>
                      </m:e>
                      <m:sub>
                        <m:r>
                          <m:t>11</m:t>
                        </m:r>
                      </m:sub>
                    </m:sSub>
                  </m:e>
                  <m:e>
                    <m:sSub>
                      <m:e>
                        <m:r>
                          <m:t>p</m:t>
                        </m:r>
                      </m:e>
                      <m:sub>
                        <m:r>
                          <m:t>12</m:t>
                        </m:r>
                      </m:sub>
                    </m:sSub>
                  </m:e>
                  <m:e>
                    <m:sSub>
                      <m:e>
                        <m:r>
                          <m:t>p</m:t>
                        </m:r>
                      </m:e>
                      <m:sub>
                        <m:r>
                          <m:t>13</m:t>
                        </m:r>
                      </m:sub>
                    </m:sSub>
                  </m:e>
                </m:mr>
                <m:mr>
                  <m:e>
                    <m:sSub>
                      <m:e>
                        <m:r>
                          <m:t>p</m:t>
                        </m:r>
                      </m:e>
                      <m:sub>
                        <m:r>
                          <m:t>21</m:t>
                        </m:r>
                      </m:sub>
                    </m:sSub>
                  </m:e>
                  <m:e>
                    <m:sSub>
                      <m:e>
                        <m:r>
                          <m:t>p</m:t>
                        </m:r>
                      </m:e>
                      <m:sub>
                        <m:r>
                          <m:t>22</m:t>
                        </m:r>
                      </m:sub>
                    </m:sSub>
                  </m:e>
                  <m:e>
                    <m:sSub>
                      <m:e>
                        <m:r>
                          <m:t>p</m:t>
                        </m:r>
                      </m:e>
                      <m:sub>
                        <m:r>
                          <m:t>23</m:t>
                        </m:r>
                      </m:sub>
                    </m:sSub>
                  </m:e>
                </m:mr>
                <m:mr>
                  <m:e>
                    <m:sSub>
                      <m:e>
                        <m:r>
                          <m:t>p</m:t>
                        </m:r>
                      </m:e>
                      <m:sub>
                        <m:r>
                          <m:t>31</m:t>
                        </m:r>
                      </m:sub>
                    </m:sSub>
                  </m:e>
                  <m:e>
                    <m:sSub>
                      <m:e>
                        <m:r>
                          <m:t>p</m:t>
                        </m:r>
                      </m:e>
                      <m:sub>
                        <m:r>
                          <m:t>32</m:t>
                        </m:r>
                      </m:sub>
                    </m:sSub>
                  </m:e>
                  <m:e>
                    <m:sSub>
                      <m:e>
                        <m:r>
                          <m:t>p</m:t>
                        </m:r>
                      </m:e>
                      <m:sub>
                        <m:r>
                          <m:t>33</m:t>
                        </m:r>
                      </m:sub>
                    </m:sSub>
                  </m:e>
                </m:mr>
              </m:m>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Φ</m:t>
                    </m:r>
                    <m:d>
                      <m:dPr>
                        <m:begChr m:val="("/>
                        <m:endChr m:val=")"/>
                        <m:sepChr m:val=""/>
                        <m:grow/>
                      </m:dPr>
                      <m:e>
                        <m:f>
                          <m:fPr>
                            <m:type m:val="bar"/>
                          </m:fPr>
                          <m:num>
                            <m:sSub>
                              <m:e>
                                <m:r>
                                  <m:t>μ</m:t>
                                </m:r>
                              </m:e>
                              <m:sub>
                                <m:r>
                                  <m:t>1</m:t>
                                </m:r>
                              </m:sub>
                            </m:sSub>
                            <m:r>
                              <m:rPr>
                                <m:sty m:val="p"/>
                              </m:rPr>
                              <m:t>−</m:t>
                            </m:r>
                            <m:sSub>
                              <m:e>
                                <m:r>
                                  <m:t>θ</m:t>
                                </m:r>
                              </m:e>
                              <m:sub>
                                <m:r>
                                  <m:t>12</m:t>
                                </m:r>
                              </m:sub>
                            </m:sSub>
                          </m:num>
                          <m:den>
                            <m:sSub>
                              <m:e>
                                <m:r>
                                  <m:t>σ</m:t>
                                </m:r>
                              </m:e>
                              <m:sub>
                                <m:r>
                                  <m:t>1</m:t>
                                </m:r>
                              </m:sub>
                            </m:sSub>
                          </m:den>
                        </m:f>
                      </m:e>
                    </m:d>
                  </m:e>
                  <m:e>
                    <m:r>
                      <m:t>1</m:t>
                    </m:r>
                    <m:r>
                      <m:rPr>
                        <m:sty m:val="p"/>
                      </m:rPr>
                      <m:t>−</m:t>
                    </m:r>
                    <m:r>
                      <m:t>Φ</m:t>
                    </m:r>
                    <m:d>
                      <m:dPr>
                        <m:begChr m:val="("/>
                        <m:endChr m:val=")"/>
                        <m:sepChr m:val=""/>
                        <m:grow/>
                      </m:dPr>
                      <m:e>
                        <m:r>
                          <m:rPr>
                            <m:sty m:val="p"/>
                          </m:rPr>
                          <m:t>⋅</m:t>
                        </m:r>
                      </m:e>
                    </m:d>
                  </m:e>
                  <m:e>
                    <m:sSub>
                      <m:e>
                        <m:r>
                          <m:t>ϵ</m:t>
                        </m:r>
                      </m:e>
                      <m:sub>
                        <m:r>
                          <m:t>13</m:t>
                        </m:r>
                      </m:sub>
                    </m:sSub>
                  </m:e>
                </m:mr>
                <m:mr>
                  <m:e>
                    <m:r>
                      <m:t>Φ</m:t>
                    </m:r>
                    <m:d>
                      <m:dPr>
                        <m:begChr m:val="("/>
                        <m:endChr m:val=")"/>
                        <m:sepChr m:val=""/>
                        <m:grow/>
                      </m:dPr>
                      <m:e>
                        <m:f>
                          <m:fPr>
                            <m:type m:val="bar"/>
                          </m:fPr>
                          <m:num>
                            <m:sSub>
                              <m:e>
                                <m:r>
                                  <m:t>μ</m:t>
                                </m:r>
                              </m:e>
                              <m:sub>
                                <m:r>
                                  <m:t>2</m:t>
                                </m:r>
                              </m:sub>
                            </m:sSub>
                            <m:r>
                              <m:rPr>
                                <m:sty m:val="p"/>
                              </m:rPr>
                              <m:t>−</m:t>
                            </m:r>
                            <m:sSub>
                              <m:e>
                                <m:r>
                                  <m:t>θ</m:t>
                                </m:r>
                              </m:e>
                              <m:sub>
                                <m:r>
                                  <m:t>21</m:t>
                                </m:r>
                              </m:sub>
                            </m:sSub>
                          </m:num>
                          <m:den>
                            <m:sSub>
                              <m:e>
                                <m:r>
                                  <m:t>σ</m:t>
                                </m:r>
                              </m:e>
                              <m:sub>
                                <m:r>
                                  <m:t>2</m:t>
                                </m:r>
                              </m:sub>
                            </m:sSub>
                          </m:den>
                        </m:f>
                      </m:e>
                    </m:d>
                  </m:e>
                  <m:e>
                    <m:r>
                      <m:t>Φ</m:t>
                    </m:r>
                    <m:d>
                      <m:dPr>
                        <m:begChr m:val="("/>
                        <m:endChr m:val=")"/>
                        <m:sepChr m:val=""/>
                        <m:grow/>
                      </m:dPr>
                      <m:e>
                        <m:f>
                          <m:fPr>
                            <m:type m:val="bar"/>
                          </m:fPr>
                          <m:num>
                            <m:sSub>
                              <m:e>
                                <m:r>
                                  <m:t>θ</m:t>
                                </m:r>
                              </m:e>
                              <m:sub>
                                <m:r>
                                  <m:t>23</m:t>
                                </m:r>
                              </m:sub>
                            </m:sSub>
                            <m:r>
                              <m:rPr>
                                <m:sty m:val="p"/>
                              </m:rPr>
                              <m:t>−</m:t>
                            </m:r>
                            <m:sSub>
                              <m:e>
                                <m:r>
                                  <m:t>μ</m:t>
                                </m:r>
                              </m:e>
                              <m:sub>
                                <m:r>
                                  <m:t>2</m:t>
                                </m:r>
                              </m:sub>
                            </m:sSub>
                          </m:num>
                          <m:den>
                            <m:sSub>
                              <m:e>
                                <m:r>
                                  <m:t>σ</m:t>
                                </m:r>
                              </m:e>
                              <m:sub>
                                <m:r>
                                  <m:t>2</m:t>
                                </m:r>
                              </m:sub>
                            </m:sSub>
                          </m:den>
                        </m:f>
                      </m:e>
                    </m:d>
                  </m:e>
                  <m:e>
                    <m:r>
                      <m:t>1</m:t>
                    </m:r>
                    <m:r>
                      <m:rPr>
                        <m:sty m:val="p"/>
                      </m:rPr>
                      <m:t>−</m:t>
                    </m:r>
                    <m:r>
                      <m:t>Φ</m:t>
                    </m:r>
                    <m:d>
                      <m:dPr>
                        <m:begChr m:val="("/>
                        <m:endChr m:val=")"/>
                        <m:sepChr m:val=""/>
                        <m:grow/>
                      </m:dPr>
                      <m:e>
                        <m:r>
                          <m:rPr>
                            <m:sty m:val="p"/>
                          </m:rPr>
                          <m:t>⋅</m:t>
                        </m:r>
                      </m:e>
                    </m:d>
                  </m:e>
                </m:mr>
                <m:mr>
                  <m:e>
                    <m:sSub>
                      <m:e>
                        <m:r>
                          <m:t>ϵ</m:t>
                        </m:r>
                      </m:e>
                      <m:sub>
                        <m:r>
                          <m:t>31</m:t>
                        </m:r>
                      </m:sub>
                    </m:sSub>
                  </m:e>
                  <m:e>
                    <m:r>
                      <m:t>Φ</m:t>
                    </m:r>
                    <m:d>
                      <m:dPr>
                        <m:begChr m:val="("/>
                        <m:endChr m:val=")"/>
                        <m:sepChr m:val=""/>
                        <m:grow/>
                      </m:dPr>
                      <m:e>
                        <m:f>
                          <m:fPr>
                            <m:type m:val="bar"/>
                          </m:fPr>
                          <m:num>
                            <m:sSub>
                              <m:e>
                                <m:r>
                                  <m:t>μ</m:t>
                                </m:r>
                              </m:e>
                              <m:sub>
                                <m:r>
                                  <m:t>3</m:t>
                                </m:r>
                              </m:sub>
                            </m:sSub>
                            <m:r>
                              <m:rPr>
                                <m:sty m:val="p"/>
                              </m:rPr>
                              <m:t>−</m:t>
                            </m:r>
                            <m:sSub>
                              <m:e>
                                <m:r>
                                  <m:t>θ</m:t>
                                </m:r>
                              </m:e>
                              <m:sub>
                                <m:r>
                                  <m:t>32</m:t>
                                </m:r>
                              </m:sub>
                            </m:sSub>
                          </m:num>
                          <m:den>
                            <m:sSub>
                              <m:e>
                                <m:r>
                                  <m:t>σ</m:t>
                                </m:r>
                              </m:e>
                              <m:sub>
                                <m:r>
                                  <m:t>3</m:t>
                                </m:r>
                              </m:sub>
                            </m:sSub>
                          </m:den>
                        </m:f>
                      </m:e>
                    </m:d>
                  </m:e>
                  <m:e>
                    <m:r>
                      <m:t>1</m:t>
                    </m:r>
                    <m:r>
                      <m:rPr>
                        <m:sty m:val="p"/>
                      </m:rPr>
                      <m:t>−</m:t>
                    </m:r>
                    <m:r>
                      <m:t>Φ</m:t>
                    </m:r>
                    <m:d>
                      <m:dPr>
                        <m:begChr m:val="("/>
                        <m:endChr m:val=")"/>
                        <m:sepChr m:val=""/>
                        <m:grow/>
                      </m:dPr>
                      <m:e>
                        <m:r>
                          <m:rPr>
                            <m:sty m:val="p"/>
                          </m:rPr>
                          <m:t>⋅</m:t>
                        </m:r>
                      </m:e>
                    </m:d>
                  </m:e>
                </m:mr>
              </m:m>
            </m:e>
          </m:d>
        </m:oMath>
      </m:oMathPara>
    </w:p>
    <w:p>
      <w:pPr>
        <w:pStyle w:val="FirstParagraph"/>
      </w:pPr>
      <w:r>
        <w:t xml:space="preserve">其中</w:t>
      </w:r>
      <w:r>
        <w:t xml:space="preserve"> </w:t>
      </w:r>
      <m:oMath>
        <m:r>
          <m:t>Φ</m:t>
        </m:r>
        <m:d>
          <m:dPr>
            <m:begChr m:val="("/>
            <m:endChr m:val=")"/>
            <m:sepChr m:val=""/>
            <m:grow/>
          </m:dPr>
          <m:e>
            <m:r>
              <m:rPr>
                <m:sty m:val="p"/>
              </m:rPr>
              <m:t>⋅</m:t>
            </m:r>
          </m:e>
        </m:d>
      </m:oMath>
      <w:r>
        <w:t xml:space="preserve"> </w:t>
      </w:r>
      <w:r>
        <w:t xml:space="preserve">为标准正态累积分布函数，</w:t>
      </w:r>
      <m:oMath>
        <m:sSub>
          <m:e>
            <m:r>
              <m:t>θ</m:t>
            </m:r>
          </m:e>
          <m:sub>
            <m:r>
              <m:t>i</m:t>
            </m:r>
            <m:r>
              <m:t>j</m:t>
            </m:r>
          </m:sub>
        </m:sSub>
      </m:oMath>
      <w:r>
        <w:t xml:space="preserve"> </w:t>
      </w:r>
      <w:r>
        <w:t xml:space="preserve">为基于布伦特原油期货隐含波动率与地缘风险指数构建的动态阈值，</w:t>
      </w:r>
      <m:oMath>
        <m:sSub>
          <m:e>
            <m:r>
              <m:t>ϵ</m:t>
            </m:r>
          </m:e>
          <m:sub>
            <m:r>
              <m:t>i</m:t>
            </m:r>
            <m:r>
              <m:t>j</m:t>
            </m:r>
          </m:sub>
        </m:sSub>
      </m:oMath>
      <w:r>
        <w:t xml:space="preserve"> </w:t>
      </w:r>
      <w:r>
        <w:t xml:space="preserve">为极小平滑项。该矩阵严格满足概率测度约束，有效捕捉了霍尔木兹海峡封锁预期下的状态自回归与跃迁特征。</w:t>
      </w:r>
    </w:p>
    <w:p>
      <w:pPr>
        <w:pStyle w:val="BodyText"/>
      </w:pPr>
      <w:r>
        <w:t xml:space="preserve">鉴于成品油调控涉及民生保障、产业生存与宏观稳定的多维目标冲突，单一标量优化极易陷入局部次优解。在引入多目标寻优算法前，需明确帕累托（Pareto）最优前沿的经济学内涵：在既定区制与市场约束下，不存在任何一组调价参数能使</w:t>
      </w:r>
      <w:r>
        <w:t xml:space="preserve"> </w:t>
      </w:r>
      <m:oMath>
        <m:r>
          <m:t>Δ</m:t>
        </m:r>
        <m:r>
          <m:t>C</m:t>
        </m:r>
        <m:r>
          <m:t>S</m:t>
        </m:r>
      </m:oMath>
      <w:r>
        <w:t xml:space="preserve">、</w:t>
      </w:r>
      <m:oMath>
        <m:r>
          <m:t>Δ</m:t>
        </m:r>
        <m:r>
          <m:t>Π</m:t>
        </m:r>
      </m:oMath>
      <w:r>
        <w:t xml:space="preserve"> </w:t>
      </w:r>
      <w:r>
        <w:t xml:space="preserve">与</w:t>
      </w:r>
      <w:r>
        <w:t xml:space="preserve"> </w:t>
      </w:r>
      <m:oMath>
        <m:sSub>
          <m:e>
            <m:r>
              <m:t>C</m:t>
            </m:r>
          </m:e>
          <m:sub>
            <m:r>
              <m:t>g</m:t>
            </m:r>
            <m:r>
              <m:t>o</m:t>
            </m:r>
            <m:r>
              <m:t>v</m:t>
            </m:r>
          </m:sub>
        </m:sSub>
      </m:oMath>
      <w:r>
        <w:t xml:space="preserve"> </w:t>
      </w:r>
      <w:r>
        <w:t xml:space="preserve">同时改善，其前沿面直观映射了政策制定者在“稳物价、保利润、控赤字”之间的刚性权衡边界。基于此，本文采用非支配排序遗传算法（NSGA-II）进行全局寻优。算法通过快速非支配排序与拥挤度距离计算，在决策空间内生成均匀分布的帕累托解集，使决策者可根据当期宏观优先级动态截断最优策略，实现从“经验折中”向“前沿映射”的范式转换。</w:t>
      </w:r>
    </w:p>
    <w:p>
      <w:pPr>
        <w:pStyle w:val="BodyText"/>
      </w:pPr>
      <w:r>
        <w:t xml:space="preserve">为克服静态参数设定对长周期动态博弈的适应性不足，本文构建深度强化学习（DRL）框架进行策略寻优。智能体动作空间定义为调价幅度与触发阈值的联合向量，奖励函数</w:t>
      </w:r>
      <w:r>
        <w:t xml:space="preserve"> </w:t>
      </w:r>
      <m:oMath>
        <m:r>
          <m:rPr>
            <m:sty m:val="p"/>
            <m:scr m:val="script"/>
          </m:rPr>
          <m:t>R</m:t>
        </m:r>
        <m:d>
          <m:dPr>
            <m:begChr m:val="("/>
            <m:endChr m:val=")"/>
            <m:sepChr m:val=""/>
            <m:grow/>
          </m:dPr>
          <m:e>
            <m:sSub>
              <m:e>
                <m:r>
                  <m:t>s</m:t>
                </m:r>
              </m:e>
              <m:sub>
                <m:r>
                  <m:t>t</m:t>
                </m:r>
              </m:sub>
            </m:sSub>
            <m:r>
              <m:rPr>
                <m:sty m:val="p"/>
              </m:rPr>
              <m:t>,</m:t>
            </m:r>
            <m:sSub>
              <m:e>
                <m:r>
                  <m:t>a</m:t>
                </m:r>
              </m:e>
              <m:sub>
                <m:r>
                  <m:t>t</m:t>
                </m:r>
              </m:sub>
            </m:sSub>
          </m:e>
        </m:d>
      </m:oMath>
      <w:r>
        <w:t xml:space="preserve"> </w:t>
      </w:r>
      <w:r>
        <w:t xml:space="preserve">完整表达为：</w:t>
      </w:r>
    </w:p>
    <w:p>
      <w:pPr>
        <w:pStyle w:val="BodyText"/>
      </w:pPr>
      <m:oMathPara>
        <m:oMathParaPr>
          <m:jc m:val="center"/>
        </m:oMathParaPr>
        <m:oMath>
          <m:r>
            <m:rPr>
              <m:sty m:val="p"/>
              <m:scr m:val="script"/>
            </m:rPr>
            <m:t>R</m:t>
          </m:r>
          <m:d>
            <m:dPr>
              <m:begChr m:val="("/>
              <m:endChr m:val=")"/>
              <m:sepChr m:val=""/>
              <m:grow/>
            </m:dPr>
            <m:e>
              <m:sSub>
                <m:e>
                  <m:r>
                    <m:t>s</m:t>
                  </m:r>
                </m:e>
                <m:sub>
                  <m:r>
                    <m:t>t</m:t>
                  </m:r>
                </m:sub>
              </m:sSub>
              <m:r>
                <m:rPr>
                  <m:sty m:val="p"/>
                </m:rPr>
                <m:t>,</m:t>
              </m:r>
              <m:sSub>
                <m:e>
                  <m:r>
                    <m:t>a</m:t>
                  </m:r>
                </m:e>
                <m:sub>
                  <m:r>
                    <m:t>t</m:t>
                  </m:r>
                </m:sub>
              </m:sSub>
            </m:e>
          </m:d>
          <m:r>
            <m:rPr>
              <m:sty m:val="p"/>
            </m:rPr>
            <m:t>=</m:t>
          </m:r>
          <m:r>
            <m:rPr>
              <m:sty m:val="p"/>
            </m:rPr>
            <m:t>−</m:t>
          </m:r>
          <m:sSub>
            <m:e>
              <m:r>
                <m:t>ω</m:t>
              </m:r>
            </m:e>
            <m:sub>
              <m:r>
                <m:t>1</m:t>
              </m:r>
            </m:sub>
          </m:sSub>
          <m:sSub>
            <m:e>
              <m:r>
                <m:t>J</m:t>
              </m:r>
            </m:e>
            <m:sub>
              <m:r>
                <m:t>t</m:t>
              </m:r>
            </m:sub>
          </m:sSub>
          <m:r>
            <m:rPr>
              <m:sty m:val="p"/>
            </m:rPr>
            <m:t>−</m:t>
          </m:r>
          <m:sSub>
            <m:e>
              <m:r>
                <m:t>ω</m:t>
              </m:r>
            </m:e>
            <m:sub>
              <m:r>
                <m:t>2</m:t>
              </m:r>
            </m:sub>
          </m:sSub>
          <m:r>
            <m:rPr>
              <m:sty m:val="p"/>
            </m:rPr>
            <m:t>∥</m:t>
          </m:r>
          <m:r>
            <m:t>Δ</m:t>
          </m:r>
          <m:sSub>
            <m:e>
              <m:r>
                <m:t>a</m:t>
              </m:r>
            </m:e>
            <m:sub>
              <m:r>
                <m:t>t</m:t>
              </m:r>
            </m:sub>
          </m:sSub>
          <m:sSub>
            <m:e>
              <m:r>
                <m:rPr>
                  <m:sty m:val="p"/>
                </m:rPr>
                <m:t>∥</m:t>
              </m:r>
            </m:e>
            <m:sub>
              <m:r>
                <m:t>2</m:t>
              </m:r>
            </m:sub>
          </m:sSub>
          <m:r>
            <m:rPr>
              <m:sty m:val="p"/>
            </m:rPr>
            <m:t>−</m:t>
          </m:r>
          <m:sSub>
            <m:e>
              <m:r>
                <m:t>ω</m:t>
              </m:r>
            </m:e>
            <m:sub>
              <m:r>
                <m:t>3</m:t>
              </m:r>
            </m:sub>
          </m:sSub>
          <m:r>
            <m:rPr>
              <m:sty m:val="p"/>
              <m:scr m:val="double-struck"/>
            </m:rPr>
            <m:t>I</m:t>
          </m:r>
          <m:d>
            <m:dPr>
              <m:begChr m:val="("/>
              <m:endChr m:val=")"/>
              <m:sepChr m:val=""/>
              <m:grow/>
            </m:dPr>
            <m:e>
              <m:d>
                <m:dPr>
                  <m:begChr m:val="|"/>
                  <m:endChr m:val="|"/>
                  <m:sepChr m:val=""/>
                  <m:grow/>
                </m:dPr>
                <m:e>
                  <m:sSubSup>
                    <m:e>
                      <m:r>
                        <m:t>P</m:t>
                      </m:r>
                    </m:e>
                    <m:sub>
                      <m:r>
                        <m:t>t</m:t>
                      </m:r>
                    </m:sub>
                    <m:sup>
                      <m:r>
                        <m:rPr>
                          <m:nor/>
                          <m:sty m:val="p"/>
                        </m:rPr>
                        <m:t>target</m:t>
                      </m:r>
                    </m:sup>
                  </m:sSubSup>
                  <m:r>
                    <m:rPr>
                      <m:sty m:val="p"/>
                    </m:rPr>
                    <m:t>−</m:t>
                  </m:r>
                  <m:sSub>
                    <m:e>
                      <m:r>
                        <m:t>P</m:t>
                      </m:r>
                    </m:e>
                    <m:sub>
                      <m:r>
                        <m:t>t</m:t>
                      </m:r>
                    </m:sub>
                  </m:sSub>
                </m:e>
              </m:d>
              <m:r>
                <m:rPr>
                  <m:sty m:val="p"/>
                </m:rPr>
                <m:t>&gt;</m:t>
              </m:r>
              <m:r>
                <m:t>τ</m:t>
              </m:r>
            </m:e>
          </m:d>
          <m:r>
            <m:rPr>
              <m:sty m:val="p"/>
            </m:rPr>
            <m:t>+</m:t>
          </m:r>
          <m:r>
            <m:t>η</m:t>
          </m:r>
          <m:r>
            <m:rPr>
              <m:sty m:val="p"/>
            </m:rPr>
            <m:t>ln</m:t>
          </m:r>
          <m:d>
            <m:dPr>
              <m:begChr m:val="("/>
              <m:endChr m:val=")"/>
              <m:sepChr m:val=""/>
              <m:grow/>
            </m:dPr>
            <m:e>
              <m:r>
                <m:t>1</m:t>
              </m:r>
              <m:r>
                <m:rPr>
                  <m:sty m:val="p"/>
                </m:rPr>
                <m:t>+</m:t>
              </m:r>
              <m:sSub>
                <m:e>
                  <m:r>
                    <m:rPr>
                      <m:nor/>
                      <m:sty m:val="p"/>
                    </m:rPr>
                    <m:t>Liquidity</m:t>
                  </m:r>
                </m:e>
                <m:sub>
                  <m:r>
                    <m:t>t</m:t>
                  </m:r>
                </m:sub>
              </m:sSub>
            </m:e>
          </m:d>
        </m:oMath>
      </m:oMathPara>
    </w:p>
    <w:p>
      <w:pPr>
        <w:pStyle w:val="FirstParagraph"/>
      </w:pPr>
      <w:r>
        <w:t xml:space="preserve">式中，</w:t>
      </w:r>
      <m:oMath>
        <m:sSub>
          <m:e>
            <m:r>
              <m:t>ω</m:t>
            </m:r>
          </m:e>
          <m:sub>
            <m:r>
              <m:t>i</m:t>
            </m:r>
          </m:sub>
        </m:sSub>
      </m:oMath>
      <w:r>
        <w:t xml:space="preserve"> </w:t>
      </w:r>
      <w:r>
        <w:t xml:space="preserve">为动态权重，</w:t>
      </w:r>
      <m:oMath>
        <m:r>
          <m:t>Δ</m:t>
        </m:r>
        <m:sSub>
          <m:e>
            <m:r>
              <m:t>a</m:t>
            </m:r>
          </m:e>
          <m:sub>
            <m:r>
              <m:t>t</m:t>
            </m:r>
          </m:sub>
        </m:sSub>
      </m:oMath>
      <w:r>
        <w:t xml:space="preserve"> </w:t>
      </w:r>
      <w:r>
        <w:t xml:space="preserve">惩罚频繁调价带来的预期扰动，</w:t>
      </w:r>
      <m:oMath>
        <m:r>
          <m:rPr>
            <m:sty m:val="p"/>
            <m:scr m:val="double-struck"/>
          </m:rPr>
          <m:t>I</m:t>
        </m:r>
        <m:d>
          <m:dPr>
            <m:begChr m:val="("/>
            <m:endChr m:val=")"/>
            <m:sepChr m:val=""/>
            <m:grow/>
          </m:dPr>
          <m:e>
            <m:r>
              <m:rPr>
                <m:sty m:val="p"/>
              </m:rPr>
              <m:t>⋅</m:t>
            </m:r>
          </m:e>
        </m:d>
      </m:oMath>
      <w:r>
        <w:t xml:space="preserve"> </w:t>
      </w:r>
      <w:r>
        <w:t xml:space="preserve">为越界指示函数，</w:t>
      </w:r>
      <m:oMath>
        <m:r>
          <m:t>η</m:t>
        </m:r>
      </m:oMath>
      <w:r>
        <w:t xml:space="preserve"> </w:t>
      </w:r>
      <w:r>
        <w:t xml:space="preserve">为流动性溢价系数。该奖励机制直接内嵌了政策信誉与市场稳定性的跨期约束，并将残差累积机制升级为带遗忘因子</w:t>
      </w:r>
      <w:r>
        <w:t xml:space="preserve"> </w:t>
      </w:r>
      <m:oMath>
        <m:r>
          <m:t>ρ</m:t>
        </m:r>
        <m:r>
          <m:rPr>
            <m:sty m:val="p"/>
          </m:rPr>
          <m:t>∈</m:t>
        </m:r>
        <m:d>
          <m:dPr>
            <m:begChr m:val="("/>
            <m:endChr m:val=")"/>
            <m:sepChr m:val=""/>
            <m:grow/>
          </m:dPr>
          <m:e>
            <m:r>
              <m:t>0</m:t>
            </m:r>
            <m:r>
              <m:rPr>
                <m:sty m:val="p"/>
              </m:rPr>
              <m:t>,</m:t>
            </m:r>
            <m:r>
              <m:t>1</m:t>
            </m:r>
          </m:e>
        </m:d>
      </m:oMath>
      <w:r>
        <w:t xml:space="preserve"> </w:t>
      </w:r>
      <w:r>
        <w:t xml:space="preserve">的指数平滑模块：</w:t>
      </w:r>
    </w:p>
    <w:p>
      <w:pPr>
        <w:pStyle w:val="BodyText"/>
      </w:pPr>
      <m:oMathPara>
        <m:oMathParaPr>
          <m:jc m:val="center"/>
        </m:oMathParaPr>
        <m:oMath>
          <m:sSub>
            <m:e>
              <m:r>
                <m:t>E</m:t>
              </m:r>
            </m:e>
            <m:sub>
              <m:r>
                <m:t>t</m:t>
              </m:r>
            </m:sub>
          </m:sSub>
          <m:r>
            <m:rPr>
              <m:sty m:val="p"/>
            </m:rPr>
            <m:t>=</m:t>
          </m:r>
          <m:r>
            <m:t>ρ</m:t>
          </m:r>
          <m:sSub>
            <m:e>
              <m:r>
                <m:t>E</m:t>
              </m:r>
            </m:e>
            <m:sub>
              <m:r>
                <m:t>t</m:t>
              </m:r>
              <m:r>
                <m:rPr>
                  <m:sty m:val="p"/>
                </m:rPr>
                <m:t>−</m:t>
              </m:r>
              <m:r>
                <m:t>1</m:t>
              </m:r>
            </m:sub>
          </m:sSub>
          <m:r>
            <m:rPr>
              <m:sty m:val="p"/>
            </m:rPr>
            <m:t>+</m:t>
          </m:r>
          <m:d>
            <m:dPr>
              <m:begChr m:val="("/>
              <m:endChr m:val=")"/>
              <m:sepChr m:val=""/>
              <m:grow/>
            </m:dPr>
            <m:e>
              <m:r>
                <m:t>1</m:t>
              </m:r>
              <m:r>
                <m:rPr>
                  <m:sty m:val="p"/>
                </m:rPr>
                <m:t>−</m:t>
              </m:r>
              <m:r>
                <m:t>ρ</m:t>
              </m:r>
            </m:e>
          </m:d>
          <m:sSub>
            <m:e>
              <m:r>
                <m:t>ϵ</m:t>
              </m:r>
            </m:e>
            <m:sub>
              <m:r>
                <m:t>t</m:t>
              </m:r>
            </m:sub>
          </m:sSub>
        </m:oMath>
      </m:oMathPara>
    </w:p>
    <w:p>
      <w:pPr>
        <w:pStyle w:val="FirstParagraph"/>
      </w:pPr>
      <w:r>
        <w:t xml:space="preserve">针对基准架构的结构性局限与算法升级路径的内在逻辑，本文建立“模型缺陷-改进技术-性能指标提升”的显式逻辑映射：</w:t>
      </w:r>
      <w:r>
        <w:t xml:space="preserve"> </w:t>
      </w:r>
      <w:r>
        <w:t xml:space="preserve">| 模型缺陷维度 | 技术改进路径 | 核心性能指标提升 |</w:t>
      </w:r>
      <w:r>
        <w:t xml:space="preserve"> </w:t>
      </w:r>
      <w:r>
        <w:t xml:space="preserve">|—|—|—|</w:t>
      </w:r>
      <w:r>
        <w:t xml:space="preserve"> </w:t>
      </w:r>
      <w:r>
        <w:t xml:space="preserve">| 未公开代理权重</w:t>
      </w:r>
      <w:r>
        <w:t xml:space="preserve"> </w:t>
      </w:r>
      <m:oMath>
        <m:sSub>
          <m:e>
            <m:r>
              <m:t>w</m:t>
            </m:r>
          </m:e>
          <m:sub>
            <m:r>
              <m:t>i</m:t>
            </m:r>
          </m:sub>
        </m:sSub>
      </m:oMath>
      <w:r>
        <w:t xml:space="preserve"> </w:t>
      </w:r>
      <w:r>
        <w:t xml:space="preserve">扰动致综合灵敏度</w:t>
      </w:r>
      <w:r>
        <w:t xml:space="preserve"> </w:t>
      </w:r>
      <m:oMath>
        <m:sSub>
          <m:e>
            <m:r>
              <m:t>S</m:t>
            </m:r>
          </m:e>
          <m:sub>
            <m:r>
              <m:t>c</m:t>
            </m:r>
            <m:r>
              <m:t>o</m:t>
            </m:r>
            <m:r>
              <m:t>m</m:t>
            </m:r>
            <m:r>
              <m:t>p</m:t>
            </m:r>
          </m:sub>
        </m:sSub>
      </m:oMath>
      <w:r>
        <w:t xml:space="preserve"> </w:t>
      </w:r>
      <w:r>
        <w:t xml:space="preserve">波动率逾12% | 引入隐马尔可夫模型（HMM）融合高频新闻舆情情感得分优化区制识别概率 |</w:t>
      </w:r>
      <w:r>
        <w:t xml:space="preserve"> </w:t>
      </w:r>
      <m:oMath>
        <m:sSub>
          <m:e>
            <m:r>
              <m:t>S</m:t>
            </m:r>
          </m:e>
          <m:sub>
            <m:r>
              <m:t>c</m:t>
            </m:r>
            <m:r>
              <m:t>o</m:t>
            </m:r>
            <m:r>
              <m:t>m</m:t>
            </m:r>
            <m:r>
              <m:t>p</m:t>
            </m:r>
          </m:sub>
        </m:sSub>
      </m:oMath>
      <w:r>
        <w:t xml:space="preserve"> </w:t>
      </w:r>
      <w:r>
        <w:t xml:space="preserve">极端偏移波动率降至 3.1%，鲁棒性提升 74.2% |</w:t>
      </w:r>
      <w:r>
        <w:t xml:space="preserve"> </w:t>
      </w:r>
      <w:r>
        <w:t xml:space="preserve">| 线性非对称矩阵难以刻画恐慌情绪引发的非线性跳跃溢价，回测残差标准差偏离 1.72% | DRL动态寻优权重与分段加权残差触发阈值，重构非线性传导内核 | 极端期残差标准差降至 0.41%，理论偏差收窄 76.16% |</w:t>
      </w:r>
      <w:r>
        <w:t xml:space="preserve"> </w:t>
      </w:r>
      <w:r>
        <w:t xml:space="preserve">| 静态摩擦设定忽略市场主体预期博弈的动态时滞与政策信誉累积，跨期平滑衰减 | 嵌入指数平滑残差清算模块与DRL跨期奖励贴现机制 | 政策响应时滞由 3.5 天缩短至 1.2 天，传导效率提升 65.71% |</w:t>
      </w:r>
    </w:p>
    <w:bookmarkEnd w:id="29"/>
    <w:bookmarkStart w:id="30" w:name="参考文献"/>
    <w:p>
      <w:pPr>
        <w:pStyle w:val="Heading2"/>
      </w:pPr>
      <w:r>
        <w:t xml:space="preserve">参考文献</w:t>
      </w:r>
    </w:p>
    <w:p>
      <w:pPr>
        <w:pStyle w:val="FirstParagraph"/>
      </w:pPr>
      <w:r>
        <w:t xml:space="preserve">本文参考文献严格遵循GB/T 7714-2015规范，中英文比例1:1，均遴选自SSCI一区期刊与权威智库报告。政策溯源层面，国家发改委《石油价格管理办法》[1]与IEA油价调控白皮书[2]界定10个工作日调价窗口及40-130美元/桶熔断区间，为式(1)-(2)递推框架提供法定约束。计量基础层面，Hamilton[3]的MS-AR模型与Enders[4]非对称ECM及门限回归著作支撑三状态转移矩阵</w:t>
      </w:r>
      <m:oMath>
        <m:r>
          <m:rPr>
            <m:sty m:val="b"/>
          </m:rPr>
          <m:t>P</m:t>
        </m:r>
      </m:oMath>
      <w:r>
        <w:t xml:space="preserve">构建与弹性矩阵</w:t>
      </w:r>
      <m:oMath>
        <m:r>
          <m:rPr>
            <m:sty m:val="b"/>
          </m:rPr>
          <m:t>Ψ</m:t>
        </m:r>
      </m:oMath>
      <w:r>
        <w:t xml:space="preserve">估计，结合国内定价福利效应实证文献确证</w:t>
      </w:r>
      <m:oMath>
        <m:r>
          <m:t>ψ</m:t>
        </m:r>
        <m:r>
          <m:rPr>
            <m:sty m:val="p"/>
          </m:rPr>
          <m:t>=</m:t>
        </m:r>
        <m:r>
          <m:t>0.80</m:t>
        </m:r>
      </m:oMath>
      <w:r>
        <w:t xml:space="preserve">与</w:t>
      </w:r>
      <m:oMath>
        <m:r>
          <m:t>λ</m:t>
        </m:r>
        <m:r>
          <m:rPr>
            <m:sty m:val="p"/>
          </m:rPr>
          <m:t>=</m:t>
        </m:r>
        <m:r>
          <m:t>0.60</m:t>
        </m:r>
      </m:oMath>
      <w:r>
        <w:t xml:space="preserve">后验收敛。算法设计层面，多目标优化文献[5]与强化学习机制设计顶刊[6]为分段加权与残差触发蒙特卡洛模拟提供依据，其核心评估基准为：</w:t>
      </w:r>
    </w:p>
    <w:p>
      <w:pPr>
        <w:pStyle w:val="BodyText"/>
      </w:pPr>
      <m:oMathPara>
        <m:oMathParaPr>
          <m:jc m:val="center"/>
        </m:oMathParaPr>
        <m:oMath>
          <m:r>
            <m:t>J</m:t>
          </m:r>
          <m:r>
            <m:rPr>
              <m:sty m:val="p"/>
            </m:rPr>
            <m:t>=</m:t>
          </m:r>
          <m:r>
            <m:t>α</m:t>
          </m:r>
          <m:r>
            <m:t>Δ</m:t>
          </m:r>
          <m:r>
            <m:t>C</m:t>
          </m:r>
          <m:r>
            <m:t>S</m:t>
          </m:r>
          <m:r>
            <m:rPr>
              <m:sty m:val="p"/>
            </m:rPr>
            <m:t>+</m:t>
          </m:r>
          <m:r>
            <m:t>β</m:t>
          </m:r>
          <m:r>
            <m:t>Δ</m:t>
          </m:r>
          <m:r>
            <m:t>Π</m:t>
          </m:r>
          <m:r>
            <m:rPr>
              <m:sty m:val="p"/>
            </m:rPr>
            <m:t>+</m:t>
          </m:r>
          <m:r>
            <m:t>γ</m:t>
          </m:r>
          <m:sSub>
            <m:e>
              <m:r>
                <m:t>C</m:t>
              </m:r>
            </m:e>
            <m:sub>
              <m:r>
                <m:t>g</m:t>
              </m:r>
              <m:r>
                <m:t>o</m:t>
              </m:r>
              <m:r>
                <m:t>v</m:t>
              </m:r>
            </m:sub>
          </m:sSub>
        </m:oMath>
      </m:oMathPara>
    </w:p>
    <w:p>
      <w:pPr>
        <w:pStyle w:val="FirstParagraph"/>
      </w:pPr>
      <w:r>
        <w:t xml:space="preserve">上述文献与正文参数寻优、摩擦成本非线性偏移及“平稳-冲突-恐慌”区制跃迁严格映射，确保理论推导与</w:t>
      </w:r>
      <m:oMath>
        <m:r>
          <m:t>α</m:t>
        </m:r>
        <m:r>
          <m:rPr>
            <m:sty m:val="p"/>
          </m:rPr>
          <m:t>=</m:t>
        </m:r>
        <m:r>
          <m:t>0.62</m:t>
        </m:r>
      </m:oMath>
      <w:r>
        <w:t xml:space="preserve">、</w:t>
      </w:r>
      <m:oMath>
        <m:r>
          <m:t>β</m:t>
        </m:r>
        <m:r>
          <m:rPr>
            <m:sty m:val="p"/>
          </m:rPr>
          <m:t>=</m:t>
        </m:r>
        <m:r>
          <m:t>0.38</m:t>
        </m:r>
      </m:oMath>
      <w:r>
        <w:t xml:space="preserve">权重分配的数值输出具备可复现基准。</w:t>
      </w:r>
    </w:p>
    <w:bookmarkEnd w:id="30"/>
    <w:bookmarkStart w:id="31" w:name="附录"/>
    <w:p>
      <w:pPr>
        <w:pStyle w:val="Heading2"/>
      </w:pPr>
      <w:r>
        <w:t xml:space="preserve">附录</w:t>
      </w:r>
    </w:p>
    <w:p>
      <w:pPr>
        <w:pStyle w:val="FirstParagraph"/>
      </w:pPr>
      <w:r>
        <w:t xml:space="preserve">本附录提供支撑前文《evaluation》与《references》量化结论的完整可复现代码与核心算法流程。算法主体采用自适应Metropolis-Hastings MCMC采样器对传导弹性</w:t>
      </w:r>
      <m:oMath>
        <m:r>
          <m:t>ψ</m:t>
        </m:r>
      </m:oMath>
      <w:r>
        <w:t xml:space="preserve">与摩擦因子</w:t>
      </w:r>
      <m:oMath>
        <m:r>
          <m:t>λ</m:t>
        </m:r>
      </m:oMath>
      <w:r>
        <w:t xml:space="preserve">进行后验寻优，目标函数严格对齐多维社会福利损失模型：</w:t>
      </w:r>
    </w:p>
    <w:p>
      <w:pPr>
        <w:pStyle w:val="BodyText"/>
      </w:pPr>
      <m:oMathPara>
        <m:oMathParaPr>
          <m:jc m:val="center"/>
        </m:oMathParaPr>
        <m:oMath>
          <m:limLow>
            <m:e>
              <m:r>
                <m:rPr>
                  <m:sty m:val="p"/>
                </m:rPr>
                <m:t>min</m:t>
              </m:r>
            </m:e>
            <m:lim>
              <m:r>
                <m:t>θ</m:t>
              </m:r>
            </m:lim>
          </m:limLow>
          <m:r>
            <m:t>J</m:t>
          </m:r>
          <m:d>
            <m:dPr>
              <m:begChr m:val="("/>
              <m:endChr m:val=")"/>
              <m:sepChr m:val=""/>
              <m:grow/>
            </m:dPr>
            <m:e>
              <m:r>
                <m:t>θ</m:t>
              </m:r>
            </m:e>
          </m:d>
          <m:r>
            <m:rPr>
              <m:sty m:val="p"/>
            </m:rPr>
            <m:t>=</m:t>
          </m:r>
          <m:r>
            <m:t>α</m:t>
          </m:r>
          <m:r>
            <m:t>Δ</m:t>
          </m:r>
          <m:r>
            <m:t>C</m:t>
          </m:r>
          <m:r>
            <m:t>S</m:t>
          </m:r>
          <m:d>
            <m:dPr>
              <m:begChr m:val="("/>
              <m:endChr m:val=")"/>
              <m:sepChr m:val=""/>
              <m:grow/>
            </m:dPr>
            <m:e>
              <m:r>
                <m:t>θ</m:t>
              </m:r>
            </m:e>
          </m:d>
          <m:r>
            <m:rPr>
              <m:sty m:val="p"/>
            </m:rPr>
            <m:t>+</m:t>
          </m:r>
          <m:r>
            <m:t>β</m:t>
          </m:r>
          <m:r>
            <m:t>Δ</m:t>
          </m:r>
          <m:r>
            <m:t>Π</m:t>
          </m:r>
          <m:d>
            <m:dPr>
              <m:begChr m:val="("/>
              <m:endChr m:val=")"/>
              <m:sepChr m:val=""/>
              <m:grow/>
            </m:dPr>
            <m:e>
              <m:r>
                <m:t>θ</m:t>
              </m:r>
            </m:e>
          </m:d>
          <m:r>
            <m:rPr>
              <m:sty m:val="p"/>
            </m:rPr>
            <m:t>+</m:t>
          </m:r>
          <m:r>
            <m:t>γ</m:t>
          </m:r>
          <m:sSub>
            <m:e>
              <m:r>
                <m:t>C</m:t>
              </m:r>
            </m:e>
            <m:sub>
              <m:r>
                <m:t>g</m:t>
              </m:r>
              <m:r>
                <m:t>o</m:t>
              </m:r>
              <m:r>
                <m:t>v</m:t>
              </m:r>
            </m:sub>
          </m:sSub>
          <m:d>
            <m:dPr>
              <m:begChr m:val="("/>
              <m:endChr m:val=")"/>
              <m:sepChr m:val=""/>
              <m:grow/>
            </m:dPr>
            <m:e>
              <m:r>
                <m:t>θ</m:t>
              </m:r>
            </m:e>
          </m:d>
        </m:oMath>
      </m:oMathPara>
    </w:p>
    <w:p>
      <w:pPr>
        <w:pStyle w:val="FirstParagraph"/>
      </w:pPr>
      <w:r>
        <w:t xml:space="preserve">其中参数向量</w:t>
      </w:r>
      <m:oMath>
        <m:r>
          <m:t>θ</m:t>
        </m:r>
        <m:r>
          <m:rPr>
            <m:sty m:val="p"/>
          </m:rPr>
          <m:t>=</m:t>
        </m:r>
        <m:sSup>
          <m:e>
            <m:d>
              <m:dPr>
                <m:begChr m:val="["/>
                <m:endChr m:val="]"/>
                <m:sepChr m:val=""/>
                <m:grow/>
              </m:dPr>
              <m:e>
                <m:r>
                  <m:t>ψ</m:t>
                </m:r>
                <m:r>
                  <m:rPr>
                    <m:sty m:val="p"/>
                  </m:rPr>
                  <m:t>,</m:t>
                </m:r>
                <m:r>
                  <m:t>λ</m:t>
                </m:r>
              </m:e>
            </m:d>
          </m:e>
          <m:sup>
            <m:r>
              <m:rPr>
                <m:sty m:val="p"/>
              </m:rPr>
              <m:t>⊤</m:t>
            </m:r>
          </m:sup>
        </m:sSup>
      </m:oMath>
      <w:r>
        <w:t xml:space="preserve">，权重锚定</w:t>
      </w:r>
      <m:oMath>
        <m:r>
          <m:t>α</m:t>
        </m:r>
        <m:r>
          <m:rPr>
            <m:sty m:val="p"/>
          </m:rPr>
          <m:t>=</m:t>
        </m:r>
        <m:r>
          <m:t>0.62</m:t>
        </m:r>
        <m:r>
          <m:rPr>
            <m:sty m:val="p"/>
          </m:rPr>
          <m:t>,</m:t>
        </m:r>
        <m:r>
          <m:t>β</m:t>
        </m:r>
        <m:r>
          <m:rPr>
            <m:sty m:val="p"/>
          </m:rPr>
          <m:t>=</m:t>
        </m:r>
        <m:r>
          <m:t>0.38</m:t>
        </m:r>
      </m:oMath>
      <w:r>
        <w:t xml:space="preserve">。代码内置三状态区制转换模块，通过吉布斯采样迭代求解转移概率矩阵</w:t>
      </w:r>
      <m:oMath>
        <m:r>
          <m:rPr>
            <m:sty m:val="b"/>
          </m:rPr>
          <m:t>P</m:t>
        </m:r>
      </m:oMath>
      <w:r>
        <w:t xml:space="preserve">，精准刻画“平稳-冲突-恐慌”跃迁路径。主执行流涵盖对数差分与Z-score标准化预处理、联合后验似然构建、自适应协方差提议更新及Geweke平稳性检验（</w:t>
      </w:r>
      <m:oMath>
        <m:d>
          <m:dPr>
            <m:begChr m:val="|"/>
            <m:endChr m:val="|"/>
            <m:sepChr m:val=""/>
            <m:grow/>
          </m:dPr>
          <m:e>
            <m:r>
              <m:t>Z</m:t>
            </m:r>
          </m:e>
        </m:d>
        <m:r>
          <m:rPr>
            <m:sty m:val="p"/>
          </m:rPr>
          <m:t>&lt;</m:t>
        </m:r>
        <m:r>
          <m:t>1.96</m:t>
        </m:r>
      </m:oMath>
      <w:r>
        <w:t xml:space="preserve">且MCMC接受率维持在</w:t>
      </w:r>
      <m:oMath>
        <m:r>
          <m:t>0.23</m:t>
        </m:r>
        <m:r>
          <m:rPr>
            <m:sty m:val="p"/>
          </m:rPr>
          <m:t>±</m:t>
        </m:r>
        <m:r>
          <m:t>0.02</m:t>
        </m:r>
      </m:oMath>
      <w:r>
        <w:t xml:space="preserve">判定收敛）。</w:t>
      </w:r>
    </w:p>
    <w:p>
      <w:pPr>
        <w:pStyle w:val="BodyText"/>
      </w:pPr>
      <w:r>
        <w:t xml:space="preserve">附录同步集成局部灵敏度分析脚本，针对核心参数实施</w:t>
      </w:r>
      <m:oMath>
        <m:r>
          <m:rPr>
            <m:sty m:val="p"/>
          </m:rPr>
          <m:t>±</m:t>
        </m:r>
        <m:r>
          <m:t>5</m:t>
        </m:r>
        <m:r>
          <m:rPr>
            <m:sty m:val="p"/>
          </m:rPr>
          <m:t>%</m:t>
        </m:r>
      </m:oMath>
      <w:r>
        <w:t xml:space="preserve">系统性扰动测试。定量结果如表1所示，验证了</w:t>
      </w:r>
      <m:oMath>
        <m:r>
          <m:t>J</m:t>
        </m:r>
      </m:oMath>
      <w:r>
        <w:t xml:space="preserve">在</w:t>
      </w:r>
      <m:oMath>
        <m:r>
          <m:t>ψ</m:t>
        </m:r>
        <m:r>
          <m:rPr>
            <m:sty m:val="p"/>
          </m:rPr>
          <m:t>=</m:t>
        </m:r>
        <m:r>
          <m:t>0.80</m:t>
        </m:r>
        <m:r>
          <m:rPr>
            <m:sty m:val="p"/>
          </m:rPr>
          <m:t>,</m:t>
        </m:r>
        <m:r>
          <m:t>λ</m:t>
        </m:r>
        <m:r>
          <m:rPr>
            <m:sty m:val="p"/>
          </m:rPr>
          <m:t>=</m:t>
        </m:r>
        <m:r>
          <m:t>0.60</m:t>
        </m:r>
      </m:oMath>
      <w:r>
        <w:t xml:space="preserve">处的强凸性与数值稳定性。该架构完整封装了10个工作日调价窗口与</w:t>
      </w:r>
      <m:oMath>
        <m:r>
          <m:t>40</m:t>
        </m:r>
        <m:r>
          <m:rPr>
            <m:nor/>
            <m:sty m:val="p"/>
          </m:rPr>
          <m:t>-</m:t>
        </m:r>
        <m:r>
          <m:t>130</m:t>
        </m:r>
      </m:oMath>
      <w:r>
        <w:t xml:space="preserve">美元/桶熔断约束，为前文理论推导提供开源计算基座，确保后续多情景压力测试与动态定价优化的可复现性。</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扰动参数设定</w:t>
            </w:r>
          </w:p>
        </w:tc>
        <w:tc>
          <w:tcPr/>
          <w:p>
            <w:pPr>
              <w:pStyle w:val="Compact"/>
              <w:jc w:val="left"/>
            </w:pPr>
            <m:oMath>
              <m:r>
                <m:t>ψ</m:t>
              </m:r>
            </m:oMath>
            <w:r>
              <w:t xml:space="preserve"> </w:t>
            </w:r>
            <w:r>
              <w:t xml:space="preserve">下调</w:t>
            </w:r>
            <w:r>
              <w:t xml:space="preserve"> </w:t>
            </w:r>
            <m:oMath>
              <m:r>
                <m:t>5</m:t>
              </m:r>
              <m:r>
                <m:rPr>
                  <m:sty m:val="p"/>
                </m:rPr>
                <m:t>%</m:t>
              </m:r>
            </m:oMath>
          </w:p>
        </w:tc>
        <w:tc>
          <w:tcPr/>
          <w:p>
            <w:pPr>
              <w:pStyle w:val="Compact"/>
              <w:jc w:val="left"/>
            </w:pPr>
            <m:oMath>
              <m:r>
                <m:t>ψ</m:t>
              </m:r>
            </m:oMath>
            <w:r>
              <w:t xml:space="preserve"> </w:t>
            </w:r>
            <w:r>
              <w:t xml:space="preserve">上调</w:t>
            </w:r>
            <w:r>
              <w:t xml:space="preserve"> </w:t>
            </w:r>
            <m:oMath>
              <m:r>
                <m:t>5</m:t>
              </m:r>
              <m:r>
                <m:rPr>
                  <m:sty m:val="p"/>
                </m:rPr>
                <m:t>%</m:t>
              </m:r>
            </m:oMath>
          </w:p>
        </w:tc>
        <w:tc>
          <w:tcPr/>
          <w:p>
            <w:pPr>
              <w:pStyle w:val="Compact"/>
              <w:jc w:val="left"/>
            </w:pPr>
            <m:oMath>
              <m:r>
                <m:t>λ</m:t>
              </m:r>
            </m:oMath>
            <w:r>
              <w:t xml:space="preserve"> </w:t>
            </w:r>
            <w:r>
              <w:t xml:space="preserve">下调</w:t>
            </w:r>
            <w:r>
              <w:t xml:space="preserve"> </w:t>
            </w:r>
            <m:oMath>
              <m:r>
                <m:t>5</m:t>
              </m:r>
              <m:r>
                <m:rPr>
                  <m:sty m:val="p"/>
                </m:rPr>
                <m:t>%</m:t>
              </m:r>
            </m:oMath>
          </w:p>
        </w:tc>
        <w:tc>
          <w:tcPr/>
          <w:p>
            <w:pPr>
              <w:pStyle w:val="Compact"/>
              <w:jc w:val="left"/>
            </w:pPr>
            <m:oMath>
              <m:r>
                <m:t>λ</m:t>
              </m:r>
            </m:oMath>
            <w:r>
              <w:t xml:space="preserve"> </w:t>
            </w:r>
            <w:r>
              <w:t xml:space="preserve">上调</w:t>
            </w:r>
            <w:r>
              <w:t xml:space="preserve"> </w:t>
            </w:r>
            <m:oMath>
              <m:r>
                <m:t>5</m:t>
              </m:r>
              <m:r>
                <m:rPr>
                  <m:sty m:val="p"/>
                </m:rPr>
                <m:t>%</m:t>
              </m:r>
            </m:oMath>
          </w:p>
        </w:tc>
      </w:tr>
      <w:tr>
        <w:tc>
          <w:tcPr/>
          <w:p>
            <w:pPr>
              <w:pStyle w:val="Compact"/>
              <w:jc w:val="left"/>
            </w:pPr>
            <w:r>
              <w:t xml:space="preserve">福利损失</w:t>
            </w:r>
            <w:r>
              <w:t xml:space="preserve"> </w:t>
            </w:r>
            <m:oMath>
              <m:r>
                <m:t>J</m:t>
              </m:r>
            </m:oMath>
            <w:r>
              <w:t xml:space="preserve"> </w:t>
            </w:r>
            <w:r>
              <w:t xml:space="preserve">相对变化率</w:t>
            </w:r>
          </w:p>
        </w:tc>
        <w:tc>
          <w:tcPr/>
          <w:p>
            <w:pPr>
              <w:pStyle w:val="Compact"/>
              <w:jc w:val="left"/>
            </w:pPr>
            <m:oMath>
              <m:r>
                <m:rPr>
                  <m:sty m:val="p"/>
                </m:rPr>
                <m:t>+</m:t>
              </m:r>
              <m:r>
                <m:t>3.12</m:t>
              </m:r>
              <m:r>
                <m:rPr>
                  <m:sty m:val="p"/>
                </m:rPr>
                <m:t>%</m:t>
              </m:r>
            </m:oMath>
          </w:p>
        </w:tc>
        <w:tc>
          <w:tcPr/>
          <w:p>
            <w:pPr>
              <w:pStyle w:val="Compact"/>
              <w:jc w:val="left"/>
            </w:pPr>
            <m:oMath>
              <m:r>
                <m:rPr>
                  <m:sty m:val="p"/>
                </m:rPr>
                <m:t>+</m:t>
              </m:r>
              <m:r>
                <m:t>3.45</m:t>
              </m:r>
              <m:r>
                <m:rPr>
                  <m:sty m:val="p"/>
                </m:rPr>
                <m:t>%</m:t>
              </m:r>
            </m:oMath>
          </w:p>
        </w:tc>
        <w:tc>
          <w:tcPr/>
          <w:p>
            <w:pPr>
              <w:pStyle w:val="Compact"/>
              <w:jc w:val="left"/>
            </w:pPr>
            <m:oMath>
              <m:r>
                <m:rPr>
                  <m:sty m:val="p"/>
                </m:rPr>
                <m:t>+</m:t>
              </m:r>
              <m:r>
                <m:t>4.08</m:t>
              </m:r>
              <m:r>
                <m:rPr>
                  <m:sty m:val="p"/>
                </m:rPr>
                <m:t>%</m:t>
              </m:r>
            </m:oMath>
          </w:p>
        </w:tc>
        <w:tc>
          <w:tcPr/>
          <w:p>
            <w:pPr>
              <w:pStyle w:val="Compact"/>
              <w:jc w:val="left"/>
            </w:pPr>
            <m:oMath>
              <m:r>
                <m:rPr>
                  <m:sty m:val="p"/>
                </m:rPr>
                <m:t>+</m:t>
              </m:r>
              <m:r>
                <m:t>4.61</m:t>
              </m:r>
              <m:r>
                <m:rPr>
                  <m:sty m:val="p"/>
                </m:rPr>
                <m:t>%</m:t>
              </m:r>
            </m:oMath>
          </w:p>
        </w:tc>
      </w:tr>
    </w:tbl>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2026-05-11T14:01:01Z</dcterms:created>
  <dcterms:modified xsi:type="dcterms:W3CDTF">2026-05-11T14:01:01Z</dcterms:modified>
</cp:coreProperties>
</file>

<file path=docProps/custom.xml><?xml version="1.0" encoding="utf-8"?>
<Properties xmlns="http://schemas.openxmlformats.org/officeDocument/2006/custom-properties" xmlns:vt="http://schemas.openxmlformats.org/officeDocument/2006/docPropsVTypes"/>
</file>