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数学建模竞赛论文mcmicm标准格式论文"/>
    <w:p>
      <w:pPr>
        <w:pStyle w:val="Heading1"/>
      </w:pPr>
      <w:r>
        <w:t xml:space="preserve">数学建模竞赛论文（MCM/ICM标准格式）论文</w:t>
      </w:r>
    </w:p>
    <w:bookmarkStart w:id="20" w:name="摘要"/>
    <w:p>
      <w:pPr>
        <w:pStyle w:val="Heading2"/>
      </w:pPr>
      <w:r>
        <w:t xml:space="preserve">摘要</w:t>
      </w:r>
    </w:p>
    <w:p>
      <w:pPr>
        <w:pStyle w:val="FirstParagraph"/>
      </w:pPr>
      <w:r>
        <w:t xml:space="preserve">中东地缘冲突加剧致使国际油价在60至119美元/桶区间极端震荡，深刻暴露出我国现行“10日周期+固定阈值”成品油定价机制在极端行情下的显著滞后性与被动跟随缺陷。传统规则难以有效平抑输入性成本冲击，亟需实现向“前瞻平滑”调控机制的范式跃迁。本文构建递进式量化建模路径：任务一通过机制逆向还原与非对称传导测度刻画价格响应特征；任务二以加权社会总福利损失最小化为目标，求解动态最优调价轨迹。在此框架下，缓冲池的动态累积并非单纯的技术性过滤，而是作为跨期风险平滑的“蓄水池”，将短期剧烈冲击分散至中长期决策窗口，从而直接服务于社会总福利最大化的宏观目标。通过引入缓冲池状态变量，模型能够在调价周期内实时吸收或释放价格偏离，有效缓解输入性通胀对居民消费端（CPI）的直接传导，同时保障炼化企业的合理加工利润，实现民生保障、物价稳定与产业可持续发展的帕累托改进。</w:t>
      </w:r>
    </w:p>
    <w:p>
      <w:pPr>
        <w:pStyle w:val="BodyText"/>
      </w:pPr>
      <w:r>
        <w:t xml:space="preserve">模型核心依托价格传导方程与缓冲池累积动态。设第</w:t>
      </w:r>
      <w:r>
        <w:t xml:space="preserve"> </w:t>
      </w:r>
      <m:oMath>
        <m:r>
          <m:t>t</m:t>
        </m:r>
      </m:oMath>
      <w:r>
        <w:t xml:space="preserve"> </w:t>
      </w:r>
      <w:r>
        <w:t xml:space="preserve">个调价周期的国际原油均价变动为</w:t>
      </w:r>
      <w:r>
        <w:t xml:space="preserve"> </w:t>
      </w:r>
      <m:oMath>
        <m:r>
          <m:t>Δ</m:t>
        </m:r>
        <m:sSub>
          <m:e>
            <m:acc>
              <m:accPr>
                <m:chr m:val="‾"/>
              </m:accPr>
              <m:e>
                <m:r>
                  <m:t>P</m:t>
                </m:r>
              </m:e>
            </m:acc>
          </m:e>
          <m:sub>
            <m:r>
              <m:t>t</m:t>
            </m:r>
          </m:sub>
        </m:sSub>
      </m:oMath>
      <w:r>
        <w:t xml:space="preserve">（单位：美元/桶），理论成品油调价幅度</w:t>
      </w:r>
      <w:r>
        <w:t xml:space="preserve"> </w:t>
      </w:r>
      <m:oMath>
        <m:r>
          <m:t>Δ</m:t>
        </m:r>
        <m:sSubSup>
          <m:e>
            <m:r>
              <m:t>D</m:t>
            </m:r>
          </m:e>
          <m:sub>
            <m:r>
              <m:t>t</m:t>
            </m:r>
          </m:sub>
          <m:sup>
            <m:r>
              <m:rPr>
                <m:nor/>
                <m:sty m:val="p"/>
              </m:rPr>
              <m:t>theo</m:t>
            </m:r>
          </m:sup>
        </m:sSubSup>
      </m:oMath>
      <w:r>
        <w:t xml:space="preserve">（单位：元/吨）由非对称传导机制决定：</w:t>
      </w:r>
    </w:p>
    <w:p>
      <w:pPr>
        <w:pStyle w:val="BodyText"/>
      </w:pPr>
      <m:oMathPara>
        <m:oMathParaPr>
          <m:jc m:val="center"/>
        </m:oMathParaPr>
        <m:oMath>
          <m:r>
            <m:t>Δ</m:t>
          </m:r>
          <m:sSubSup>
            <m:e>
              <m:r>
                <m:t>D</m:t>
              </m:r>
            </m:e>
            <m:sub>
              <m:r>
                <m:t>t</m:t>
              </m:r>
            </m:sub>
            <m:sup>
              <m:r>
                <m:rPr>
                  <m:nor/>
                  <m:sty m:val="p"/>
                </m:rPr>
                <m:t>theo</m:t>
              </m:r>
            </m:sup>
          </m:sSubSup>
          <m:r>
            <m:rPr>
              <m:sty m:val="p"/>
            </m:rPr>
            <m:t>=</m:t>
          </m:r>
          <m:sSup>
            <m:e>
              <m:r>
                <m:t>β</m:t>
              </m:r>
            </m:e>
            <m:sup>
              <m:r>
                <m:rPr>
                  <m:sty m:val="p"/>
                </m:rPr>
                <m:t>±</m:t>
              </m:r>
            </m:sup>
          </m:sSup>
          <m:r>
            <m:t>Δ</m:t>
          </m:r>
          <m:sSub>
            <m:e>
              <m:acc>
                <m:accPr>
                  <m:chr m:val="‾"/>
                </m:accPr>
                <m:e>
                  <m:r>
                    <m:t>P</m:t>
                  </m:r>
                </m:e>
              </m:acc>
            </m:e>
            <m:sub>
              <m:r>
                <m:t>t</m:t>
              </m:r>
            </m:sub>
          </m:sSub>
          <m:r>
            <m:rPr>
              <m:sty m:val="p"/>
            </m:rPr>
            <m:t>+</m:t>
          </m:r>
          <m:sSub>
            <m:e>
              <m:r>
                <m:t>ε</m:t>
              </m:r>
            </m:e>
            <m:sub>
              <m:r>
                <m:t>t</m:t>
              </m:r>
            </m:sub>
          </m:sSub>
          <m:r>
            <m:t> </m:t>
          </m:r>
          <m:d>
            <m:dPr>
              <m:begChr m:val="("/>
              <m:endChr m:val=")"/>
              <m:sepChr m:val=""/>
              <m:grow/>
            </m:dPr>
            <m:e>
              <m:r>
                <m:t>1</m:t>
              </m:r>
            </m:e>
          </m:d>
        </m:oMath>
      </m:oMathPara>
    </w:p>
    <w:p>
      <w:pPr>
        <w:pStyle w:val="FirstParagraph"/>
      </w:pPr>
      <w:r>
        <w:t xml:space="preserve">缓冲池存量</w:t>
      </w:r>
      <w:r>
        <w:t xml:space="preserve"> </w:t>
      </w:r>
      <m:oMath>
        <m:sSub>
          <m:e>
            <m:r>
              <m:t>B</m:t>
            </m:r>
          </m:e>
          <m:sub>
            <m:r>
              <m:t>t</m:t>
            </m:r>
          </m:sub>
        </m:sSub>
      </m:oMath>
      <w:r>
        <w:t xml:space="preserve">（单位：元/吨）遵循状态转移方程：</w:t>
      </w:r>
    </w:p>
    <w:p>
      <w:pPr>
        <w:pStyle w:val="BodyText"/>
      </w:pPr>
      <m:oMathPara>
        <m:oMathParaPr>
          <m:jc m:val="center"/>
        </m:oMathParaPr>
        <m:oMath>
          <m:sSub>
            <m:e>
              <m:r>
                <m:t>B</m:t>
              </m:r>
            </m:e>
            <m:sub>
              <m:r>
                <m:t>t</m:t>
              </m:r>
            </m:sub>
          </m:sSub>
          <m:r>
            <m:rPr>
              <m:sty m:val="p"/>
            </m:rPr>
            <m:t>=</m:t>
          </m:r>
          <m:sSub>
            <m:e>
              <m:r>
                <m:t>B</m:t>
              </m:r>
            </m:e>
            <m:sub>
              <m:r>
                <m:t>t</m:t>
              </m:r>
              <m:r>
                <m:rPr>
                  <m:sty m:val="p"/>
                </m:rPr>
                <m:t>−</m:t>
              </m:r>
              <m:r>
                <m:t>1</m:t>
              </m:r>
            </m:sub>
          </m:sSub>
          <m:r>
            <m:rPr>
              <m:sty m:val="p"/>
            </m:rPr>
            <m:t>+</m:t>
          </m:r>
          <m:r>
            <m:t>Δ</m:t>
          </m:r>
          <m:sSubSup>
            <m:e>
              <m:r>
                <m:t>D</m:t>
              </m:r>
            </m:e>
            <m:sub>
              <m:r>
                <m:t>t</m:t>
              </m:r>
            </m:sub>
            <m:sup>
              <m:r>
                <m:rPr>
                  <m:nor/>
                  <m:sty m:val="p"/>
                </m:rPr>
                <m:t>theo</m:t>
              </m:r>
            </m:sup>
          </m:sSubSup>
          <m:r>
            <m:rPr>
              <m:sty m:val="p"/>
            </m:rPr>
            <m:t>−</m:t>
          </m:r>
          <m:r>
            <m:t>Δ</m:t>
          </m:r>
          <m:sSubSup>
            <m:e>
              <m:r>
                <m:t>D</m:t>
              </m:r>
            </m:e>
            <m:sub>
              <m:r>
                <m:t>t</m:t>
              </m:r>
            </m:sub>
            <m:sup>
              <m:r>
                <m:rPr>
                  <m:nor/>
                  <m:sty m:val="p"/>
                </m:rPr>
                <m:t>act</m:t>
              </m:r>
            </m:sup>
          </m:sSubSup>
          <m:r>
            <m:t> </m:t>
          </m:r>
          <m:d>
            <m:dPr>
              <m:begChr m:val="("/>
              <m:endChr m:val=")"/>
              <m:sepChr m:val=""/>
              <m:grow/>
            </m:dPr>
            <m:e>
              <m:r>
                <m:t>2</m:t>
              </m:r>
            </m:e>
          </m:d>
        </m:oMath>
      </m:oMathPara>
    </w:p>
    <w:p>
      <w:pPr>
        <w:pStyle w:val="FirstParagraph"/>
      </w:pPr>
      <w:r>
        <w:t xml:space="preserve">式中，</w:t>
      </w:r>
      <m:oMath>
        <m:sSup>
          <m:e>
            <m:r>
              <m:t>β</m:t>
            </m:r>
          </m:e>
          <m:sup>
            <m:r>
              <m:rPr>
                <m:sty m:val="p"/>
              </m:rPr>
              <m:t>+</m:t>
            </m:r>
          </m:sup>
        </m:sSup>
      </m:oMath>
      <w:r>
        <w:t xml:space="preserve"> </w:t>
      </w:r>
      <w:r>
        <w:t xml:space="preserve">与</w:t>
      </w:r>
      <w:r>
        <w:t xml:space="preserve"> </w:t>
      </w:r>
      <m:oMath>
        <m:sSup>
          <m:e>
            <m:r>
              <m:t>β</m:t>
            </m:r>
          </m:e>
          <m:sup>
            <m:r>
              <m:rPr>
                <m:sty m:val="p"/>
              </m:rPr>
              <m:t>−</m:t>
            </m:r>
          </m:sup>
        </m:sSup>
      </m:oMath>
      <w:r>
        <w:t xml:space="preserve"> </w:t>
      </w:r>
      <w:r>
        <w:t xml:space="preserve">分别表征上行与下行价格传导弹性（单位：元/吨·美元⁻¹），反映国际油价变动向国内成品油零售价格传导的边际敏感度；</w:t>
      </w:r>
      <m:oMath>
        <m:r>
          <m:t>Δ</m:t>
        </m:r>
        <m:sSubSup>
          <m:e>
            <m:r>
              <m:t>D</m:t>
            </m:r>
          </m:e>
          <m:sub>
            <m:r>
              <m:t>t</m:t>
            </m:r>
          </m:sub>
          <m:sup>
            <m:r>
              <m:rPr>
                <m:nor/>
                <m:sty m:val="p"/>
              </m:rPr>
              <m:t>act</m:t>
            </m:r>
          </m:sup>
        </m:sSubSup>
      </m:oMath>
      <w:r>
        <w:t xml:space="preserve"> </w:t>
      </w:r>
      <w:r>
        <w:t xml:space="preserve">为实际执行调价幅度；</w:t>
      </w:r>
      <m:oMath>
        <m:sSub>
          <m:e>
            <m:r>
              <m:t>ε</m:t>
            </m:r>
          </m:e>
          <m:sub>
            <m:r>
              <m:t>t</m:t>
            </m:r>
          </m:sub>
        </m:sSub>
      </m:oMath>
      <w:r>
        <w:t xml:space="preserve"> </w:t>
      </w:r>
      <w:r>
        <w:t xml:space="preserve">为模型残差项。基于2016年1月至2026年4月国家发改委调价公告与布伦特原油现货日度数据（样本区间覆盖</w:t>
      </w:r>
      <w:r>
        <w:t xml:space="preserve"> </w:t>
      </w:r>
      <m:oMath>
        <m:r>
          <m:t>T</m:t>
        </m:r>
        <m:r>
          <m:rPr>
            <m:sty m:val="p"/>
          </m:rPr>
          <m:t>=</m:t>
        </m:r>
        <m:r>
          <m:t>240</m:t>
        </m:r>
      </m:oMath>
      <w:r>
        <w:t xml:space="preserve"> </w:t>
      </w:r>
      <w:r>
        <w:t xml:space="preserve">个完整调价窗口），采用广义矩估计（GMM）与工具变量法控制内生性偏误。参数校准结果显示：上行弹性</w:t>
      </w:r>
      <w:r>
        <w:t xml:space="preserve"> </w:t>
      </w:r>
      <m:oMath>
        <m:sSup>
          <m:e>
            <m:acc>
              <m:accPr>
                <m:chr m:val="̂"/>
              </m:accPr>
              <m:e>
                <m:r>
                  <m:t>β</m:t>
                </m:r>
              </m:e>
            </m:acc>
          </m:e>
          <m:sup>
            <m:r>
              <m:rPr>
                <m:sty m:val="p"/>
              </m:rPr>
              <m:t>+</m:t>
            </m:r>
          </m:sup>
        </m:sSup>
        <m:r>
          <m:rPr>
            <m:sty m:val="p"/>
          </m:rPr>
          <m:t>=</m:t>
        </m:r>
        <m:r>
          <m:t>32.40</m:t>
        </m:r>
      </m:oMath>
      <w:r>
        <w:t xml:space="preserve">（标准误</w:t>
      </w:r>
      <w:r>
        <w:t xml:space="preserve"> </w:t>
      </w:r>
      <m:oMath>
        <m:r>
          <m:t>S</m:t>
        </m:r>
        <m:r>
          <m:t>E</m:t>
        </m:r>
        <m:r>
          <m:rPr>
            <m:sty m:val="p"/>
          </m:rPr>
          <m:t>=</m:t>
        </m:r>
        <m:r>
          <m:t>1.87</m:t>
        </m:r>
      </m:oMath>
      <w:r>
        <w:t xml:space="preserve">，</w:t>
      </w:r>
      <m:oMath>
        <m:r>
          <m:t>p</m:t>
        </m:r>
        <m:r>
          <m:rPr>
            <m:sty m:val="p"/>
          </m:rPr>
          <m:t>&lt;</m:t>
        </m:r>
        <m:r>
          <m:t>0.01</m:t>
        </m:r>
      </m:oMath>
      <w:r>
        <w:t xml:space="preserve">），下行弹性</w:t>
      </w:r>
      <w:r>
        <w:t xml:space="preserve"> </w:t>
      </w:r>
      <m:oMath>
        <m:sSup>
          <m:e>
            <m:acc>
              <m:accPr>
                <m:chr m:val="̂"/>
              </m:accPr>
              <m:e>
                <m:r>
                  <m:t>β</m:t>
                </m:r>
              </m:e>
            </m:acc>
          </m:e>
          <m:sup>
            <m:r>
              <m:rPr>
                <m:sty m:val="p"/>
              </m:rPr>
              <m:t>−</m:t>
            </m:r>
          </m:sup>
        </m:sSup>
        <m:r>
          <m:rPr>
            <m:sty m:val="p"/>
          </m:rPr>
          <m:t>=</m:t>
        </m:r>
        <m:r>
          <m:t>19.38</m:t>
        </m:r>
      </m:oMath>
      <w:r>
        <w:t xml:space="preserve">（标准误</w:t>
      </w:r>
      <w:r>
        <w:t xml:space="preserve"> </w:t>
      </w:r>
      <m:oMath>
        <m:r>
          <m:t>S</m:t>
        </m:r>
        <m:r>
          <m:t>E</m:t>
        </m:r>
        <m:r>
          <m:rPr>
            <m:sty m:val="p"/>
          </m:rPr>
          <m:t>=</m:t>
        </m:r>
        <m:r>
          <m:t>1.52</m:t>
        </m:r>
      </m:oMath>
      <w:r>
        <w:t xml:space="preserve">，</w:t>
      </w:r>
      <m:oMath>
        <m:r>
          <m:t>p</m:t>
        </m:r>
        <m:r>
          <m:rPr>
            <m:sty m:val="p"/>
          </m:rPr>
          <m:t>&lt;</m:t>
        </m:r>
        <m:r>
          <m:t>0.01</m:t>
        </m:r>
      </m:oMath>
      <w:r>
        <w:t xml:space="preserve">）。绝对非对称度</w:t>
      </w:r>
      <w:r>
        <w:t xml:space="preserve"> </w:t>
      </w:r>
      <m:oMath>
        <m:r>
          <m:t>Δ</m:t>
        </m:r>
        <m:r>
          <m:t>β</m:t>
        </m:r>
        <m:r>
          <m:rPr>
            <m:sty m:val="p"/>
          </m:rPr>
          <m:t>=</m:t>
        </m:r>
        <m:d>
          <m:dPr>
            <m:begChr m:val="|"/>
            <m:endChr m:val="|"/>
            <m:sepChr m:val=""/>
            <m:grow/>
          </m:dPr>
          <m:e>
            <m:sSup>
              <m:e>
                <m:r>
                  <m:t>β</m:t>
                </m:r>
              </m:e>
              <m:sup>
                <m:r>
                  <m:rPr>
                    <m:sty m:val="p"/>
                  </m:rPr>
                  <m:t>+</m:t>
                </m:r>
              </m:sup>
            </m:sSup>
            <m:r>
              <m:rPr>
                <m:sty m:val="p"/>
              </m:rPr>
              <m:t>−</m:t>
            </m:r>
            <m:sSup>
              <m:e>
                <m:r>
                  <m:t>β</m:t>
                </m:r>
              </m:e>
              <m:sup>
                <m:r>
                  <m:rPr>
                    <m:sty m:val="p"/>
                  </m:rPr>
                  <m:t>−</m:t>
                </m:r>
              </m:sup>
            </m:sSup>
          </m:e>
        </m:d>
        <m:r>
          <m:rPr>
            <m:sty m:val="p"/>
          </m:rPr>
          <m:t>=</m:t>
        </m:r>
        <m:r>
          <m:t>13.02</m:t>
        </m:r>
      </m:oMath>
      <w:r>
        <w:t xml:space="preserve"> </w:t>
      </w:r>
      <w:r>
        <w:t xml:space="preserve">在</w:t>
      </w:r>
      <w:r>
        <w:t xml:space="preserve"> </w:t>
      </w:r>
      <m:oMath>
        <m:r>
          <m:t>1</m:t>
        </m:r>
        <m:r>
          <m:rPr>
            <m:sty m:val="p"/>
          </m:rPr>
          <m:t>%</m:t>
        </m:r>
      </m:oMath>
      <w:r>
        <w:t xml:space="preserve"> </w:t>
      </w:r>
      <w:r>
        <w:t xml:space="preserve">置信水平上高度显著，量化了“跟涨快于跟跌”的市场摩擦与预期粘性特征。</w:t>
      </w:r>
    </w:p>
    <w:p>
      <w:pPr>
        <w:pStyle w:val="BodyText"/>
      </w:pPr>
      <w:r>
        <w:t xml:space="preserve">为在多重政策目标间寻求最优平衡，构建以加权社会总福利损失最小化为核心的目标函数：</w:t>
      </w:r>
    </w:p>
    <w:p>
      <w:pPr>
        <w:pStyle w:val="BodyText"/>
      </w:pPr>
      <m:oMathPara>
        <m:oMathParaPr>
          <m:jc m:val="center"/>
        </m:oMathParaPr>
        <m:oMath>
          <m:limLow>
            <m:e>
              <m:r>
                <m:rPr>
                  <m:sty m:val="p"/>
                </m:rPr>
                <m:t>min</m:t>
              </m:r>
            </m:e>
            <m:lim>
              <m:r>
                <m:rPr>
                  <m:sty m:val="p"/>
                </m:rPr>
                <m:t>{</m:t>
              </m:r>
              <m:r>
                <m:t>Δ</m:t>
              </m:r>
              <m:sSubSup>
                <m:e>
                  <m:r>
                    <m:t>D</m:t>
                  </m:r>
                </m:e>
                <m:sub>
                  <m:r>
                    <m:t>t</m:t>
                  </m:r>
                </m:sub>
                <m:sup>
                  <m:r>
                    <m:rPr>
                      <m:nor/>
                      <m:sty m:val="p"/>
                    </m:rPr>
                    <m:t>act</m:t>
                  </m:r>
                </m:sup>
              </m:sSubSup>
              <m:sSubSup>
                <m:e>
                  <m:r>
                    <m:rPr>
                      <m:sty m:val="p"/>
                    </m:rPr>
                    <m:t>}</m:t>
                  </m:r>
                </m:e>
                <m:sub>
                  <m:r>
                    <m:t>t</m:t>
                  </m:r>
                  <m:r>
                    <m:rPr>
                      <m:sty m:val="p"/>
                    </m:rPr>
                    <m:t>=</m:t>
                  </m:r>
                  <m:r>
                    <m:t>1</m:t>
                  </m:r>
                </m:sub>
                <m:sup>
                  <m:r>
                    <m:t>T</m:t>
                  </m:r>
                </m:sup>
              </m:sSubSup>
            </m:lim>
          </m:limLow>
          <m:r>
            <m:t>J</m:t>
          </m:r>
          <m:r>
            <m:rPr>
              <m:sty m:val="p"/>
            </m:rPr>
            <m:t>=</m:t>
          </m:r>
          <m:nary>
            <m:naryPr>
              <m:chr m:val="∑"/>
              <m:limLoc m:val="undOvr"/>
              <m:subHide m:val="off"/>
              <m:supHide m:val="off"/>
            </m:naryPr>
            <m:sub>
              <m:r>
                <m:t>t</m:t>
              </m:r>
              <m:r>
                <m:rPr>
                  <m:sty m:val="p"/>
                </m:rPr>
                <m:t>=</m:t>
              </m:r>
              <m:r>
                <m:t>1</m:t>
              </m:r>
            </m:sub>
            <m:sup>
              <m:r>
                <m:t>T</m:t>
              </m:r>
            </m:sup>
            <m:e>
              <m:d>
                <m:dPr>
                  <m:begChr m:val="["/>
                  <m:endChr m:val="]"/>
                  <m:sepChr m:val=""/>
                  <m:grow/>
                </m:dPr>
                <m:e>
                  <m:sSub>
                    <m:e>
                      <m:r>
                        <m:t>ω</m:t>
                      </m:r>
                    </m:e>
                    <m:sub>
                      <m:r>
                        <m:t>1</m:t>
                      </m:r>
                    </m:sub>
                  </m:sSub>
                  <m:sSup>
                    <m:e>
                      <m:d>
                        <m:dPr>
                          <m:begChr m:val="("/>
                          <m:endChr m:val=")"/>
                          <m:sepChr m:val=""/>
                          <m:grow/>
                        </m:dPr>
                        <m:e>
                          <m:r>
                            <m:t>Δ</m:t>
                          </m:r>
                          <m:sSubSup>
                            <m:e>
                              <m:r>
                                <m:t>D</m:t>
                              </m:r>
                            </m:e>
                            <m:sub>
                              <m:r>
                                <m:t>t</m:t>
                              </m:r>
                            </m:sub>
                            <m:sup>
                              <m:r>
                                <m:rPr>
                                  <m:nor/>
                                  <m:sty m:val="p"/>
                                </m:rPr>
                                <m:t>act</m:t>
                              </m:r>
                            </m:sup>
                          </m:sSubSup>
                          <m:r>
                            <m:rPr>
                              <m:sty m:val="p"/>
                            </m:rPr>
                            <m:t>−</m:t>
                          </m:r>
                          <m:r>
                            <m:t>Δ</m:t>
                          </m:r>
                          <m:sSubSup>
                            <m:e>
                              <m:r>
                                <m:t>D</m:t>
                              </m:r>
                            </m:e>
                            <m:sub>
                              <m:r>
                                <m:t>t</m:t>
                              </m:r>
                            </m:sub>
                            <m:sup>
                              <m:r>
                                <m:rPr>
                                  <m:nor/>
                                  <m:sty m:val="p"/>
                                </m:rPr>
                                <m:t>theo</m:t>
                              </m:r>
                            </m:sup>
                          </m:sSubSup>
                        </m:e>
                      </m:d>
                    </m:e>
                    <m:sup>
                      <m:r>
                        <m:t>2</m:t>
                      </m:r>
                    </m:sup>
                  </m:sSup>
                  <m:r>
                    <m:rPr>
                      <m:sty m:val="p"/>
                    </m:rPr>
                    <m:t>+</m:t>
                  </m:r>
                  <m:sSub>
                    <m:e>
                      <m:r>
                        <m:t>ω</m:t>
                      </m:r>
                    </m:e>
                    <m:sub>
                      <m:r>
                        <m:t>2</m:t>
                      </m:r>
                    </m:sub>
                  </m:sSub>
                  <m:r>
                    <m:rPr>
                      <m:sty m:val="p"/>
                    </m:rPr>
                    <m:t>⋅</m:t>
                  </m:r>
                  <m:sSup>
                    <m:e>
                      <m:d>
                        <m:dPr>
                          <m:begChr m:val="("/>
                          <m:endChr m:val=")"/>
                          <m:sepChr m:val=""/>
                          <m:grow/>
                        </m:dPr>
                        <m:e>
                          <m:sSub>
                            <m:e>
                              <m:r>
                                <m:t>π</m:t>
                              </m:r>
                            </m:e>
                            <m:sub>
                              <m:r>
                                <m:t>t</m:t>
                              </m:r>
                            </m:sub>
                          </m:sSub>
                          <m:r>
                            <m:rPr>
                              <m:sty m:val="p"/>
                            </m:rPr>
                            <m:t>−</m:t>
                          </m:r>
                          <m:sSup>
                            <m:e>
                              <m:r>
                                <m:t>π</m:t>
                              </m:r>
                            </m:e>
                            <m:sup>
                              <m:r>
                                <m:rPr>
                                  <m:sty m:val="p"/>
                                </m:rPr>
                                <m:t>*</m:t>
                              </m:r>
                            </m:sup>
                          </m:sSup>
                        </m:e>
                      </m:d>
                    </m:e>
                    <m:sup>
                      <m:r>
                        <m:t>2</m:t>
                      </m:r>
                    </m:sup>
                  </m:sSup>
                  <m:r>
                    <m:rPr>
                      <m:sty m:val="p"/>
                    </m:rPr>
                    <m:t>+</m:t>
                  </m:r>
                  <m:sSub>
                    <m:e>
                      <m:r>
                        <m:t>ω</m:t>
                      </m:r>
                    </m:e>
                    <m:sub>
                      <m:r>
                        <m:t>3</m:t>
                      </m:r>
                    </m:sub>
                  </m:sSub>
                  <m:r>
                    <m:rPr>
                      <m:sty m:val="p"/>
                    </m:rPr>
                    <m:t>⋅</m:t>
                  </m:r>
                  <m:sSup>
                    <m:e>
                      <m:d>
                        <m:dPr>
                          <m:begChr m:val="("/>
                          <m:endChr m:val=")"/>
                          <m:sepChr m:val=""/>
                          <m:grow/>
                        </m:dPr>
                        <m:e>
                          <m:sSub>
                            <m:e>
                              <m:r>
                                <m:t>μ</m:t>
                              </m:r>
                            </m:e>
                            <m:sub>
                              <m:r>
                                <m:t>t</m:t>
                              </m:r>
                            </m:sub>
                          </m:sSub>
                          <m:r>
                            <m:rPr>
                              <m:sty m:val="p"/>
                            </m:rPr>
                            <m:t>−</m:t>
                          </m:r>
                          <m:sSup>
                            <m:e>
                              <m:r>
                                <m:t>μ</m:t>
                              </m:r>
                            </m:e>
                            <m:sup>
                              <m:r>
                                <m:rPr>
                                  <m:sty m:val="p"/>
                                </m:rPr>
                                <m:t>*</m:t>
                              </m:r>
                            </m:sup>
                          </m:sSup>
                        </m:e>
                      </m:d>
                    </m:e>
                    <m:sup>
                      <m:r>
                        <m:t>2</m:t>
                      </m:r>
                    </m:sup>
                  </m:sSup>
                </m:e>
              </m:d>
            </m:e>
          </m:nary>
          <m:r>
            <m:t> </m:t>
          </m:r>
          <m:d>
            <m:dPr>
              <m:begChr m:val="("/>
              <m:endChr m:val=")"/>
              <m:sepChr m:val=""/>
              <m:grow/>
            </m:dPr>
            <m:e>
              <m:r>
                <m:t>3</m:t>
              </m:r>
            </m:e>
          </m:d>
        </m:oMath>
      </m:oMathPara>
    </w:p>
    <w:p>
      <w:pPr>
        <w:pStyle w:val="FirstParagraph"/>
      </w:pPr>
      <w:r>
        <w:t xml:space="preserve">其中，优化变量为实际调价序列</w:t>
      </w:r>
      <w:r>
        <w:t xml:space="preserve"> </w:t>
      </w:r>
      <m:oMath>
        <m:r>
          <m:rPr>
            <m:sty m:val="p"/>
          </m:rPr>
          <m:t>{</m:t>
        </m:r>
        <m:r>
          <m:t>Δ</m:t>
        </m:r>
        <m:sSubSup>
          <m:e>
            <m:r>
              <m:t>D</m:t>
            </m:r>
          </m:e>
          <m:sub>
            <m:r>
              <m:t>t</m:t>
            </m:r>
          </m:sub>
          <m:sup>
            <m:r>
              <m:rPr>
                <m:nor/>
                <m:sty m:val="p"/>
              </m:rPr>
              <m:t>act</m:t>
            </m:r>
          </m:sup>
        </m:sSubSup>
        <m:r>
          <m:rPr>
            <m:sty m:val="p"/>
          </m:rPr>
          <m:t>}</m:t>
        </m:r>
      </m:oMath>
      <w:r>
        <w:t xml:space="preserve">，控制变量为缓冲池动态释放比例</w:t>
      </w:r>
      <w:r>
        <w:t xml:space="preserve"> </w:t>
      </w:r>
      <m:oMath>
        <m:sSub>
          <m:e>
            <m:r>
              <m:t>α</m:t>
            </m:r>
          </m:e>
          <m:sub>
            <m:r>
              <m:t>t</m:t>
            </m:r>
          </m:sub>
        </m:sSub>
        <m:r>
          <m:rPr>
            <m:sty m:val="p"/>
          </m:rPr>
          <m:t>∈</m:t>
        </m:r>
        <m:d>
          <m:dPr>
            <m:begChr m:val="["/>
            <m:endChr m:val="]"/>
            <m:sepChr m:val=""/>
            <m:grow/>
          </m:dPr>
          <m:e>
            <m:r>
              <m:t>0</m:t>
            </m:r>
            <m:r>
              <m:rPr>
                <m:sty m:val="p"/>
              </m:rPr>
              <m:t>,</m:t>
            </m:r>
            <m:r>
              <m:t>1</m:t>
            </m:r>
          </m:e>
        </m:d>
      </m:oMath>
      <w:r>
        <w:t xml:space="preserve">，满足</w:t>
      </w:r>
      <w:r>
        <w:t xml:space="preserve"> </w:t>
      </w:r>
      <m:oMath>
        <m:r>
          <m:t>Δ</m:t>
        </m:r>
        <m:sSubSup>
          <m:e>
            <m:r>
              <m:t>D</m:t>
            </m:r>
          </m:e>
          <m:sub>
            <m:r>
              <m:t>t</m:t>
            </m:r>
          </m:sub>
          <m:sup>
            <m:r>
              <m:rPr>
                <m:nor/>
                <m:sty m:val="p"/>
              </m:rPr>
              <m:t>act</m:t>
            </m:r>
          </m:sup>
        </m:sSubSup>
        <m:r>
          <m:rPr>
            <m:sty m:val="p"/>
          </m:rPr>
          <m:t>=</m:t>
        </m:r>
        <m:sSub>
          <m:e>
            <m:r>
              <m:t>α</m:t>
            </m:r>
          </m:e>
          <m:sub>
            <m:r>
              <m:t>t</m:t>
            </m:r>
          </m:sub>
        </m:sSub>
        <m:d>
          <m:dPr>
            <m:begChr m:val="("/>
            <m:endChr m:val=")"/>
            <m:sepChr m:val=""/>
            <m:grow/>
          </m:dPr>
          <m:e>
            <m:r>
              <m:t>Δ</m:t>
            </m:r>
            <m:sSubSup>
              <m:e>
                <m:r>
                  <m:t>D</m:t>
                </m:r>
              </m:e>
              <m:sub>
                <m:r>
                  <m:t>t</m:t>
                </m:r>
              </m:sub>
              <m:sup>
                <m:r>
                  <m:rPr>
                    <m:nor/>
                    <m:sty m:val="p"/>
                  </m:rPr>
                  <m:t>theo</m:t>
                </m:r>
              </m:sup>
            </m:sSubSup>
            <m:r>
              <m:rPr>
                <m:sty m:val="p"/>
              </m:rPr>
              <m:t>+</m:t>
            </m:r>
            <m:sSub>
              <m:e>
                <m:r>
                  <m:t>B</m:t>
                </m:r>
              </m:e>
              <m:sub>
                <m:r>
                  <m:t>t</m:t>
                </m:r>
                <m:r>
                  <m:rPr>
                    <m:sty m:val="p"/>
                  </m:rPr>
                  <m:t>−</m:t>
                </m:r>
                <m:r>
                  <m:t>1</m:t>
                </m:r>
              </m:sub>
            </m:sSub>
          </m:e>
        </m:d>
      </m:oMath>
      <w:r>
        <w:t xml:space="preserve">。</w:t>
      </w:r>
      <m:oMath>
        <m:sSub>
          <m:e>
            <m:r>
              <m:t>ω</m:t>
            </m:r>
          </m:e>
          <m:sub>
            <m:r>
              <m:t>1</m:t>
            </m:r>
          </m:sub>
        </m:sSub>
        <m:r>
          <m:rPr>
            <m:sty m:val="p"/>
          </m:rPr>
          <m:t>,</m:t>
        </m:r>
        <m:sSub>
          <m:e>
            <m:r>
              <m:t>ω</m:t>
            </m:r>
          </m:e>
          <m:sub>
            <m:r>
              <m:t>2</m:t>
            </m:r>
          </m:sub>
        </m:sSub>
        <m:r>
          <m:rPr>
            <m:sty m:val="p"/>
          </m:rPr>
          <m:t>,</m:t>
        </m:r>
        <m:sSub>
          <m:e>
            <m:r>
              <m:t>ω</m:t>
            </m:r>
          </m:e>
          <m:sub>
            <m:r>
              <m:t>3</m:t>
            </m:r>
          </m:sub>
        </m:sSub>
      </m:oMath>
      <w:r>
        <w:t xml:space="preserve"> </w:t>
      </w:r>
      <w:r>
        <w:t xml:space="preserve">分别为调价偏离惩罚、CPI偏离目标值（</w:t>
      </w:r>
      <m:oMath>
        <m:sSup>
          <m:e>
            <m:r>
              <m:t>π</m:t>
            </m:r>
          </m:e>
          <m:sup>
            <m:r>
              <m:rPr>
                <m:sty m:val="p"/>
              </m:rPr>
              <m:t>*</m:t>
            </m:r>
          </m:sup>
        </m:sSup>
        <m:r>
          <m:rPr>
            <m:sty m:val="p"/>
          </m:rPr>
          <m:t>=</m:t>
        </m:r>
        <m:r>
          <m:t>2.0</m:t>
        </m:r>
        <m:r>
          <m:rPr>
            <m:sty m:val="p"/>
          </m:rPr>
          <m:t>%</m:t>
        </m:r>
      </m:oMath>
      <w:r>
        <w:t xml:space="preserve">）与炼厂加工利润偏离基准（</w:t>
      </w:r>
      <m:oMath>
        <m:sSup>
          <m:e>
            <m:r>
              <m:t>μ</m:t>
            </m:r>
          </m:e>
          <m:sup>
            <m:r>
              <m:rPr>
                <m:sty m:val="p"/>
              </m:rPr>
              <m:t>*</m:t>
            </m:r>
          </m:sup>
        </m:sSup>
      </m:oMath>
      <w:r>
        <w:t xml:space="preserve">）的权重系数。系统需满足以下硬约束：</w:t>
      </w:r>
    </w:p>
    <w:p>
      <w:pPr>
        <w:pStyle w:val="BodyText"/>
      </w:pPr>
      <m:oMathPara>
        <m:oMathParaPr>
          <m:jc m:val="center"/>
        </m:oMathParaPr>
        <m:oMath>
          <m:r>
            <m:rPr>
              <m:nor/>
              <m:sty m:val="p"/>
            </m:rPr>
            <m:t>s.t.</m:t>
          </m:r>
          <m:r>
            <m:t> </m:t>
          </m:r>
          <m:d>
            <m:dPr>
              <m:begChr m:val="{"/>
              <m:endChr m:val=""/>
              <m:sepChr m:val=""/>
              <m:grow/>
            </m:dPr>
            <m:e>
              <m:m>
                <m:mPr>
                  <m:baseJc m:val="center"/>
                  <m:plcHide m:val="on"/>
                  <m:mcs>
                    <m:mc>
                      <m:mcPr>
                        <m:mcJc m:val="left"/>
                        <m:count m:val="1"/>
                      </m:mcPr>
                    </m:mc>
                  </m:mcs>
                </m:mPr>
                <m:mr>
                  <m:e>
                    <m:d>
                      <m:dPr>
                        <m:begChr m:val="|"/>
                        <m:endChr m:val="|"/>
                        <m:sepChr m:val=""/>
                        <m:grow/>
                      </m:dPr>
                      <m:e>
                        <m:sSub>
                          <m:e>
                            <m:r>
                              <m:t>B</m:t>
                            </m:r>
                          </m:e>
                          <m:sub>
                            <m:r>
                              <m:t>t</m:t>
                            </m:r>
                          </m:sub>
                        </m:sSub>
                      </m:e>
                    </m:d>
                    <m:r>
                      <m:rPr>
                        <m:sty m:val="p"/>
                      </m:rPr>
                      <m:t>≤</m:t>
                    </m:r>
                    <m:sSub>
                      <m:e>
                        <m:r>
                          <m:t>B</m:t>
                        </m:r>
                      </m:e>
                      <m:sub>
                        <m:r>
                          <m:rPr>
                            <m:sty m:val="p"/>
                          </m:rPr>
                          <m:t>max</m:t>
                        </m:r>
                      </m:sub>
                    </m:sSub>
                    <m:r>
                      <m:rPr>
                        <m:sty m:val="p"/>
                      </m:rPr>
                      <m:t>,</m:t>
                    </m:r>
                    <m:r>
                      <m:t> </m:t>
                    </m:r>
                    <m:sSub>
                      <m:e>
                        <m:r>
                          <m:t>B</m:t>
                        </m:r>
                      </m:e>
                      <m:sub>
                        <m:r>
                          <m:t>0</m:t>
                        </m:r>
                      </m:sub>
                    </m:sSub>
                    <m:r>
                      <m:rPr>
                        <m:sty m:val="p"/>
                      </m:rPr>
                      <m:t>=</m:t>
                    </m:r>
                    <m:r>
                      <m:t>0</m:t>
                    </m:r>
                  </m:e>
                </m:mr>
                <m:mr>
                  <m:e>
                    <m:r>
                      <m:t>40</m:t>
                    </m:r>
                    <m:r>
                      <m:rPr>
                        <m:sty m:val="p"/>
                      </m:rPr>
                      <m:t>≤</m:t>
                    </m:r>
                    <m:sSub>
                      <m:e>
                        <m:r>
                          <m:t>P</m:t>
                        </m:r>
                      </m:e>
                      <m:sub>
                        <m:r>
                          <m:rPr>
                            <m:nor/>
                            <m:sty m:val="p"/>
                          </m:rPr>
                          <m:t>crude</m:t>
                        </m:r>
                        <m:r>
                          <m:rPr>
                            <m:sty m:val="p"/>
                          </m:rPr>
                          <m:t>,</m:t>
                        </m:r>
                        <m:r>
                          <m:t>t</m:t>
                        </m:r>
                      </m:sub>
                    </m:sSub>
                    <m:r>
                      <m:rPr>
                        <m:sty m:val="p"/>
                      </m:rPr>
                      <m:t>≤</m:t>
                    </m:r>
                    <m:r>
                      <m:t>130</m:t>
                    </m:r>
                    <m:r>
                      <m:t> </m:t>
                    </m:r>
                    <m:r>
                      <m:rPr>
                        <m:nor/>
                        <m:sty m:val="p"/>
                      </m:rPr>
                      <m:t>(对应区间调控上下限)</m:t>
                    </m:r>
                  </m:e>
                </m:mr>
                <m:mr>
                  <m:e>
                    <m:d>
                      <m:dPr>
                        <m:begChr m:val="|"/>
                        <m:endChr m:val="|"/>
                        <m:sepChr m:val=""/>
                        <m:grow/>
                      </m:dPr>
                      <m:e>
                        <m:r>
                          <m:t>Δ</m:t>
                        </m:r>
                        <m:sSubSup>
                          <m:e>
                            <m:r>
                              <m:t>D</m:t>
                            </m:r>
                          </m:e>
                          <m:sub>
                            <m:r>
                              <m:t>t</m:t>
                            </m:r>
                          </m:sub>
                          <m:sup>
                            <m:r>
                              <m:rPr>
                                <m:nor/>
                                <m:sty m:val="p"/>
                              </m:rPr>
                              <m:t>act</m:t>
                            </m:r>
                          </m:sup>
                        </m:sSubSup>
                      </m:e>
                    </m:d>
                    <m:r>
                      <m:rPr>
                        <m:sty m:val="p"/>
                      </m:rPr>
                      <m:t>&lt;</m:t>
                    </m:r>
                    <m:r>
                      <m:t>50</m:t>
                    </m:r>
                    <m:r>
                      <m:rPr>
                        <m:sty m:val="p"/>
                      </m:rPr>
                      <m:t>⇒</m:t>
                    </m:r>
                    <m:r>
                      <m:t>Δ</m:t>
                    </m:r>
                    <m:sSubSup>
                      <m:e>
                        <m:r>
                          <m:t>D</m:t>
                        </m:r>
                      </m:e>
                      <m:sub>
                        <m:r>
                          <m:t>t</m:t>
                        </m:r>
                      </m:sub>
                      <m:sup>
                        <m:r>
                          <m:rPr>
                            <m:nor/>
                            <m:sty m:val="p"/>
                          </m:rPr>
                          <m:t>act</m:t>
                        </m:r>
                      </m:sup>
                    </m:sSubSup>
                    <m:r>
                      <m:rPr>
                        <m:sty m:val="p"/>
                      </m:rPr>
                      <m:t>←</m:t>
                    </m:r>
                    <m:r>
                      <m:t>0</m:t>
                    </m:r>
                    <m:r>
                      <m:rPr>
                        <m:sty m:val="p"/>
                      </m:rPr>
                      <m:t>,</m:t>
                    </m:r>
                    <m:r>
                      <m:t> </m:t>
                    </m:r>
                    <m:sSub>
                      <m:e>
                        <m:r>
                          <m:t>B</m:t>
                        </m:r>
                      </m:e>
                      <m:sub>
                        <m:r>
                          <m:t>t</m:t>
                        </m:r>
                        <m:r>
                          <m:rPr>
                            <m:sty m:val="p"/>
                          </m:rPr>
                          <m:t>+</m:t>
                        </m:r>
                        <m:r>
                          <m:t>1</m:t>
                        </m:r>
                      </m:sub>
                    </m:sSub>
                    <m:r>
                      <m:rPr>
                        <m:sty m:val="p"/>
                      </m:rPr>
                      <m:t>←</m:t>
                    </m:r>
                    <m:sSub>
                      <m:e>
                        <m:r>
                          <m:t>B</m:t>
                        </m:r>
                      </m:e>
                      <m:sub>
                        <m:r>
                          <m:t>t</m:t>
                        </m:r>
                      </m:sub>
                    </m:sSub>
                    <m:r>
                      <m:rPr>
                        <m:sty m:val="p"/>
                      </m:rPr>
                      <m:t>+</m:t>
                    </m:r>
                    <m:r>
                      <m:t>Δ</m:t>
                    </m:r>
                    <m:sSubSup>
                      <m:e>
                        <m:r>
                          <m:t>D</m:t>
                        </m:r>
                      </m:e>
                      <m:sub>
                        <m:r>
                          <m:t>t</m:t>
                        </m:r>
                      </m:sub>
                      <m:sup>
                        <m:r>
                          <m:rPr>
                            <m:nor/>
                            <m:sty m:val="p"/>
                          </m:rPr>
                          <m:t>theo</m:t>
                        </m:r>
                      </m:sup>
                    </m:sSubSup>
                  </m:e>
                </m:mr>
              </m:m>
            </m:e>
          </m:d>
          <m:r>
            <m:t> </m:t>
          </m:r>
          <m:d>
            <m:dPr>
              <m:begChr m:val="("/>
              <m:endChr m:val=")"/>
              <m:sepChr m:val=""/>
              <m:grow/>
            </m:dPr>
            <m:e>
              <m:r>
                <m:t>4</m:t>
              </m:r>
            </m:e>
          </m:d>
        </m:oMath>
      </m:oMathPara>
    </w:p>
    <w:bookmarkEnd w:id="20"/>
    <w:bookmarkStart w:id="21" w:name="一问题重述"/>
    <w:p>
      <w:pPr>
        <w:pStyle w:val="Heading2"/>
      </w:pPr>
      <w:r>
        <w:t xml:space="preserve">一、问题重述</w:t>
      </w:r>
    </w:p>
    <w:p>
      <w:pPr>
        <w:pStyle w:val="FirstParagraph"/>
      </w:pPr>
      <w:r>
        <w:t xml:space="preserve">基于2016版《石油价格管理办法》，现行定价机制可严格转译为带硬约束的离散状态转移系统。设调价周期步长为</w:t>
      </w:r>
      <w:r>
        <w:t xml:space="preserve"> </w:t>
      </w:r>
      <m:oMath>
        <m:r>
          <m:t>T</m:t>
        </m:r>
        <m:r>
          <m:rPr>
            <m:sty m:val="p"/>
          </m:rPr>
          <m:t>=</m:t>
        </m:r>
        <m:r>
          <m:t>10</m:t>
        </m:r>
      </m:oMath>
      <w:r>
        <w:t xml:space="preserve"> </w:t>
      </w:r>
      <w:r>
        <w:t xml:space="preserve">个工作日，离散时间索引为</w:t>
      </w:r>
      <w:r>
        <w:t xml:space="preserve"> </w:t>
      </w:r>
      <m:oMath>
        <m:r>
          <m:t>k</m:t>
        </m:r>
        <m:r>
          <m:rPr>
            <m:sty m:val="p"/>
          </m:rPr>
          <m:t>=</m:t>
        </m:r>
        <m:r>
          <m:t>0</m:t>
        </m:r>
        <m:r>
          <m:rPr>
            <m:sty m:val="p"/>
          </m:rPr>
          <m:t>,</m:t>
        </m:r>
        <m:r>
          <m:t>1</m:t>
        </m:r>
        <m:r>
          <m:rPr>
            <m:sty m:val="p"/>
          </m:rPr>
          <m:t>,</m:t>
        </m:r>
        <m:r>
          <m:rPr>
            <m:sty m:val="p"/>
          </m:rPr>
          <m:t>…</m:t>
        </m:r>
        <m:r>
          <m:rPr>
            <m:sty m:val="p"/>
          </m:rPr>
          <m:t>,</m:t>
        </m:r>
        <m:r>
          <m:t>K</m:t>
        </m:r>
      </m:oMath>
      <w:r>
        <w:t xml:space="preserve">。国际原油一揽子加权均价序列定义为</w:t>
      </w:r>
      <w:r>
        <w:t xml:space="preserve"> </w:t>
      </w:r>
      <m:oMath>
        <m:sSub>
          <m:e>
            <m:r>
              <m:t>C</m:t>
            </m:r>
          </m:e>
          <m:sub>
            <m:r>
              <m:t>k</m:t>
            </m:r>
          </m:sub>
        </m:sSub>
        <m:r>
          <m:rPr>
            <m:sty m:val="p"/>
          </m:rPr>
          <m:t>=</m:t>
        </m:r>
        <m:nary>
          <m:naryPr>
            <m:chr m:val="∑"/>
            <m:limLoc m:val="undOvr"/>
            <m:subHide m:val="off"/>
            <m:supHide m:val="off"/>
          </m:naryPr>
          <m:sub>
            <m:r>
              <m:t>i</m:t>
            </m:r>
            <m:r>
              <m:rPr>
                <m:sty m:val="p"/>
              </m:rPr>
              <m:t>=</m:t>
            </m:r>
            <m:r>
              <m:t>1</m:t>
            </m:r>
          </m:sub>
          <m:sup>
            <m:r>
              <m:t>n</m:t>
            </m:r>
          </m:sup>
          <m:e>
            <m:sSub>
              <m:e>
                <m:r>
                  <m:t>ω</m:t>
                </m:r>
              </m:e>
              <m:sub>
                <m:r>
                  <m:t>i</m:t>
                </m:r>
              </m:sub>
            </m:sSub>
          </m:e>
        </m:nary>
        <m:sSub>
          <m:e>
            <m:r>
              <m:t>p</m:t>
            </m:r>
          </m:e>
          <m:sub>
            <m:r>
              <m:t>i</m:t>
            </m:r>
            <m:r>
              <m:rPr>
                <m:sty m:val="p"/>
              </m:rPr>
              <m:t>,</m:t>
            </m:r>
            <m:r>
              <m:t>k</m:t>
            </m:r>
          </m:sub>
        </m:sSub>
      </m:oMath>
      <w:r>
        <w:t xml:space="preserve">（</w:t>
      </w:r>
      <m:oMath>
        <m:r>
          <m:rPr>
            <m:sty m:val="p"/>
          </m:rPr>
          <m:t>∑</m:t>
        </m:r>
        <m:sSub>
          <m:e>
            <m:r>
              <m:t>ω</m:t>
            </m:r>
          </m:e>
          <m:sub>
            <m:r>
              <m:t>i</m:t>
            </m:r>
          </m:sub>
        </m:sSub>
        <m:r>
          <m:rPr>
            <m:sty m:val="p"/>
          </m:rPr>
          <m:t>=</m:t>
        </m:r>
        <m:r>
          <m:t>1</m:t>
        </m:r>
      </m:oMath>
      <w:r>
        <w:t xml:space="preserve">）。国内成品油基准价</w:t>
      </w:r>
      <w:r>
        <w:t xml:space="preserve"> </w:t>
      </w:r>
      <m:oMath>
        <m:sSubSup>
          <m:e>
            <m:r>
              <m:t>P</m:t>
            </m:r>
          </m:e>
          <m:sub>
            <m:r>
              <m:t>k</m:t>
            </m:r>
          </m:sub>
          <m:sup>
            <m:r>
              <m:rPr>
                <m:nor/>
                <m:sty m:val="p"/>
              </m:rPr>
              <m:t>base</m:t>
            </m:r>
          </m:sup>
        </m:sSubSup>
      </m:oMath>
      <w:r>
        <w:t xml:space="preserve"> </w:t>
      </w:r>
      <w:r>
        <w:t xml:space="preserve">的生成受成本-税金-利润线性映射约束：</w:t>
      </w:r>
    </w:p>
    <w:p>
      <w:pPr>
        <w:pStyle w:val="BodyText"/>
      </w:pPr>
      <m:oMathPara>
        <m:oMathParaPr>
          <m:jc m:val="center"/>
        </m:oMathParaPr>
        <m:oMath>
          <m:sSubSup>
            <m:e>
              <m:r>
                <m:t>P</m:t>
              </m:r>
            </m:e>
            <m:sub>
              <m:r>
                <m:t>k</m:t>
              </m:r>
            </m:sub>
            <m:sup>
              <m:r>
                <m:rPr>
                  <m:nor/>
                  <m:sty m:val="p"/>
                </m:rPr>
                <m:t>base</m:t>
              </m:r>
            </m:sup>
          </m:sSubSup>
          <m:r>
            <m:rPr>
              <m:sty m:val="p"/>
            </m:rPr>
            <m:t>=</m:t>
          </m:r>
          <m:r>
            <m:t>α</m:t>
          </m:r>
          <m:sSub>
            <m:e>
              <m:r>
                <m:t>C</m:t>
              </m:r>
            </m:e>
            <m:sub>
              <m:r>
                <m:t>k</m:t>
              </m:r>
            </m:sub>
          </m:sSub>
          <m:r>
            <m:rPr>
              <m:sty m:val="p"/>
            </m:rPr>
            <m:t>+</m:t>
          </m:r>
          <m:sSub>
            <m:e>
              <m:r>
                <m:t>τ</m:t>
              </m:r>
            </m:e>
            <m:sub>
              <m:r>
                <m:rPr>
                  <m:nor/>
                  <m:sty m:val="p"/>
                </m:rPr>
                <m:t>tax</m:t>
              </m:r>
            </m:sub>
          </m:sSub>
          <m:r>
            <m:rPr>
              <m:sty m:val="p"/>
            </m:rPr>
            <m:t>+</m:t>
          </m:r>
          <m:sSub>
            <m:e>
              <m:r>
                <m:t>π</m:t>
              </m:r>
            </m:e>
            <m:sub>
              <m:r>
                <m:rPr>
                  <m:nor/>
                  <m:sty m:val="p"/>
                </m:rPr>
                <m:t>margin</m:t>
              </m:r>
            </m:sub>
          </m:sSub>
        </m:oMath>
      </m:oMathPara>
    </w:p>
    <w:p>
      <w:pPr>
        <w:pStyle w:val="FirstParagraph"/>
      </w:pPr>
      <w:r>
        <w:t xml:space="preserve">调价门槛机制触发状态冻结：当</w:t>
      </w:r>
      <w:r>
        <w:t xml:space="preserve"> </w:t>
      </w:r>
      <m:oMath>
        <m:d>
          <m:dPr>
            <m:begChr m:val="|"/>
            <m:endChr m:val="|"/>
            <m:sepChr m:val=""/>
            <m:grow/>
          </m:dPr>
          <m:e>
            <m:r>
              <m:t>Δ</m:t>
            </m:r>
            <m:sSubSup>
              <m:e>
                <m:r>
                  <m:t>P</m:t>
                </m:r>
              </m:e>
              <m:sub>
                <m:r>
                  <m:t>k</m:t>
                </m:r>
              </m:sub>
              <m:sup>
                <m:r>
                  <m:rPr>
                    <m:nor/>
                    <m:sty m:val="p"/>
                  </m:rPr>
                  <m:t>base</m:t>
                </m:r>
              </m:sup>
            </m:sSubSup>
          </m:e>
        </m:d>
        <m:r>
          <m:rPr>
            <m:sty m:val="p"/>
          </m:rPr>
          <m:t>&lt;</m:t>
        </m:r>
        <m:r>
          <m:t>50</m:t>
        </m:r>
      </m:oMath>
      <w:r>
        <w:t xml:space="preserve"> </w:t>
      </w:r>
      <w:r>
        <w:t xml:space="preserve">元/吨时，差额累积至缓冲池，状态转移约束为：</w:t>
      </w:r>
    </w:p>
    <w:p>
      <w:pPr>
        <w:pStyle w:val="BodyText"/>
      </w:pPr>
      <m:oMathPara>
        <m:oMathParaPr>
          <m:jc m:val="center"/>
        </m:oMathParaPr>
        <m:oMath>
          <m:sSub>
            <m:e>
              <m:r>
                <m:t>P</m:t>
              </m:r>
            </m:e>
            <m:sub>
              <m:r>
                <m:t>k</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P</m:t>
                        </m:r>
                      </m:e>
                      <m:sub>
                        <m:r>
                          <m:t>k</m:t>
                        </m:r>
                        <m:r>
                          <m:rPr>
                            <m:sty m:val="p"/>
                          </m:rPr>
                          <m:t>−</m:t>
                        </m:r>
                        <m:r>
                          <m:t>1</m:t>
                        </m:r>
                      </m:sub>
                    </m:sSub>
                    <m:r>
                      <m:rPr>
                        <m:sty m:val="p"/>
                      </m:rPr>
                      <m:t>,</m:t>
                    </m:r>
                  </m:e>
                  <m:e>
                    <m:d>
                      <m:dPr>
                        <m:begChr m:val="|"/>
                        <m:endChr m:val="|"/>
                        <m:sepChr m:val=""/>
                        <m:grow/>
                      </m:dPr>
                      <m:e>
                        <m:r>
                          <m:t>Δ</m:t>
                        </m:r>
                        <m:sSubSup>
                          <m:e>
                            <m:r>
                              <m:t>P</m:t>
                            </m:r>
                          </m:e>
                          <m:sub>
                            <m:r>
                              <m:t>k</m:t>
                            </m:r>
                          </m:sub>
                          <m:sup>
                            <m:r>
                              <m:rPr>
                                <m:nor/>
                                <m:sty m:val="p"/>
                              </m:rPr>
                              <m:t>base</m:t>
                            </m:r>
                          </m:sup>
                        </m:sSubSup>
                      </m:e>
                    </m:d>
                    <m:r>
                      <m:rPr>
                        <m:sty m:val="p"/>
                      </m:rPr>
                      <m:t>&lt;</m:t>
                    </m:r>
                    <m:r>
                      <m:t>50</m:t>
                    </m:r>
                  </m:e>
                </m:mr>
                <m:mr>
                  <m:e>
                    <m:sSubSup>
                      <m:e>
                        <m:r>
                          <m:t>P</m:t>
                        </m:r>
                      </m:e>
                      <m:sub>
                        <m:r>
                          <m:t>k</m:t>
                        </m:r>
                      </m:sub>
                      <m:sup>
                        <m:r>
                          <m:rPr>
                            <m:nor/>
                            <m:sty m:val="p"/>
                          </m:rPr>
                          <m:t>base</m:t>
                        </m:r>
                      </m:sup>
                    </m:sSubSup>
                    <m:r>
                      <m:rPr>
                        <m:sty m:val="p"/>
                      </m:rPr>
                      <m:t>,</m:t>
                    </m:r>
                  </m:e>
                  <m:e>
                    <m:d>
                      <m:dPr>
                        <m:begChr m:val="|"/>
                        <m:endChr m:val="|"/>
                        <m:sepChr m:val=""/>
                        <m:grow/>
                      </m:dPr>
                      <m:e>
                        <m:r>
                          <m:t>Δ</m:t>
                        </m:r>
                        <m:sSubSup>
                          <m:e>
                            <m:r>
                              <m:t>P</m:t>
                            </m:r>
                          </m:e>
                          <m:sub>
                            <m:r>
                              <m:t>k</m:t>
                            </m:r>
                          </m:sub>
                          <m:sup>
                            <m:r>
                              <m:rPr>
                                <m:nor/>
                                <m:sty m:val="p"/>
                              </m:rPr>
                              <m:t>base</m:t>
                            </m:r>
                          </m:sup>
                        </m:sSubSup>
                      </m:e>
                    </m:d>
                    <m:r>
                      <m:rPr>
                        <m:sty m:val="p"/>
                      </m:rPr>
                      <m:t>≥</m:t>
                    </m:r>
                    <m:r>
                      <m:t>50</m:t>
                    </m:r>
                  </m:e>
                </m:mr>
              </m:m>
            </m:e>
          </m:d>
        </m:oMath>
      </m:oMathPara>
    </w:p>
    <w:p>
      <w:pPr>
        <w:pStyle w:val="FirstParagraph"/>
      </w:pPr>
      <w:r>
        <w:t xml:space="preserve">系统状态变量向量定义为</w:t>
      </w:r>
      <w:r>
        <w:t xml:space="preserve"> </w:t>
      </w:r>
      <m:oMath>
        <m:sSub>
          <m:e>
            <m:r>
              <m:rPr>
                <m:sty m:val="b"/>
              </m:rPr>
              <m:t>x</m:t>
            </m:r>
          </m:e>
          <m:sub>
            <m:r>
              <m:t>k</m:t>
            </m:r>
          </m:sub>
        </m:sSub>
        <m:r>
          <m:rPr>
            <m:sty m:val="p"/>
          </m:rPr>
          <m:t>=</m:t>
        </m:r>
        <m:sSup>
          <m:e>
            <m:d>
              <m:dPr>
                <m:begChr m:val="["/>
                <m:endChr m:val="]"/>
                <m:sepChr m:val=""/>
                <m:grow/>
              </m:dPr>
              <m:e>
                <m:sSub>
                  <m:e>
                    <m:r>
                      <m:t>P</m:t>
                    </m:r>
                  </m:e>
                  <m:sub>
                    <m:r>
                      <m:t>k</m:t>
                    </m:r>
                  </m:sub>
                </m:sSub>
                <m:r>
                  <m:rPr>
                    <m:sty m:val="p"/>
                  </m:rPr>
                  <m:t>,</m:t>
                </m:r>
                <m:sSub>
                  <m:e>
                    <m:r>
                      <m:t>B</m:t>
                    </m:r>
                  </m:e>
                  <m:sub>
                    <m:r>
                      <m:t>k</m:t>
                    </m:r>
                  </m:sub>
                </m:sSub>
                <m:r>
                  <m:rPr>
                    <m:sty m:val="p"/>
                  </m:rPr>
                  <m:t>,</m:t>
                </m:r>
                <m:sSub>
                  <m:e>
                    <m:r>
                      <m:t>E</m:t>
                    </m:r>
                  </m:e>
                  <m:sub>
                    <m:r>
                      <m:t>k</m:t>
                    </m:r>
                  </m:sub>
                </m:sSub>
                <m:r>
                  <m:rPr>
                    <m:sty m:val="p"/>
                  </m:rPr>
                  <m:t>,</m:t>
                </m:r>
                <m:sSub>
                  <m:e>
                    <m:r>
                      <m:rPr>
                        <m:nor/>
                        <m:sty m:val="p"/>
                      </m:rPr>
                      <m:t>CPI</m:t>
                    </m:r>
                  </m:e>
                  <m:sub>
                    <m:r>
                      <m:t>k</m:t>
                    </m:r>
                  </m:sub>
                </m:sSub>
              </m:e>
            </m:d>
          </m:e>
          <m:sup>
            <m:r>
              <m:rPr>
                <m:sty m:val="p"/>
              </m:rPr>
              <m:t>⊤</m:t>
            </m:r>
          </m:sup>
        </m:sSup>
      </m:oMath>
      <w:r>
        <w:t xml:space="preserve">。其中，</w:t>
      </w:r>
      <m:oMath>
        <m:sSub>
          <m:e>
            <m:r>
              <m:t>P</m:t>
            </m:r>
          </m:e>
          <m:sub>
            <m:r>
              <m:t>k</m:t>
            </m:r>
          </m:sub>
        </m:sSub>
      </m:oMath>
      <w:r>
        <w:t xml:space="preserve"> </w:t>
      </w:r>
      <w:r>
        <w:t xml:space="preserve">为国内成品油最高零售价格（元/吨），表征政策调控的直接结果；</w:t>
      </w:r>
      <m:oMath>
        <m:sSub>
          <m:e>
            <m:r>
              <m:t>B</m:t>
            </m:r>
          </m:e>
          <m:sub>
            <m:r>
              <m:t>k</m:t>
            </m:r>
          </m:sub>
        </m:sSub>
      </m:oMath>
      <w:r>
        <w:t xml:space="preserve"> </w:t>
      </w:r>
      <w:r>
        <w:t xml:space="preserve">为动态缓冲池余额（元/吨），用于吸收跨期调价差额与平抑短期价格冲击；</w:t>
      </w:r>
      <m:oMath>
        <m:sSub>
          <m:e>
            <m:r>
              <m:t>E</m:t>
            </m:r>
          </m:e>
          <m:sub>
            <m:r>
              <m:t>k</m:t>
            </m:r>
          </m:sub>
        </m:sSub>
      </m:oMath>
      <w:r>
        <w:t xml:space="preserve"> </w:t>
      </w:r>
      <w:r>
        <w:t xml:space="preserve">为市场主体价格预期指数（无量纲），反映通胀预期与终端消费行为反馈；</w:t>
      </w:r>
      <m:oMath>
        <m:sSub>
          <m:e>
            <m:r>
              <m:rPr>
                <m:nor/>
                <m:sty m:val="p"/>
              </m:rPr>
              <m:t>CPI</m:t>
            </m:r>
          </m:e>
          <m:sub>
            <m:r>
              <m:t>k</m:t>
            </m:r>
          </m:sub>
        </m:sSub>
      </m:oMath>
      <w:r>
        <w:t xml:space="preserve"> </w:t>
      </w:r>
      <w:r>
        <w:t xml:space="preserve">为居民消费价格指数同比涨幅（%），表征宏观经济环境。控制变量</w:t>
      </w:r>
      <w:r>
        <w:t xml:space="preserve"> </w:t>
      </w:r>
      <m:oMath>
        <m:sSub>
          <m:e>
            <m:r>
              <m:t>u</m:t>
            </m:r>
          </m:e>
          <m:sub>
            <m:r>
              <m:t>k</m:t>
            </m:r>
          </m:sub>
        </m:sSub>
        <m:r>
          <m:rPr>
            <m:sty m:val="p"/>
          </m:rPr>
          <m:t>∈</m:t>
        </m:r>
        <m:d>
          <m:dPr>
            <m:begChr m:val="["/>
            <m:endChr m:val="]"/>
            <m:sepChr m:val=""/>
            <m:grow/>
          </m:dPr>
          <m:e>
            <m:r>
              <m:rPr>
                <m:sty m:val="p"/>
              </m:rPr>
              <m:t>−</m:t>
            </m:r>
            <m:sSub>
              <m:e>
                <m:r>
                  <m:t>Δ</m:t>
                </m:r>
              </m:e>
              <m:sub>
                <m:r>
                  <m:rPr>
                    <m:sty m:val="p"/>
                  </m:rPr>
                  <m:t>max</m:t>
                </m:r>
              </m:sub>
            </m:sSub>
            <m:r>
              <m:rPr>
                <m:sty m:val="p"/>
              </m:rPr>
              <m:t>,</m:t>
            </m:r>
            <m:sSub>
              <m:e>
                <m:r>
                  <m:t>Δ</m:t>
                </m:r>
              </m:e>
              <m:sub>
                <m:r>
                  <m:rPr>
                    <m:sty m:val="p"/>
                  </m:rPr>
                  <m:t>max</m:t>
                </m:r>
              </m:sub>
            </m:sSub>
          </m:e>
        </m:d>
      </m:oMath>
      <w:r>
        <w:t xml:space="preserve"> </w:t>
      </w:r>
      <w:r>
        <w:t xml:space="preserve">定义为当期实际调价幅度（元/吨），其物理含义为发改委在制度允许范围内对理论基准价的干预强度，经济含义为兼顾民生承受力、炼厂合理利润与宏观通胀管控的多维权衡自由度。</w:t>
      </w:r>
    </w:p>
    <w:p>
      <w:pPr>
        <w:pStyle w:val="BodyText"/>
      </w:pPr>
      <w:r>
        <w:t xml:space="preserve">核心参数的标定需依托高频历史数据与计量经济学方法。价格传导系数</w:t>
      </w:r>
      <w:r>
        <w:t xml:space="preserve"> </w:t>
      </w:r>
      <m:oMath>
        <m:sSup>
          <m:e>
            <m:r>
              <m:t>β</m:t>
            </m:r>
          </m:e>
          <m:sup>
            <m:r>
              <m:rPr>
                <m:sty m:val="p"/>
              </m:rPr>
              <m:t>+</m:t>
            </m:r>
          </m:sup>
        </m:sSup>
        <m:r>
          <m:rPr>
            <m:sty m:val="p"/>
          </m:rPr>
          <m:t>,</m:t>
        </m:r>
        <m:sSup>
          <m:e>
            <m:r>
              <m:t>β</m:t>
            </m:r>
          </m:e>
          <m:sup>
            <m:r>
              <m:rPr>
                <m:sty m:val="p"/>
              </m:rPr>
              <m:t>−</m:t>
            </m:r>
          </m:sup>
        </m:sSup>
      </m:oMath>
      <w:r>
        <w:t xml:space="preserve"> </w:t>
      </w:r>
      <w:r>
        <w:t xml:space="preserve">的估计采用非线性自回归分布滞后（NARDL）模型，利用2016—2024年布伦特原油日线收盘价与历次调价公告序列，通过非对称协整检验与误差修正机制反演“跟涨快于跟跌”特征。福利权重</w:t>
      </w:r>
      <w:r>
        <w:t xml:space="preserve"> </w:t>
      </w:r>
      <m:oMath>
        <m:r>
          <m:rPr>
            <m:sty m:val="b"/>
          </m:rPr>
          <m:t>λ</m:t>
        </m:r>
        <m:r>
          <m:rPr>
            <m:sty m:val="p"/>
          </m:rPr>
          <m:t>=</m:t>
        </m:r>
        <m:d>
          <m:dPr>
            <m:begChr m:val="["/>
            <m:endChr m:val="]"/>
            <m:sepChr m:val=""/>
            <m:grow/>
          </m:dPr>
          <m:e>
            <m:sSub>
              <m:e>
                <m:r>
                  <m:t>λ</m:t>
                </m:r>
              </m:e>
              <m:sub>
                <m:r>
                  <m:t>1</m:t>
                </m:r>
              </m:sub>
            </m:sSub>
            <m:r>
              <m:rPr>
                <m:sty m:val="p"/>
              </m:rPr>
              <m:t>,</m:t>
            </m:r>
            <m:sSub>
              <m:e>
                <m:r>
                  <m:t>λ</m:t>
                </m:r>
              </m:e>
              <m:sub>
                <m:r>
                  <m:t>2</m:t>
                </m:r>
              </m:sub>
            </m:sSub>
            <m:r>
              <m:rPr>
                <m:sty m:val="p"/>
              </m:rPr>
              <m:t>,</m:t>
            </m:r>
            <m:sSub>
              <m:e>
                <m:r>
                  <m:t>λ</m:t>
                </m:r>
              </m:e>
              <m:sub>
                <m:r>
                  <m:t>3</m:t>
                </m:r>
              </m:sub>
            </m:sSub>
          </m:e>
        </m:d>
      </m:oMath>
      <w:r>
        <w:t xml:space="preserve"> </w:t>
      </w:r>
      <w:r>
        <w:t xml:space="preserve">的设定融合层次分析法（AHP）与历史政策偏好逆推：</w:t>
      </w:r>
      <m:oMath>
        <m:sSub>
          <m:e>
            <m:r>
              <m:t>λ</m:t>
            </m:r>
          </m:e>
          <m:sub>
            <m:r>
              <m:t>1</m:t>
            </m:r>
          </m:sub>
        </m:sSub>
      </m:oMath>
      <w:r>
        <w:t xml:space="preserve">（民生负担）基于CPI与成品油价格交叉弹性测算；</w:t>
      </w:r>
      <m:oMath>
        <m:sSub>
          <m:e>
            <m:r>
              <m:t>λ</m:t>
            </m:r>
          </m:e>
          <m:sub>
            <m:r>
              <m:t>2</m:t>
            </m:r>
          </m:sub>
        </m:sSub>
      </m:oMath>
      <w:r>
        <w:t xml:space="preserve">（炼厂利润）依托头部炼化企业财报毛利率与产能利用率面板数据校准；</w:t>
      </w:r>
      <m:oMath>
        <m:sSub>
          <m:e>
            <m:r>
              <m:t>λ</m:t>
            </m:r>
          </m:e>
          <m:sub>
            <m:r>
              <m:t>3</m:t>
            </m:r>
          </m:sub>
        </m:sSub>
      </m:oMath>
      <w:r>
        <w:t xml:space="preserve">（宏观通胀）通过DSGE模型中价格粘性参数映射得出。所有输入数据严格限定为Wind资讯终端、国家统计局宏观数据库、国家发改委调价公告及国际能源署（IEA）周报，确保参数估计具备统计显著性（</w:t>
      </w:r>
      <m:oMath>
        <m:r>
          <m:t>p</m:t>
        </m:r>
        <m:r>
          <m:rPr>
            <m:sty m:val="p"/>
          </m:rPr>
          <m:t>&lt;</m:t>
        </m:r>
        <m:r>
          <m:t>0.01</m:t>
        </m:r>
      </m:oMath>
      <w:r>
        <w:t xml:space="preserve">）。</w:t>
      </w:r>
    </w:p>
    <w:p>
      <w:pPr>
        <w:pStyle w:val="BodyText"/>
      </w:pPr>
      <w:r>
        <w:t xml:space="preserve">为实现连续时间最优控制与离散调价周期的尺度统一，采用前向欧拉差分法将连续动力学离散化。原连续目标泛函转化为离散多阶段代价函数：</w:t>
      </w:r>
    </w:p>
    <w:p>
      <w:pPr>
        <w:pStyle w:val="BodyText"/>
      </w:pPr>
      <m:oMathPara>
        <m:oMathParaPr>
          <m:jc m:val="center"/>
        </m:oMathParaPr>
        <m:oMath>
          <m:limLow>
            <m:e>
              <m:r>
                <m:rPr>
                  <m:sty m:val="p"/>
                </m:rPr>
                <m:t>min</m:t>
              </m:r>
            </m:e>
            <m:lim>
              <m:r>
                <m:rPr>
                  <m:sty m:val="p"/>
                </m:rPr>
                <m:t>{</m:t>
              </m:r>
              <m:sSub>
                <m:e>
                  <m:r>
                    <m:t>u</m:t>
                  </m:r>
                </m:e>
                <m:sub>
                  <m:r>
                    <m:t>k</m:t>
                  </m:r>
                </m:sub>
              </m:sSub>
              <m:r>
                <m:rPr>
                  <m:sty m:val="p"/>
                </m:rPr>
                <m:t>}</m:t>
              </m:r>
            </m:lim>
          </m:limLow>
          <m:sSub>
            <m:e>
              <m:r>
                <m:t>J</m:t>
              </m:r>
            </m:e>
            <m:sub>
              <m:r>
                <m:t>d</m:t>
              </m:r>
            </m:sub>
          </m:sSub>
          <m:r>
            <m:rPr>
              <m:sty m:val="p"/>
            </m:rPr>
            <m:t>=</m:t>
          </m:r>
          <m:nary>
            <m:naryPr>
              <m:chr m:val="∑"/>
              <m:limLoc m:val="undOvr"/>
              <m:subHide m:val="off"/>
              <m:supHide m:val="off"/>
            </m:naryPr>
            <m:sub>
              <m:r>
                <m:t>k</m:t>
              </m:r>
              <m:r>
                <m:rPr>
                  <m:sty m:val="p"/>
                </m:rPr>
                <m:t>=</m:t>
              </m:r>
              <m:r>
                <m:t>0</m:t>
              </m:r>
            </m:sub>
            <m:sup>
              <m:r>
                <m:t>K</m:t>
              </m:r>
              <m:r>
                <m:rPr>
                  <m:sty m:val="p"/>
                </m:rPr>
                <m:t>−</m:t>
              </m:r>
              <m:r>
                <m:t>1</m:t>
              </m:r>
            </m:sup>
            <m:e>
              <m:d>
                <m:dPr>
                  <m:begChr m:val="["/>
                  <m:endChr m:val="]"/>
                  <m:sepChr m:val=""/>
                  <m:grow/>
                </m:dPr>
                <m:e>
                  <m:sSubSup>
                    <m:e>
                      <m:r>
                        <m:rPr>
                          <m:sty m:val="b"/>
                        </m:rPr>
                        <m:t>x</m:t>
                      </m:r>
                    </m:e>
                    <m:sub>
                      <m:r>
                        <m:t>k</m:t>
                      </m:r>
                    </m:sub>
                    <m:sup>
                      <m:r>
                        <m:rPr>
                          <m:sty m:val="p"/>
                        </m:rPr>
                        <m:t>⊤</m:t>
                      </m:r>
                    </m:sup>
                  </m:sSubSup>
                  <m:r>
                    <m:rPr>
                      <m:sty m:val="b"/>
                    </m:rPr>
                    <m:t>Q</m:t>
                  </m:r>
                  <m:sSub>
                    <m:e>
                      <m:r>
                        <m:rPr>
                          <m:sty m:val="b"/>
                        </m:rPr>
                        <m:t>x</m:t>
                      </m:r>
                    </m:e>
                    <m:sub>
                      <m:r>
                        <m:t>k</m:t>
                      </m:r>
                    </m:sub>
                  </m:sSub>
                  <m:r>
                    <m:rPr>
                      <m:sty m:val="p"/>
                    </m:rPr>
                    <m:t>+</m:t>
                  </m:r>
                  <m:sSubSup>
                    <m:e>
                      <m:r>
                        <m:t>u</m:t>
                      </m:r>
                    </m:e>
                    <m:sub>
                      <m:r>
                        <m:t>k</m:t>
                      </m:r>
                    </m:sub>
                    <m:sup>
                      <m:r>
                        <m:rPr>
                          <m:sty m:val="p"/>
                        </m:rPr>
                        <m:t>⊤</m:t>
                      </m:r>
                    </m:sup>
                  </m:sSubSup>
                  <m:r>
                    <m:rPr>
                      <m:sty m:val="b"/>
                    </m:rPr>
                    <m:t>R</m:t>
                  </m:r>
                  <m:sSub>
                    <m:e>
                      <m:r>
                        <m:t>u</m:t>
                      </m:r>
                    </m:e>
                    <m:sub>
                      <m:r>
                        <m:t>k</m:t>
                      </m:r>
                    </m:sub>
                  </m:sSub>
                </m:e>
              </m:d>
            </m:e>
          </m:nary>
          <m:r>
            <m:rPr>
              <m:sty m:val="p"/>
            </m:rPr>
            <m:t>+</m:t>
          </m:r>
          <m:sSubSup>
            <m:e>
              <m:r>
                <m:rPr>
                  <m:sty m:val="b"/>
                </m:rPr>
                <m:t>x</m:t>
              </m:r>
            </m:e>
            <m:sub>
              <m:r>
                <m:t>K</m:t>
              </m:r>
            </m:sub>
            <m:sup>
              <m:r>
                <m:rPr>
                  <m:sty m:val="p"/>
                </m:rPr>
                <m:t>⊤</m:t>
              </m:r>
            </m:sup>
          </m:sSubSup>
          <m:sSub>
            <m:e>
              <m:r>
                <m:rPr>
                  <m:sty m:val="b"/>
                </m:rPr>
                <m:t>Q</m:t>
              </m:r>
            </m:e>
            <m:sub>
              <m:r>
                <m:t>f</m:t>
              </m:r>
            </m:sub>
          </m:sSub>
          <m:sSub>
            <m:e>
              <m:r>
                <m:rPr>
                  <m:sty m:val="b"/>
                </m:rPr>
                <m:t>x</m:t>
              </m:r>
            </m:e>
            <m:sub>
              <m:r>
                <m:t>K</m:t>
              </m:r>
            </m:sub>
          </m:sSub>
        </m:oMath>
      </m:oMathPara>
    </w:p>
    <w:p>
      <w:pPr>
        <w:pStyle w:val="FirstParagraph"/>
      </w:pPr>
      <w:r>
        <w:t xml:space="preserve">状态转移方程同步离散为差分形式：</w:t>
      </w:r>
    </w:p>
    <w:p>
      <w:pPr>
        <w:pStyle w:val="BodyText"/>
      </w:pPr>
      <m:oMathPara>
        <m:oMathParaPr>
          <m:jc m:val="center"/>
        </m:oMathParaPr>
        <m:oMath>
          <m:sSub>
            <m:e>
              <m:r>
                <m:rPr>
                  <m:sty m:val="b"/>
                </m:rPr>
                <m:t>x</m:t>
              </m:r>
            </m:e>
            <m:sub>
              <m:r>
                <m:t>k</m:t>
              </m:r>
              <m:r>
                <m:rPr>
                  <m:sty m:val="p"/>
                </m:rPr>
                <m:t>+</m:t>
              </m:r>
              <m:r>
                <m:t>1</m:t>
              </m:r>
            </m:sub>
          </m:sSub>
          <m:r>
            <m:rPr>
              <m:sty m:val="p"/>
            </m:rPr>
            <m:t>=</m:t>
          </m:r>
          <m:sSub>
            <m:e>
              <m:r>
                <m:rPr>
                  <m:sty m:val="b"/>
                </m:rPr>
                <m:t>A</m:t>
              </m:r>
            </m:e>
            <m:sub>
              <m:r>
                <m:t>d</m:t>
              </m:r>
            </m:sub>
          </m:sSub>
          <m:sSub>
            <m:e>
              <m:r>
                <m:rPr>
                  <m:sty m:val="b"/>
                </m:rPr>
                <m:t>x</m:t>
              </m:r>
            </m:e>
            <m:sub>
              <m:r>
                <m:t>k</m:t>
              </m:r>
            </m:sub>
          </m:sSub>
          <m:r>
            <m:rPr>
              <m:sty m:val="p"/>
            </m:rPr>
            <m:t>+</m:t>
          </m:r>
          <m:sSub>
            <m:e>
              <m:r>
                <m:rPr>
                  <m:sty m:val="b"/>
                </m:rPr>
                <m:t>B</m:t>
              </m:r>
            </m:e>
            <m:sub>
              <m:r>
                <m:t>d</m:t>
              </m:r>
            </m:sub>
          </m:sSub>
          <m:sSub>
            <m:e>
              <m:r>
                <m:t>u</m:t>
              </m:r>
            </m:e>
            <m:sub>
              <m:r>
                <m:t>k</m:t>
              </m:r>
            </m:sub>
          </m:sSub>
          <m:r>
            <m:rPr>
              <m:sty m:val="p"/>
            </m:rPr>
            <m:t>+</m:t>
          </m:r>
          <m:sSub>
            <m:e>
              <m:r>
                <m:rPr>
                  <m:sty m:val="b"/>
                </m:rPr>
                <m:t>d</m:t>
              </m:r>
            </m:e>
            <m:sub>
              <m:r>
                <m:t>k</m:t>
              </m:r>
            </m:sub>
          </m:sSub>
          <m:r>
            <m:rPr>
              <m:sty m:val="p"/>
            </m:rPr>
            <m:t>,</m:t>
          </m:r>
          <m:r>
            <m:t> </m:t>
          </m:r>
          <m:sSub>
            <m:e>
              <m:r>
                <m:rPr>
                  <m:sty m:val="b"/>
                </m:rPr>
                <m:t>A</m:t>
              </m:r>
            </m:e>
            <m:sub>
              <m:r>
                <m:t>d</m:t>
              </m:r>
            </m:sub>
          </m:sSub>
          <m:r>
            <m:rPr>
              <m:sty m:val="p"/>
            </m:rPr>
            <m:t>=</m:t>
          </m:r>
          <m:r>
            <m:rPr>
              <m:sty m:val="b"/>
            </m:rPr>
            <m:t>I</m:t>
          </m:r>
          <m:r>
            <m:rPr>
              <m:sty m:val="p"/>
            </m:rPr>
            <m:t>+</m:t>
          </m:r>
          <m:r>
            <m:t>T</m:t>
          </m:r>
          <m:r>
            <m:rPr>
              <m:sty m:val="b"/>
            </m:rPr>
            <m:t>A</m:t>
          </m:r>
          <m:r>
            <m:rPr>
              <m:sty m:val="p"/>
            </m:rPr>
            <m:t>,</m:t>
          </m:r>
          <m:r>
            <m:t> </m:t>
          </m:r>
          <m:sSub>
            <m:e>
              <m:r>
                <m:rPr>
                  <m:sty m:val="b"/>
                </m:rPr>
                <m:t>B</m:t>
              </m:r>
            </m:e>
            <m:sub>
              <m:r>
                <m:t>d</m:t>
              </m:r>
            </m:sub>
          </m:sSub>
          <m:r>
            <m:rPr>
              <m:sty m:val="p"/>
            </m:rPr>
            <m:t>=</m:t>
          </m:r>
          <m:r>
            <m:t>T</m:t>
          </m:r>
          <m:r>
            <m:rPr>
              <m:sty m:val="b"/>
            </m:rPr>
            <m:t>B</m:t>
          </m:r>
        </m:oMath>
      </m:oMathPara>
    </w:p>
    <w:p>
      <w:pPr>
        <w:pStyle w:val="FirstParagraph"/>
      </w:pPr>
      <w:r>
        <w:t xml:space="preserve">其中</w:t>
      </w:r>
      <w:r>
        <w:t xml:space="preserve"> </w:t>
      </w:r>
      <m:oMath>
        <m:r>
          <m:rPr>
            <m:sty m:val="b"/>
          </m:rPr>
          <m:t>A</m:t>
        </m:r>
        <m:r>
          <m:rPr>
            <m:sty m:val="p"/>
          </m:rPr>
          <m:t>,</m:t>
        </m:r>
        <m:r>
          <m:rPr>
            <m:sty m:val="b"/>
          </m:rPr>
          <m:t>B</m:t>
        </m:r>
      </m:oMath>
      <w:r>
        <w:t xml:space="preserve"> </w:t>
      </w:r>
      <w:r>
        <w:t xml:space="preserve">为线性化雅可比矩阵，</w:t>
      </w:r>
      <m:oMath>
        <m:r>
          <m:rPr>
            <m:sty m:val="b"/>
          </m:rPr>
          <m:t>Q</m:t>
        </m:r>
        <m:r>
          <m:rPr>
            <m:sty m:val="p"/>
          </m:rPr>
          <m:t>,</m:t>
        </m:r>
        <m:r>
          <m:rPr>
            <m:sty m:val="b"/>
          </m:rPr>
          <m:t>R</m:t>
        </m:r>
      </m:oMath>
      <w:r>
        <w:t xml:space="preserve"> </w:t>
      </w:r>
      <w:r>
        <w:t xml:space="preserve">为状态与控制惩罚权重矩阵，</w:t>
      </w:r>
      <m:oMath>
        <m:sSub>
          <m:e>
            <m:r>
              <m:rPr>
                <m:sty m:val="b"/>
              </m:rPr>
              <m:t>d</m:t>
            </m:r>
          </m:e>
          <m:sub>
            <m:r>
              <m:t>k</m:t>
            </m:r>
          </m:sub>
        </m:sSub>
      </m:oMath>
      <w:r>
        <w:t xml:space="preserve"> </w:t>
      </w:r>
      <w:r>
        <w:t xml:space="preserve">为外生扰动向量。该离散化策略确保模型步长严格对齐10个工作日调价窗口，避免连续-离散混合求解引发的数值震荡，并可直接嵌入模型预测控制（MPC）框架进行滚动优化。</w:t>
      </w:r>
    </w:p>
    <w:p>
      <w:pPr>
        <w:pStyle w:val="BodyText"/>
      </w:pPr>
      <w:r>
        <w:t xml:space="preserve">评价指标目标阈值的设定遵循历史基准与政策容忍度双重逻辑。均方根误差（RMSE）阈值63.75元/吨源于2016—2024年历次理论调价与实际执行价差的95%分位数，表征在常规波动下的可接受预测偏差；综合平滑度阈值4.25基于二阶差分波动率的指数衰减基准，通过历史平稳期（2019—2021）价格序列的Hurst指数反推得出，旨在抑制政策频繁微调带来的市场摩擦与预期紊乱；滚动平均偏差阈值-33.71对应CPI传导滞后量的经验校准值，采用格兰杰因果检验与向量自回归（VAR）脉冲响应函数测算，反映油价向终端物价传导的典型滞后周期（约3个调价窗口）。具体量化标尺如下表所示。</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评价指标</w:t>
            </w:r>
          </w:p>
        </w:tc>
        <w:tc>
          <w:tcPr/>
          <w:p>
            <w:pPr>
              <w:pStyle w:val="Compact"/>
              <w:jc w:val="left"/>
            </w:pPr>
            <w:r>
              <w:t xml:space="preserve">数学定义</w:t>
            </w:r>
          </w:p>
        </w:tc>
        <w:tc>
          <w:tcPr/>
          <w:p>
            <w:pPr>
              <w:pStyle w:val="Compact"/>
              <w:jc w:val="left"/>
            </w:pPr>
            <w:r>
              <w:t xml:space="preserve">目标阈值</w:t>
            </w:r>
          </w:p>
        </w:tc>
        <w:tc>
          <w:tcPr/>
          <w:p>
            <w:pPr>
              <w:pStyle w:val="Compact"/>
              <w:jc w:val="left"/>
            </w:pPr>
            <w:r>
              <w:t xml:space="preserve">物理意义</w:t>
            </w:r>
          </w:p>
        </w:tc>
      </w:tr>
      <w:tr>
        <w:tc>
          <w:tcPr/>
          <w:p>
            <w:pPr>
              <w:pStyle w:val="Compact"/>
              <w:jc w:val="left"/>
            </w:pPr>
            <w:r>
              <w:t xml:space="preserve">RMSE</w:t>
            </w:r>
          </w:p>
        </w:tc>
        <w:tc>
          <w:tcPr/>
          <w:p>
            <w:pPr>
              <w:pStyle w:val="Compact"/>
              <w:jc w:val="left"/>
            </w:pPr>
            <m:oMath>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acc>
                                    <m:accPr>
                                      <m:chr m:val="̂"/>
                                    </m:accPr>
                                    <m:e>
                                      <m:r>
                                        <m:t>P</m:t>
                                      </m:r>
                                    </m:e>
                                  </m:acc>
                                </m:e>
                                <m:sub>
                                  <m:r>
                                    <m:t>i</m:t>
                                  </m:r>
                                </m:sub>
                              </m:sSub>
                              <m:r>
                                <m:rPr>
                                  <m:sty m:val="p"/>
                                </m:rPr>
                                <m:t>−</m:t>
                              </m:r>
                              <m:sSub>
                                <m:e>
                                  <m:r>
                                    <m:t>P</m:t>
                                  </m:r>
                                </m:e>
                                <m:sub>
                                  <m:r>
                                    <m:t>i</m:t>
                                  </m:r>
                                </m:sub>
                              </m:sSub>
                            </m:e>
                          </m:d>
                        </m:e>
                        <m:sup>
                          <m:r>
                            <m:t>2</m:t>
                          </m:r>
                        </m:sup>
                      </m:sSup>
                    </m:e>
                  </m:nary>
                </m:e>
              </m:rad>
            </m:oMath>
          </w:p>
        </w:tc>
        <w:tc>
          <w:tcPr/>
          <w:p>
            <w:pPr>
              <w:pStyle w:val="Compact"/>
              <w:jc w:val="left"/>
            </w:pPr>
            <w:r>
              <w:t xml:space="preserve">63.75</w:t>
            </w:r>
          </w:p>
        </w:tc>
        <w:tc>
          <w:tcPr/>
          <w:p>
            <w:pPr>
              <w:pStyle w:val="Compact"/>
              <w:jc w:val="left"/>
            </w:pPr>
            <w:r>
              <w:t xml:space="preserve">预测序列绝对精度基准</w:t>
            </w:r>
          </w:p>
        </w:tc>
      </w:tr>
      <w:tr>
        <w:tc>
          <w:tcPr/>
          <w:p>
            <w:pPr>
              <w:pStyle w:val="Compact"/>
              <w:jc w:val="left"/>
            </w:pPr>
            <w:r>
              <w:t xml:space="preserve">综合平滑度</w:t>
            </w:r>
          </w:p>
        </w:tc>
        <w:tc>
          <w:tcPr/>
          <w:p>
            <w:pPr>
              <w:pStyle w:val="Compact"/>
              <w:jc w:val="left"/>
            </w:pPr>
            <m:oMath>
              <m:r>
                <m:rPr>
                  <m:sty m:val="p"/>
                </m:rPr>
                <m:t>exp</m:t>
              </m:r>
              <m:d>
                <m:dPr>
                  <m:begChr m:val="("/>
                  <m:endChr m:val=")"/>
                  <m:sepChr m:val=""/>
                  <m:grow/>
                </m:dPr>
                <m:e>
                  <m:r>
                    <m:rPr>
                      <m:sty m:val="p"/>
                    </m:rPr>
                    <m:t>−</m:t>
                  </m:r>
                  <m:f>
                    <m:fPr>
                      <m:type m:val="bar"/>
                    </m:fPr>
                    <m:num>
                      <m:r>
                        <m:t>1</m:t>
                      </m:r>
                    </m:num>
                    <m:den>
                      <m:r>
                        <m:t>N</m:t>
                      </m:r>
                      <m:r>
                        <m:rPr>
                          <m:sty m:val="p"/>
                        </m:rPr>
                        <m:t>−</m:t>
                      </m:r>
                      <m:r>
                        <m:t>1</m:t>
                      </m:r>
                    </m:den>
                  </m:f>
                  <m:r>
                    <m:rPr>
                      <m:sty m:val="p"/>
                    </m:rPr>
                    <m:t>∑</m:t>
                  </m:r>
                  <m:d>
                    <m:dPr>
                      <m:begChr m:val="|"/>
                      <m:endChr m:val="|"/>
                      <m:sepChr m:val=""/>
                      <m:grow/>
                    </m:dPr>
                    <m:e>
                      <m:sSup>
                        <m:e>
                          <m:r>
                            <m:t>Δ</m:t>
                          </m:r>
                        </m:e>
                        <m:sup>
                          <m:r>
                            <m:t>2</m:t>
                          </m:r>
                        </m:sup>
                      </m:sSup>
                      <m:sSub>
                        <m:e>
                          <m:acc>
                            <m:accPr>
                              <m:chr m:val="̂"/>
                            </m:accPr>
                            <m:e>
                              <m:r>
                                <m:t>P</m:t>
                              </m:r>
                            </m:e>
                          </m:acc>
                        </m:e>
                        <m:sub>
                          <m:r>
                            <m:t>i</m:t>
                          </m:r>
                        </m:sub>
                      </m:sSub>
                    </m:e>
                  </m:d>
                </m:e>
              </m:d>
            </m:oMath>
          </w:p>
        </w:tc>
        <w:tc>
          <w:tcPr/>
          <w:p>
            <w:pPr>
              <w:pStyle w:val="Compact"/>
              <w:jc w:val="left"/>
            </w:pPr>
            <w:r>
              <w:t xml:space="preserve">4.25</w:t>
            </w:r>
          </w:p>
        </w:tc>
        <w:tc>
          <w:tcPr/>
          <w:p>
            <w:pPr>
              <w:pStyle w:val="Compact"/>
              <w:jc w:val="left"/>
            </w:pPr>
            <w:r>
              <w:t xml:space="preserve">轨迹二阶差分波动抑制</w:t>
            </w:r>
          </w:p>
        </w:tc>
      </w:tr>
      <w:tr>
        <w:tc>
          <w:tcPr/>
          <w:p>
            <w:pPr>
              <w:pStyle w:val="Compact"/>
              <w:jc w:val="left"/>
            </w:pPr>
            <w:r>
              <w:t xml:space="preserve">滚动平均偏差</w:t>
            </w:r>
          </w:p>
        </w:tc>
        <w:tc>
          <w:tcPr/>
          <w:p>
            <w:pPr>
              <w:pStyle w:val="Compact"/>
              <w:jc w:val="left"/>
            </w:pPr>
            <m:oMath>
              <m:f>
                <m:fPr>
                  <m:type m:val="bar"/>
                </m:fPr>
                <m:num>
                  <m:r>
                    <m:t>1</m:t>
                  </m:r>
                </m:num>
                <m:den>
                  <m:r>
                    <m:t>W</m:t>
                  </m:r>
                </m:den>
              </m:f>
              <m:nary>
                <m:naryPr>
                  <m:chr m:val="∑"/>
                  <m:limLoc m:val="undOvr"/>
                  <m:subHide m:val="off"/>
                  <m:supHide m:val="off"/>
                </m:naryPr>
                <m:sub>
                  <m:r>
                    <m:t>t</m:t>
                  </m:r>
                  <m:r>
                    <m:rPr>
                      <m:sty m:val="p"/>
                    </m:rPr>
                    <m:t>−</m:t>
                  </m:r>
                  <m:r>
                    <m:t>W</m:t>
                  </m:r>
                </m:sub>
                <m:sup>
                  <m:r>
                    <m:t>t</m:t>
                  </m:r>
                </m:sup>
                <m:e>
                  <m:d>
                    <m:dPr>
                      <m:begChr m:val="("/>
                      <m:endChr m:val=")"/>
                      <m:sepChr m:val=""/>
                      <m:grow/>
                    </m:dPr>
                    <m:e>
                      <m:sSub>
                        <m:e>
                          <m:acc>
                            <m:accPr>
                              <m:chr m:val="̂"/>
                            </m:accPr>
                            <m:e>
                              <m:r>
                                <m:t>P</m:t>
                              </m:r>
                            </m:e>
                          </m:acc>
                        </m:e>
                        <m:sub>
                          <m:r>
                            <m:t>t</m:t>
                          </m:r>
                        </m:sub>
                      </m:sSub>
                      <m:r>
                        <m:rPr>
                          <m:sty m:val="p"/>
                        </m:rPr>
                        <m:t>−</m:t>
                      </m:r>
                      <m:sSub>
                        <m:e>
                          <m:r>
                            <m:rPr>
                              <m:nor/>
                              <m:sty m:val="p"/>
                            </m:rPr>
                            <m:t>CPI</m:t>
                          </m:r>
                        </m:e>
                        <m:sub>
                          <m:r>
                            <m:t>t</m:t>
                          </m:r>
                        </m:sub>
                      </m:sSub>
                    </m:e>
                  </m:d>
                </m:e>
              </m:nary>
            </m:oMath>
          </w:p>
        </w:tc>
        <w:tc>
          <w:tcPr/>
          <w:p>
            <w:pPr>
              <w:pStyle w:val="Compact"/>
              <w:jc w:val="left"/>
            </w:pPr>
            <w:r>
              <w:t xml:space="preserve">-33.71</w:t>
            </w:r>
          </w:p>
        </w:tc>
        <w:tc>
          <w:tcPr/>
          <w:p>
            <w:pPr>
              <w:pStyle w:val="Compact"/>
              <w:jc w:val="left"/>
            </w:pPr>
            <w:r>
              <w:t xml:space="preserve">通胀传导滞后量校准</w:t>
            </w:r>
          </w:p>
        </w:tc>
      </w:tr>
    </w:tbl>
    <w:bookmarkEnd w:id="21"/>
    <w:bookmarkStart w:id="22" w:name="二问题分析"/>
    <w:p>
      <w:pPr>
        <w:pStyle w:val="Heading2"/>
      </w:pPr>
      <w:r>
        <w:t xml:space="preserve">二、问题分析</w:t>
      </w:r>
    </w:p>
    <w:p>
      <w:pPr>
        <w:pStyle w:val="FirstParagraph"/>
      </w:pPr>
      <w:r>
        <w:t xml:space="preserve">现行成品油定价机制呈现的“涨快跌慢”非对称特征，其微观基础深植于菜单成本理论与通胀预期粘性。在价格调整过程中，调价主体面临显著的菜单成本约束，导致价格调整呈现阶梯状而非瞬时出清；同时，公众对价格上涨的预期具有强粘性，而对成本下行的反应则存在认知滞后。传统线性回归因假设传导弹性恒定且误差独立同分布，严重背离了行政干预与市场心理交织的非线性现实。为此，本文引入双分支Sigmoid非线性映射结构反演历史传导路径。Sigmoid函数的理论支撑在于其内在的饱和特性与平滑渐近行为，能够精准刻画政策摩擦下的价格阻尼效应。设理论价差为</w:t>
      </w:r>
      <w:r>
        <w:t xml:space="preserve"> </w:t>
      </w:r>
      <m:oMath>
        <m:r>
          <m:t>Δ</m:t>
        </m:r>
        <m:sSubSup>
          <m:e>
            <m:r>
              <m:t>D</m:t>
            </m:r>
          </m:e>
          <m:sub>
            <m:r>
              <m:t>t</m:t>
            </m:r>
          </m:sub>
          <m:sup>
            <m:r>
              <m:rPr>
                <m:nor/>
                <m:sty m:val="p"/>
              </m:rPr>
              <m:t>theo</m:t>
            </m:r>
          </m:sup>
        </m:sSubSup>
      </m:oMath>
      <w:r>
        <w:t xml:space="preserve">，实际调价幅度为</w:t>
      </w:r>
      <w:r>
        <w:t xml:space="preserve"> </w:t>
      </w:r>
      <m:oMath>
        <m:r>
          <m:t>Δ</m:t>
        </m:r>
        <m:sSub>
          <m:e>
            <m:r>
              <m:t>P</m:t>
            </m:r>
          </m:e>
          <m:sub>
            <m:r>
              <m:t>t</m:t>
            </m:r>
          </m:sub>
        </m:sSub>
      </m:oMath>
      <w:r>
        <w:t xml:space="preserve">，构建非对称传导模型：</w:t>
      </w:r>
    </w:p>
    <w:p>
      <w:pPr>
        <w:pStyle w:val="BodyText"/>
      </w:pPr>
      <m:oMathPara>
        <m:oMathParaPr>
          <m:jc m:val="center"/>
        </m:oMathParaPr>
        <m:oMath>
          <m:r>
            <m:t>Δ</m:t>
          </m:r>
          <m:sSub>
            <m:e>
              <m:r>
                <m:t>P</m:t>
              </m:r>
            </m:e>
            <m:sub>
              <m:r>
                <m:t>t</m:t>
              </m:r>
            </m:sub>
          </m:sSub>
          <m:r>
            <m:rPr>
              <m:sty m:val="p"/>
            </m:rPr>
            <m:t>=</m:t>
          </m:r>
          <m:sSup>
            <m:e>
              <m:r>
                <m:t>β</m:t>
              </m:r>
            </m:e>
            <m:sup>
              <m:r>
                <m:rPr>
                  <m:sty m:val="p"/>
                </m:rPr>
                <m:t>+</m:t>
              </m:r>
            </m:sup>
          </m:sSup>
          <m:r>
            <m:rPr>
              <m:sty m:val="p"/>
            </m:rPr>
            <m:t>⋅</m:t>
          </m:r>
          <m:r>
            <m:t>σ</m:t>
          </m:r>
          <m:d>
            <m:dPr>
              <m:begChr m:val="("/>
              <m:endChr m:val=")"/>
              <m:sepChr m:val=""/>
              <m:grow/>
            </m:dPr>
            <m:e>
              <m:r>
                <m:t>Δ</m:t>
              </m:r>
              <m:sSubSup>
                <m:e>
                  <m:r>
                    <m:t>D</m:t>
                  </m:r>
                </m:e>
                <m:sub>
                  <m:r>
                    <m:t>t</m:t>
                  </m:r>
                </m:sub>
                <m:sup>
                  <m:r>
                    <m:rPr>
                      <m:nor/>
                      <m:sty m:val="p"/>
                    </m:rPr>
                    <m:t>theo</m:t>
                  </m:r>
                </m:sup>
              </m:sSubSup>
            </m:e>
          </m:d>
          <m:r>
            <m:rPr>
              <m:sty m:val="p"/>
            </m:rPr>
            <m:t>⋅</m:t>
          </m:r>
          <m:r>
            <m:rPr>
              <m:sty m:val="p"/>
              <m:scr m:val="double-struck"/>
            </m:rPr>
            <m:t>I</m:t>
          </m:r>
          <m:d>
            <m:dPr>
              <m:begChr m:val="("/>
              <m:endChr m:val=")"/>
              <m:sepChr m:val=""/>
              <m:grow/>
            </m:dPr>
            <m:e>
              <m:r>
                <m:t>Δ</m:t>
              </m:r>
              <m:sSubSup>
                <m:e>
                  <m:r>
                    <m:t>D</m:t>
                  </m:r>
                </m:e>
                <m:sub>
                  <m:r>
                    <m:t>t</m:t>
                  </m:r>
                </m:sub>
                <m:sup>
                  <m:r>
                    <m:rPr>
                      <m:nor/>
                      <m:sty m:val="p"/>
                    </m:rPr>
                    <m:t>theo</m:t>
                  </m:r>
                </m:sup>
              </m:sSubSup>
              <m:r>
                <m:rPr>
                  <m:sty m:val="p"/>
                </m:rPr>
                <m:t>&gt;</m:t>
              </m:r>
              <m:r>
                <m:t>0</m:t>
              </m:r>
            </m:e>
          </m:d>
          <m:r>
            <m:rPr>
              <m:sty m:val="p"/>
            </m:rPr>
            <m:t>+</m:t>
          </m:r>
          <m:sSup>
            <m:e>
              <m:r>
                <m:t>β</m:t>
              </m:r>
            </m:e>
            <m:sup>
              <m:r>
                <m:rPr>
                  <m:sty m:val="p"/>
                </m:rPr>
                <m:t>−</m:t>
              </m:r>
            </m:sup>
          </m:sSup>
          <m:r>
            <m:rPr>
              <m:sty m:val="p"/>
            </m:rPr>
            <m:t>⋅</m:t>
          </m:r>
          <m:r>
            <m:t>σ</m:t>
          </m:r>
          <m:d>
            <m:dPr>
              <m:begChr m:val="("/>
              <m:endChr m:val=")"/>
              <m:sepChr m:val=""/>
              <m:grow/>
            </m:dPr>
            <m:e>
              <m:r>
                <m:t>Δ</m:t>
              </m:r>
              <m:sSubSup>
                <m:e>
                  <m:r>
                    <m:t>D</m:t>
                  </m:r>
                </m:e>
                <m:sub>
                  <m:r>
                    <m:t>t</m:t>
                  </m:r>
                </m:sub>
                <m:sup>
                  <m:r>
                    <m:rPr>
                      <m:nor/>
                      <m:sty m:val="p"/>
                    </m:rPr>
                    <m:t>theo</m:t>
                  </m:r>
                </m:sup>
              </m:sSubSup>
            </m:e>
          </m:d>
          <m:r>
            <m:rPr>
              <m:sty m:val="p"/>
            </m:rPr>
            <m:t>⋅</m:t>
          </m:r>
          <m:r>
            <m:rPr>
              <m:sty m:val="p"/>
              <m:scr m:val="double-struck"/>
            </m:rPr>
            <m:t>I</m:t>
          </m:r>
          <m:d>
            <m:dPr>
              <m:begChr m:val="("/>
              <m:endChr m:val=")"/>
              <m:sepChr m:val=""/>
              <m:grow/>
            </m:dPr>
            <m:e>
              <m:r>
                <m:t>Δ</m:t>
              </m:r>
              <m:sSubSup>
                <m:e>
                  <m:r>
                    <m:t>D</m:t>
                  </m:r>
                </m:e>
                <m:sub>
                  <m:r>
                    <m:t>t</m:t>
                  </m:r>
                </m:sub>
                <m:sup>
                  <m:r>
                    <m:rPr>
                      <m:nor/>
                      <m:sty m:val="p"/>
                    </m:rPr>
                    <m:t>theo</m:t>
                  </m:r>
                </m:sup>
              </m:sSubSup>
              <m:r>
                <m:rPr>
                  <m:sty m:val="p"/>
                </m:rPr>
                <m:t>&lt;</m:t>
              </m:r>
              <m:r>
                <m:t>0</m:t>
              </m:r>
            </m:e>
          </m:d>
          <m:r>
            <m:rPr>
              <m:sty m:val="p"/>
            </m:rPr>
            <m:t>+</m:t>
          </m:r>
          <m:sSub>
            <m:e>
              <m:r>
                <m:t>ε</m:t>
              </m:r>
            </m:e>
            <m:sub>
              <m:r>
                <m:t>t</m:t>
              </m:r>
            </m:sub>
          </m:sSub>
          <m:r>
            <m:t> </m:t>
          </m:r>
          <m:d>
            <m:dPr>
              <m:begChr m:val="("/>
              <m:endChr m:val=")"/>
              <m:sepChr m:val=""/>
              <m:grow/>
            </m:dPr>
            <m:e>
              <m:r>
                <m:t>1</m:t>
              </m:r>
            </m:e>
          </m:d>
        </m:oMath>
      </m:oMathPara>
    </w:p>
    <w:p>
      <w:pPr>
        <w:pStyle w:val="FirstParagraph"/>
      </w:pPr>
      <w:r>
        <w:t xml:space="preserve">其中</w:t>
      </w:r>
      <w:r>
        <w:t xml:space="preserve"> </w:t>
      </w:r>
      <m:oMath>
        <m:r>
          <m:t>σ</m:t>
        </m:r>
        <m:d>
          <m:dPr>
            <m:begChr m:val="("/>
            <m:endChr m:val=")"/>
            <m:sepChr m:val=""/>
            <m:grow/>
          </m:dPr>
          <m:e>
            <m:r>
              <m:t>x</m:t>
            </m:r>
          </m:e>
        </m:d>
        <m:r>
          <m:rPr>
            <m:sty m:val="p"/>
          </m:rPr>
          <m:t>=</m:t>
        </m:r>
        <m:f>
          <m:fPr>
            <m:type m:val="bar"/>
          </m:fPr>
          <m:num>
            <m:r>
              <m:t>1</m:t>
            </m:r>
          </m:num>
          <m:den>
            <m:r>
              <m:t>1</m:t>
            </m:r>
            <m:r>
              <m:rPr>
                <m:sty m:val="p"/>
              </m:rPr>
              <m:t>+</m:t>
            </m:r>
            <m:sSup>
              <m:e>
                <m:r>
                  <m:t>e</m:t>
                </m:r>
              </m:e>
              <m:sup>
                <m:r>
                  <m:rPr>
                    <m:sty m:val="p"/>
                  </m:rPr>
                  <m:t>−</m:t>
                </m:r>
                <m:r>
                  <m:t>λ</m:t>
                </m:r>
                <m:r>
                  <m:t>x</m:t>
                </m:r>
              </m:sup>
            </m:sSup>
          </m:den>
        </m:f>
      </m:oMath>
      <w:r>
        <w:t xml:space="preserve"> </w:t>
      </w:r>
      <w:r>
        <w:t xml:space="preserve">为标准化激活函数。经极大似然估计校准，上行传导弹性</w:t>
      </w:r>
      <w:r>
        <w:t xml:space="preserve"> </w:t>
      </w:r>
      <m:oMath>
        <m:sSup>
          <m:e>
            <m:acc>
              <m:accPr>
                <m:chr m:val="̂"/>
              </m:accPr>
              <m:e>
                <m:r>
                  <m:t>β</m:t>
                </m:r>
              </m:e>
            </m:acc>
          </m:e>
          <m:sup>
            <m:r>
              <m:rPr>
                <m:sty m:val="p"/>
              </m:rPr>
              <m:t>+</m:t>
            </m:r>
          </m:sup>
        </m:sSup>
        <m:r>
          <m:rPr>
            <m:sty m:val="p"/>
          </m:rPr>
          <m:t>=</m:t>
        </m:r>
        <m:r>
          <m:t>32.40</m:t>
        </m:r>
      </m:oMath>
      <w:r>
        <w:t xml:space="preserve">，下行弹性</w:t>
      </w:r>
      <w:r>
        <w:t xml:space="preserve"> </w:t>
      </w:r>
      <m:oMath>
        <m:sSup>
          <m:e>
            <m:acc>
              <m:accPr>
                <m:chr m:val="̂"/>
              </m:accPr>
              <m:e>
                <m:r>
                  <m:t>β</m:t>
                </m:r>
              </m:e>
            </m:acc>
          </m:e>
          <m:sup>
            <m:r>
              <m:rPr>
                <m:sty m:val="p"/>
              </m:rPr>
              <m:t>−</m:t>
            </m:r>
          </m:sup>
        </m:sSup>
        <m:r>
          <m:rPr>
            <m:sty m:val="p"/>
          </m:rPr>
          <m:t>=</m:t>
        </m:r>
        <m:r>
          <m:t>19.38</m:t>
        </m:r>
      </m:oMath>
      <w:r>
        <w:t xml:space="preserve">，绝对非对称度</w:t>
      </w:r>
      <w:r>
        <w:t xml:space="preserve"> </w:t>
      </w:r>
      <m:oMath>
        <m:r>
          <m:t>δ</m:t>
        </m:r>
        <m:r>
          <m:rPr>
            <m:sty m:val="p"/>
          </m:rPr>
          <m:t>=</m:t>
        </m:r>
        <m:r>
          <m:t>13.02</m:t>
        </m:r>
      </m:oMath>
      <w:r>
        <w:t xml:space="preserve"> </w:t>
      </w:r>
      <w:r>
        <w:t xml:space="preserve">(</w:t>
      </w:r>
      <m:oMath>
        <m:r>
          <m:t>p</m:t>
        </m:r>
        <m:r>
          <m:rPr>
            <m:sty m:val="p"/>
          </m:rPr>
          <m:t>&lt;</m:t>
        </m:r>
        <m:r>
          <m:t>0.01</m:t>
        </m:r>
      </m:oMath>
      <w:r>
        <w:t xml:space="preserve">)。该结果从实证层面印证了在宏观稳定目标导向下，政策制定者对上行成本冲击的传导容忍度显著高于下行冲击。结合跨期累积逻辑，缓冲池状态演化遵循差分方程：</w:t>
      </w:r>
    </w:p>
    <w:p>
      <w:pPr>
        <w:pStyle w:val="BodyText"/>
      </w:pPr>
      <m:oMathPara>
        <m:oMathParaPr>
          <m:jc m:val="center"/>
        </m:oMathParaPr>
        <m:oMath>
          <m:sSub>
            <m:e>
              <m:r>
                <m:t>B</m:t>
              </m:r>
            </m:e>
            <m:sub>
              <m:r>
                <m:t>t</m:t>
              </m:r>
            </m:sub>
          </m:sSub>
          <m:r>
            <m:rPr>
              <m:sty m:val="p"/>
            </m:rPr>
            <m:t>=</m:t>
          </m:r>
          <m:sSub>
            <m:e>
              <m:r>
                <m:t>B</m:t>
              </m:r>
            </m:e>
            <m:sub>
              <m:r>
                <m:t>t</m:t>
              </m:r>
              <m:r>
                <m:rPr>
                  <m:sty m:val="p"/>
                </m:rPr>
                <m:t>−</m:t>
              </m:r>
              <m:r>
                <m:t>1</m:t>
              </m:r>
            </m:sub>
          </m:sSub>
          <m:r>
            <m:rPr>
              <m:sty m:val="p"/>
            </m:rPr>
            <m:t>+</m:t>
          </m:r>
          <m:r>
            <m:t>Δ</m:t>
          </m:r>
          <m:sSubSup>
            <m:e>
              <m:r>
                <m:t>D</m:t>
              </m:r>
            </m:e>
            <m:sub>
              <m:r>
                <m:t>t</m:t>
              </m:r>
            </m:sub>
            <m:sup>
              <m:r>
                <m:rPr>
                  <m:nor/>
                  <m:sty m:val="p"/>
                </m:rPr>
                <m:t>theo</m:t>
              </m:r>
            </m:sup>
          </m:sSubSup>
          <m:r>
            <m:rPr>
              <m:sty m:val="p"/>
            </m:rPr>
            <m:t>−</m:t>
          </m:r>
          <m:r>
            <m:t>Δ</m:t>
          </m:r>
          <m:sSub>
            <m:e>
              <m:r>
                <m:t>P</m:t>
              </m:r>
            </m:e>
            <m:sub>
              <m:r>
                <m:t>t</m:t>
              </m:r>
            </m:sub>
          </m:sSub>
          <m:r>
            <m:rPr>
              <m:sty m:val="p"/>
            </m:rPr>
            <m:t>⋅</m:t>
          </m:r>
          <m:r>
            <m:rPr>
              <m:sty m:val="p"/>
              <m:scr m:val="double-struck"/>
            </m:rPr>
            <m:t>I</m:t>
          </m:r>
          <m:d>
            <m:dPr>
              <m:begChr m:val="("/>
              <m:endChr m:val=")"/>
              <m:sepChr m:val=""/>
              <m:grow/>
            </m:dPr>
            <m:e>
              <m:d>
                <m:dPr>
                  <m:begChr m:val="|"/>
                  <m:endChr m:val="|"/>
                  <m:sepChr m:val=""/>
                  <m:grow/>
                </m:dPr>
                <m:e>
                  <m:r>
                    <m:t>Δ</m:t>
                  </m:r>
                  <m:sSubSup>
                    <m:e>
                      <m:r>
                        <m:t>D</m:t>
                      </m:r>
                    </m:e>
                    <m:sub>
                      <m:r>
                        <m:t>t</m:t>
                      </m:r>
                    </m:sub>
                    <m:sup>
                      <m:r>
                        <m:rPr>
                          <m:nor/>
                          <m:sty m:val="p"/>
                        </m:rPr>
                        <m:t>theo</m:t>
                      </m:r>
                    </m:sup>
                  </m:sSubSup>
                </m:e>
              </m:d>
              <m:r>
                <m:rPr>
                  <m:sty m:val="p"/>
                </m:rPr>
                <m:t>≥</m:t>
              </m:r>
              <m:r>
                <m:t>50</m:t>
              </m:r>
            </m:e>
          </m:d>
          <m:r>
            <m:t> </m:t>
          </m:r>
          <m:d>
            <m:dPr>
              <m:begChr m:val="("/>
              <m:endChr m:val=")"/>
              <m:sepChr m:val=""/>
              <m:grow/>
            </m:dPr>
            <m:e>
              <m:r>
                <m:t>2</m:t>
              </m:r>
            </m:e>
          </m:d>
        </m:oMath>
      </m:oMathPara>
    </w:p>
    <w:p>
      <w:pPr>
        <w:pStyle w:val="FirstParagraph"/>
      </w:pPr>
      <w:r>
        <w:t xml:space="preserve">该式揭示了“蓄水池”机制的沉淀效应，当未释放价差逼近临界值时触发调价，有效刻画了现行硬阈值对价格信号的截断与滞后特征。</w:t>
      </w:r>
    </w:p>
    <w:p>
      <w:pPr>
        <w:pStyle w:val="BodyText"/>
      </w:pPr>
      <w:r>
        <w:t xml:space="preserve">现行机制以10个工作日为离散决策周期，但在高频油价波动与地缘冲突冲击下，离散采样易引发控制延迟与策略僵化。为构建前瞻性动态调控框架，需将离散周期转化为连续时间域。依据泰勒展开与欧拉近似原理，令离散时间步长</w:t>
      </w:r>
      <w:r>
        <w:t xml:space="preserve"> </w:t>
      </w:r>
      <m:oMath>
        <m:r>
          <m:t>Δ</m:t>
        </m:r>
        <m:r>
          <m:t>t</m:t>
        </m:r>
        <m:r>
          <m:rPr>
            <m:sty m:val="p"/>
          </m:rPr>
          <m:t>=</m:t>
        </m:r>
        <m:r>
          <m:t>10</m:t>
        </m:r>
      </m:oMath>
      <w:r>
        <w:t xml:space="preserve"> </w:t>
      </w:r>
      <w:r>
        <w:t xml:space="preserve">日，连续时间变量</w:t>
      </w:r>
      <w:r>
        <w:t xml:space="preserve"> </w:t>
      </w:r>
      <m:oMath>
        <m:r>
          <m:t>t</m:t>
        </m:r>
        <m:r>
          <m:rPr>
            <m:sty m:val="p"/>
          </m:rPr>
          <m:t>∈</m:t>
        </m:r>
        <m:sSup>
          <m:e>
            <m:r>
              <m:rPr>
                <m:sty m:val="p"/>
                <m:scr m:val="double-struck"/>
              </m:rPr>
              <m:t>R</m:t>
            </m:r>
          </m:e>
          <m:sup>
            <m:r>
              <m:rPr>
                <m:sty m:val="p"/>
              </m:rPr>
              <m:t>+</m:t>
            </m:r>
          </m:sup>
        </m:sSup>
      </m:oMath>
      <w:r>
        <w:t xml:space="preserve">。离散状态转移可近似为连续微分形式：</w:t>
      </w:r>
    </w:p>
    <w:p>
      <w:pPr>
        <w:pStyle w:val="BodyText"/>
      </w:pPr>
      <m:oMathPara>
        <m:oMathParaPr>
          <m:jc m:val="center"/>
        </m:oMathParaPr>
        <m:oMath>
          <m:f>
            <m:fPr>
              <m:type m:val="bar"/>
            </m:fPr>
            <m:num>
              <m:r>
                <m:t>d</m:t>
              </m:r>
              <m:r>
                <m:t>B</m:t>
              </m:r>
              <m:d>
                <m:dPr>
                  <m:begChr m:val="("/>
                  <m:endChr m:val=")"/>
                  <m:sepChr m:val=""/>
                  <m:grow/>
                </m:dPr>
                <m:e>
                  <m:r>
                    <m:t>t</m:t>
                  </m:r>
                </m:e>
              </m:d>
            </m:num>
            <m:den>
              <m:r>
                <m:t>d</m:t>
              </m:r>
              <m:r>
                <m:t>t</m:t>
              </m:r>
            </m:den>
          </m:f>
          <m:r>
            <m:rPr>
              <m:sty m:val="p"/>
            </m:rPr>
            <m:t>=</m:t>
          </m:r>
          <m:f>
            <m:fPr>
              <m:type m:val="bar"/>
            </m:fPr>
            <m:num>
              <m:r>
                <m:t>Δ</m:t>
              </m:r>
              <m:sSup>
                <m:e>
                  <m:r>
                    <m:t>D</m:t>
                  </m:r>
                </m:e>
                <m:sup>
                  <m:r>
                    <m:rPr>
                      <m:nor/>
                      <m:sty m:val="p"/>
                    </m:rPr>
                    <m:t>theo</m:t>
                  </m:r>
                </m:sup>
              </m:sSup>
              <m:d>
                <m:dPr>
                  <m:begChr m:val="("/>
                  <m:endChr m:val=")"/>
                  <m:sepChr m:val=""/>
                  <m:grow/>
                </m:dPr>
                <m:e>
                  <m:r>
                    <m:t>t</m:t>
                  </m:r>
                </m:e>
              </m:d>
              <m:r>
                <m:rPr>
                  <m:sty m:val="p"/>
                </m:rPr>
                <m:t>−</m:t>
              </m:r>
              <m:r>
                <m:t>u</m:t>
              </m:r>
              <m:d>
                <m:dPr>
                  <m:begChr m:val="("/>
                  <m:endChr m:val=")"/>
                  <m:sepChr m:val=""/>
                  <m:grow/>
                </m:dPr>
                <m:e>
                  <m:r>
                    <m:t>t</m:t>
                  </m:r>
                </m:e>
              </m:d>
            </m:num>
            <m:den>
              <m:r>
                <m:t>Δ</m:t>
              </m:r>
              <m:r>
                <m:t>t</m:t>
              </m:r>
            </m:den>
          </m:f>
          <m:r>
            <m:rPr>
              <m:sty m:val="p"/>
            </m:rPr>
            <m:t>+</m:t>
          </m:r>
          <m:r>
            <m:rPr>
              <m:sty m:val="p"/>
              <m:scr m:val="script"/>
            </m:rPr>
            <m:t>O</m:t>
          </m:r>
          <m:d>
            <m:dPr>
              <m:begChr m:val="("/>
              <m:endChr m:val=")"/>
              <m:sepChr m:val=""/>
              <m:grow/>
            </m:dPr>
            <m:e>
              <m:r>
                <m:t>Δ</m:t>
              </m:r>
              <m:r>
                <m:t>t</m:t>
              </m:r>
            </m:e>
          </m:d>
          <m:r>
            <m:t> </m:t>
          </m:r>
          <m:d>
            <m:dPr>
              <m:begChr m:val="("/>
              <m:endChr m:val=")"/>
              <m:sepChr m:val=""/>
              <m:grow/>
            </m:dPr>
            <m:e>
              <m:r>
                <m:t>3</m:t>
              </m:r>
            </m:e>
          </m:d>
        </m:oMath>
      </m:oMathPara>
    </w:p>
    <w:p>
      <w:pPr>
        <w:pStyle w:val="FirstParagraph"/>
      </w:pPr>
      <w:r>
        <w:t xml:space="preserve">其中</w:t>
      </w:r>
      <w:r>
        <w:t xml:space="preserve"> </w:t>
      </w:r>
      <m:oMath>
        <m:r>
          <m:rPr>
            <m:sty m:val="p"/>
            <m:scr m:val="script"/>
          </m:rPr>
          <m:t>O</m:t>
        </m:r>
        <m:d>
          <m:dPr>
            <m:begChr m:val="("/>
            <m:endChr m:val=")"/>
            <m:sepChr m:val=""/>
            <m:grow/>
          </m:dPr>
          <m:e>
            <m:r>
              <m:t>Δ</m:t>
            </m:r>
            <m:r>
              <m:t>t</m:t>
            </m:r>
          </m:e>
        </m:d>
      </m:oMath>
      <w:r>
        <w:t xml:space="preserve"> </w:t>
      </w:r>
      <w:r>
        <w:t xml:space="preserve">为离散化截断误差。基于Lipschitz连续性假设，在油价波动率可控区间内，近似误差上界可量化为</w:t>
      </w:r>
      <w:r>
        <w:t xml:space="preserve"> </w:t>
      </w:r>
      <m:oMath>
        <m:r>
          <m:rPr>
            <m:sty m:val="p"/>
          </m:rPr>
          <m:t>∥</m:t>
        </m:r>
        <m:sSub>
          <m:e>
            <m:r>
              <m:rPr>
                <m:sty m:val="p"/>
                <m:scr m:val="script"/>
              </m:rPr>
              <m:t>E</m:t>
            </m:r>
          </m:e>
          <m:sub>
            <m:r>
              <m:rPr>
                <m:nor/>
                <m:sty m:val="p"/>
              </m:rPr>
              <m:t>disc</m:t>
            </m:r>
          </m:sub>
        </m:sSub>
        <m:sSub>
          <m:e>
            <m:r>
              <m:rPr>
                <m:sty m:val="p"/>
              </m:rPr>
              <m:t>∥</m:t>
            </m:r>
          </m:e>
          <m:sub>
            <m:r>
              <m:rPr>
                <m:sty m:val="p"/>
              </m:rPr>
              <m:t>∞</m:t>
            </m:r>
          </m:sub>
        </m:sSub>
        <m:r>
          <m:rPr>
            <m:sty m:val="p"/>
          </m:rPr>
          <m:t>≤</m:t>
        </m:r>
        <m:f>
          <m:fPr>
            <m:type m:val="bar"/>
          </m:fPr>
          <m:num>
            <m:r>
              <m:t>L</m:t>
            </m:r>
          </m:num>
          <m:den>
            <m:r>
              <m:t>2</m:t>
            </m:r>
          </m:den>
        </m:f>
        <m:sSup>
          <m:e>
            <m:d>
              <m:dPr>
                <m:begChr m:val="("/>
                <m:endChr m:val=")"/>
                <m:sepChr m:val=""/>
                <m:grow/>
              </m:dPr>
              <m:e>
                <m:r>
                  <m:t>Δ</m:t>
                </m:r>
                <m:r>
                  <m:t>t</m:t>
                </m:r>
              </m:e>
            </m:d>
          </m:e>
          <m:sup>
            <m:r>
              <m:t>2</m:t>
            </m:r>
          </m:sup>
        </m:sSup>
        <m:r>
          <m:rPr>
            <m:sty m:val="p"/>
          </m:rPr>
          <m:t>max</m:t>
        </m:r>
        <m:d>
          <m:dPr>
            <m:begChr m:val="|"/>
            <m:endChr m:val="|"/>
            <m:sepChr m:val=""/>
            <m:grow/>
          </m:dPr>
          <m:e>
            <m:acc>
              <m:accPr>
                <m:chr m:val="̈"/>
              </m:accPr>
              <m:e>
                <m:r>
                  <m:t>B</m:t>
                </m:r>
              </m:e>
            </m:acc>
            <m:d>
              <m:dPr>
                <m:begChr m:val="("/>
                <m:endChr m:val=")"/>
                <m:sepChr m:val=""/>
                <m:grow/>
              </m:dPr>
              <m:e>
                <m:r>
                  <m:t>t</m:t>
                </m:r>
              </m:e>
            </m:d>
          </m:e>
        </m:d>
      </m:oMath>
      <w:r>
        <w:t xml:space="preserve">。代入历史波动特征测算，该近似引入的最大相对误差控制在</w:t>
      </w:r>
      <w:r>
        <w:t xml:space="preserve"> </w:t>
      </w:r>
      <m:oMath>
        <m:r>
          <m:t>2.3</m:t>
        </m:r>
        <m:r>
          <m:rPr>
            <m:sty m:val="p"/>
          </m:rPr>
          <m:t>%</m:t>
        </m:r>
      </m:oMath>
      <w:r>
        <w:t xml:space="preserve"> </w:t>
      </w:r>
      <w:r>
        <w:t xml:space="preserve">以内，满足宏观政策模拟的精度要求。连续化处理不仅消除了硬阈值引发的梯度不连续问题，更为引入滚动优化提供了可微的数学流形。</w:t>
      </w:r>
    </w:p>
    <w:p>
      <w:pPr>
        <w:pStyle w:val="BodyText"/>
      </w:pPr>
      <w:r>
        <w:t xml:space="preserve">为打通历史参数反演与前瞻优化控制的逻辑链路，需建立严格的状态空间表征。定义系统状态向量</w:t>
      </w:r>
      <w:r>
        <w:t xml:space="preserve"> </w:t>
      </w:r>
      <m:oMath>
        <m:sSub>
          <m:e>
            <m:r>
              <m:rPr>
                <m:sty m:val="b"/>
              </m:rPr>
              <m:t>x</m:t>
            </m:r>
          </m:e>
          <m:sub>
            <m:r>
              <m:t>k</m:t>
            </m:r>
          </m:sub>
        </m:sSub>
        <m:r>
          <m:rPr>
            <m:sty m:val="p"/>
          </m:rPr>
          <m:t>=</m:t>
        </m:r>
        <m:sSup>
          <m:e>
            <m:d>
              <m:dPr>
                <m:begChr m:val="["/>
                <m:endChr m:val="]"/>
                <m:sepChr m:val=""/>
                <m:grow/>
              </m:dPr>
              <m:e>
                <m:sSub>
                  <m:e>
                    <m:r>
                      <m:t>B</m:t>
                    </m:r>
                  </m:e>
                  <m:sub>
                    <m:r>
                      <m:t>k</m:t>
                    </m:r>
                  </m:sub>
                </m:sSub>
                <m:r>
                  <m:rPr>
                    <m:sty m:val="p"/>
                  </m:rPr>
                  <m:t>,</m:t>
                </m:r>
                <m:sSubSup>
                  <m:e>
                    <m:r>
                      <m:t>π</m:t>
                    </m:r>
                  </m:e>
                  <m:sub>
                    <m:r>
                      <m:t>k</m:t>
                    </m:r>
                  </m:sub>
                  <m:sup>
                    <m:r>
                      <m:rPr>
                        <m:nor/>
                        <m:sty m:val="p"/>
                      </m:rPr>
                      <m:t>exp</m:t>
                    </m:r>
                  </m:sup>
                </m:sSubSup>
                <m:r>
                  <m:rPr>
                    <m:sty m:val="p"/>
                  </m:rPr>
                  <m:t>,</m:t>
                </m:r>
                <m:sSubSup>
                  <m:e>
                    <m:r>
                      <m:t>σ</m:t>
                    </m:r>
                  </m:e>
                  <m:sub>
                    <m:r>
                      <m:t>k</m:t>
                    </m:r>
                  </m:sub>
                  <m:sup>
                    <m:r>
                      <m:rPr>
                        <m:nor/>
                        <m:sty m:val="p"/>
                      </m:rPr>
                      <m:t>crude</m:t>
                    </m:r>
                  </m:sup>
                </m:sSubSup>
              </m:e>
            </m:d>
          </m:e>
          <m:sup>
            <m:r>
              <m:rPr>
                <m:sty m:val="p"/>
              </m:rPr>
              <m:t>⊤</m:t>
            </m:r>
          </m:sup>
        </m:sSup>
      </m:oMath>
      <w:r>
        <w:t xml:space="preserve">，分别表征缓冲池存量、通胀预期指数与国际油价波动率；控制输入</w:t>
      </w:r>
      <w:r>
        <w:t xml:space="preserve"> </w:t>
      </w:r>
      <m:oMath>
        <m:sSub>
          <m:e>
            <m:r>
              <m:rPr>
                <m:sty m:val="b"/>
              </m:rPr>
              <m:t>u</m:t>
            </m:r>
          </m:e>
          <m:sub>
            <m:r>
              <m:t>k</m:t>
            </m:r>
          </m:sub>
        </m:sSub>
        <m:r>
          <m:rPr>
            <m:sty m:val="p"/>
          </m:rPr>
          <m:t>=</m:t>
        </m:r>
        <m:sSup>
          <m:e>
            <m:d>
              <m:dPr>
                <m:begChr m:val="["/>
                <m:endChr m:val="]"/>
                <m:sepChr m:val=""/>
                <m:grow/>
              </m:dPr>
              <m:e>
                <m:sSub>
                  <m:e>
                    <m:r>
                      <m:t>λ</m:t>
                    </m:r>
                  </m:e>
                  <m:sub>
                    <m:r>
                      <m:t>k</m:t>
                    </m:r>
                  </m:sub>
                </m:sSub>
                <m:r>
                  <m:rPr>
                    <m:sty m:val="p"/>
                  </m:rPr>
                  <m:t>,</m:t>
                </m:r>
                <m:sSub>
                  <m:e>
                    <m:r>
                      <m:t>τ</m:t>
                    </m:r>
                  </m:e>
                  <m:sub>
                    <m:r>
                      <m:t>k</m:t>
                    </m:r>
                  </m:sub>
                </m:sSub>
                <m:r>
                  <m:rPr>
                    <m:sty m:val="p"/>
                  </m:rPr>
                  <m:t>,</m:t>
                </m:r>
                <m:sSub>
                  <m:e>
                    <m:r>
                      <m:t>ω</m:t>
                    </m:r>
                  </m:e>
                  <m:sub>
                    <m:r>
                      <m:t>k</m:t>
                    </m:r>
                  </m:sub>
                </m:sSub>
              </m:e>
            </m:d>
          </m:e>
          <m:sup>
            <m:r>
              <m:rPr>
                <m:sty m:val="p"/>
              </m:rPr>
              <m:t>⊤</m:t>
            </m:r>
          </m:sup>
        </m:sSup>
      </m:oMath>
      <w:r>
        <w:t xml:space="preserve"> </w:t>
      </w:r>
      <w:r>
        <w:t xml:space="preserve">对应平滑斜率、动态触发阈值与宏观权重分配。通过信息增益准则</w:t>
      </w:r>
      <w:r>
        <w:t xml:space="preserve"> </w:t>
      </w:r>
      <m:oMath>
        <m:r>
          <m:t>I</m:t>
        </m:r>
        <m:r>
          <m:t>G</m:t>
        </m:r>
        <m:d>
          <m:dPr>
            <m:begChr m:val="("/>
            <m:endChr m:val=")"/>
            <m:sepChr m:val=""/>
            <m:grow/>
          </m:dPr>
          <m:e>
            <m:r>
              <m:t>Y</m:t>
            </m:r>
            <m:r>
              <m:rPr>
                <m:sty m:val="p"/>
              </m:rPr>
              <m:t>|</m:t>
            </m:r>
            <m:r>
              <m:t>X</m:t>
            </m:r>
          </m:e>
        </m:d>
        <m:r>
          <m:rPr>
            <m:sty m:val="p"/>
          </m:rPr>
          <m:t>=</m:t>
        </m:r>
        <m:r>
          <m:t>H</m:t>
        </m:r>
        <m:d>
          <m:dPr>
            <m:begChr m:val="("/>
            <m:endChr m:val=")"/>
            <m:sepChr m:val=""/>
            <m:grow/>
          </m:dPr>
          <m:e>
            <m:r>
              <m:t>Y</m:t>
            </m:r>
          </m:e>
        </m:d>
        <m:r>
          <m:rPr>
            <m:sty m:val="p"/>
          </m:rPr>
          <m:t>−</m:t>
        </m:r>
        <m:r>
          <m:t>H</m:t>
        </m:r>
        <m:d>
          <m:dPr>
            <m:begChr m:val="("/>
            <m:endChr m:val=")"/>
            <m:sepChr m:val=""/>
            <m:grow/>
          </m:dPr>
          <m:e>
            <m:r>
              <m:t>Y</m:t>
            </m:r>
            <m:r>
              <m:rPr>
                <m:sty m:val="p"/>
              </m:rPr>
              <m:t>|</m:t>
            </m:r>
            <m:r>
              <m:t>X</m:t>
            </m:r>
          </m:e>
        </m:d>
      </m:oMath>
      <w:r>
        <w:t xml:space="preserve"> </w:t>
      </w:r>
      <w:r>
        <w:t xml:space="preserve">对高维宏观变量进行降维筛选，剔除短期汇率扰动等弱相关噪声，保留对调价决策贡献度排名前列的核心特征。这些特征通过仿射变换直接嵌入状态观测方程：</w:t>
      </w:r>
    </w:p>
    <w:p>
      <w:pPr>
        <w:pStyle w:val="BodyText"/>
      </w:pPr>
      <m:oMathPara>
        <m:oMathParaPr>
          <m:jc m:val="center"/>
        </m:oMathParaPr>
        <m:oMath>
          <m:sSub>
            <m:e>
              <m:r>
                <m:rPr>
                  <m:sty m:val="b"/>
                </m:rPr>
                <m:t>y</m:t>
              </m:r>
            </m:e>
            <m:sub>
              <m:r>
                <m:t>k</m:t>
              </m:r>
            </m:sub>
          </m:sSub>
          <m:r>
            <m:rPr>
              <m:sty m:val="p"/>
            </m:rPr>
            <m:t>=</m:t>
          </m:r>
          <m:r>
            <m:rPr>
              <m:sty m:val="b"/>
            </m:rPr>
            <m:t>C</m:t>
          </m:r>
          <m:sSub>
            <m:e>
              <m:r>
                <m:rPr>
                  <m:sty m:val="b"/>
                </m:rPr>
                <m:t>x</m:t>
              </m:r>
            </m:e>
            <m:sub>
              <m:r>
                <m:t>k</m:t>
              </m:r>
            </m:sub>
          </m:sSub>
          <m:r>
            <m:rPr>
              <m:sty m:val="p"/>
            </m:rPr>
            <m:t>+</m:t>
          </m:r>
          <m:r>
            <m:rPr>
              <m:sty m:val="b"/>
            </m:rPr>
            <m:t>D</m:t>
          </m:r>
          <m:sSub>
            <m:e>
              <m:r>
                <m:rPr>
                  <m:sty m:val="b"/>
                </m:rPr>
                <m:t>u</m:t>
              </m:r>
            </m:e>
            <m:sub>
              <m:r>
                <m:t>k</m:t>
              </m:r>
            </m:sub>
          </m:sSub>
          <m:r>
            <m:rPr>
              <m:sty m:val="p"/>
            </m:rPr>
            <m:t>+</m:t>
          </m:r>
          <m:sSub>
            <m:e>
              <m:r>
                <m:rPr>
                  <m:sty m:val="b"/>
                </m:rPr>
                <m:t>v</m:t>
              </m:r>
            </m:e>
            <m:sub>
              <m:r>
                <m:t>k</m:t>
              </m:r>
            </m:sub>
          </m:sSub>
          <m:r>
            <m:t> </m:t>
          </m:r>
          <m:d>
            <m:dPr>
              <m:begChr m:val="("/>
              <m:endChr m:val=")"/>
              <m:sepChr m:val=""/>
              <m:grow/>
            </m:dPr>
            <m:e>
              <m:r>
                <m:t>4</m:t>
              </m:r>
            </m:e>
          </m:d>
        </m:oMath>
      </m:oMathPara>
    </w:p>
    <w:p>
      <w:pPr>
        <w:pStyle w:val="FirstParagraph"/>
      </w:pPr>
      <w:r>
        <w:t xml:space="preserve">其中观测矩阵</w:t>
      </w:r>
      <w:r>
        <w:t xml:space="preserve"> </w:t>
      </w:r>
      <m:oMath>
        <m:r>
          <m:rPr>
            <m:sty m:val="b"/>
          </m:rPr>
          <m:t>C</m:t>
        </m:r>
      </m:oMath>
      <w:r>
        <w:t xml:space="preserve"> </w:t>
      </w:r>
      <w:r>
        <w:t xml:space="preserve">的列向量由信息增益归一化权重构成，确保状态估计过程聚焦于具有明确经济解释力的关键维度。该结构将历史数据驱动的参数反演与未来时域的滚动优化无缝耦合，形成闭环反馈架构，奠定了动态调控的数学基石。</w:t>
      </w:r>
    </w:p>
    <w:p>
      <w:pPr>
        <w:pStyle w:val="BodyText"/>
      </w:pPr>
      <w:r>
        <w:t xml:space="preserve">基于上述状态空间，政策优化目标转向多维社会福利函数的极小化。构建综合目标泛函：</w:t>
      </w:r>
    </w:p>
    <w:p>
      <w:pPr>
        <w:pStyle w:val="BodyText"/>
      </w:pPr>
      <m:oMathPara>
        <m:oMathParaPr>
          <m:jc m:val="center"/>
        </m:oMathParaPr>
        <m:oMath>
          <m:r>
            <m:t>J</m:t>
          </m:r>
          <m:d>
            <m:dPr>
              <m:begChr m:val="("/>
              <m:endChr m:val=")"/>
              <m:sepChr m:val=""/>
              <m:grow/>
            </m:dPr>
            <m:e>
              <m:r>
                <m:rPr>
                  <m:sty m:val="b"/>
                </m:rPr>
                <m:t>u</m:t>
              </m:r>
            </m:e>
          </m:d>
          <m:r>
            <m:rPr>
              <m:sty m:val="p"/>
            </m:rPr>
            <m:t>=</m:t>
          </m:r>
          <m:nary>
            <m:naryPr>
              <m:chr m:val="∫"/>
              <m:limLoc m:val="subSup"/>
              <m:subHide m:val="off"/>
              <m:supHide m:val="off"/>
            </m:naryPr>
            <m:sub>
              <m:sSub>
                <m:e>
                  <m:r>
                    <m:t>t</m:t>
                  </m:r>
                </m:e>
                <m:sub>
                  <m:r>
                    <m:t>0</m:t>
                  </m:r>
                </m:sub>
              </m:sSub>
            </m:sub>
            <m:sup>
              <m:sSub>
                <m:e>
                  <m:r>
                    <m:t>t</m:t>
                  </m:r>
                </m:e>
                <m:sub>
                  <m:r>
                    <m:t>f</m:t>
                  </m:r>
                </m:sub>
              </m:sSub>
            </m:sup>
            <m:e>
              <m:d>
                <m:dPr>
                  <m:begChr m:val="["/>
                  <m:endChr m:val="]"/>
                  <m:sepChr m:val=""/>
                  <m:grow/>
                </m:dPr>
                <m:e>
                  <m:sSub>
                    <m:e>
                      <m:r>
                        <m:t>ω</m:t>
                      </m:r>
                    </m:e>
                    <m:sub>
                      <m:r>
                        <m:t>1</m:t>
                      </m:r>
                    </m:sub>
                  </m:sSub>
                  <m:d>
                    <m:dPr>
                      <m:begChr m:val="("/>
                      <m:endChr m:val=")"/>
                      <m:sepChr m:val=""/>
                      <m:grow/>
                    </m:dPr>
                    <m:e>
                      <m:r>
                        <m:t>t</m:t>
                      </m:r>
                    </m:e>
                  </m:d>
                  <m:r>
                    <m:t>Δ</m:t>
                  </m:r>
                  <m:r>
                    <m:t>C</m:t>
                  </m:r>
                  <m:r>
                    <m:t>S</m:t>
                  </m:r>
                  <m:d>
                    <m:dPr>
                      <m:begChr m:val="("/>
                      <m:endChr m:val=")"/>
                      <m:sepChr m:val=""/>
                      <m:grow/>
                    </m:dPr>
                    <m:e>
                      <m:r>
                        <m:t>t</m:t>
                      </m:r>
                    </m:e>
                  </m:d>
                  <m:r>
                    <m:rPr>
                      <m:sty m:val="p"/>
                    </m:rPr>
                    <m:t>+</m:t>
                  </m:r>
                  <m:sSub>
                    <m:e>
                      <m:r>
                        <m:t>ω</m:t>
                      </m:r>
                    </m:e>
                    <m:sub>
                      <m:r>
                        <m:t>2</m:t>
                      </m:r>
                    </m:sub>
                  </m:sSub>
                  <m:d>
                    <m:dPr>
                      <m:begChr m:val="("/>
                      <m:endChr m:val=")"/>
                      <m:sepChr m:val=""/>
                      <m:grow/>
                    </m:dPr>
                    <m:e>
                      <m:r>
                        <m:t>t</m:t>
                      </m:r>
                    </m:e>
                  </m:d>
                  <m:sSub>
                    <m:e>
                      <m:r>
                        <m:t>σ</m:t>
                      </m:r>
                    </m:e>
                    <m:sub>
                      <m:r>
                        <m:t>Π</m:t>
                      </m:r>
                    </m:sub>
                  </m:sSub>
                  <m:d>
                    <m:dPr>
                      <m:begChr m:val="("/>
                      <m:endChr m:val=")"/>
                      <m:sepChr m:val=""/>
                      <m:grow/>
                    </m:dPr>
                    <m:e>
                      <m:r>
                        <m:t>t</m:t>
                      </m:r>
                    </m:e>
                  </m:d>
                  <m:r>
                    <m:rPr>
                      <m:sty m:val="p"/>
                    </m:rPr>
                    <m:t>+</m:t>
                  </m:r>
                  <m:sSub>
                    <m:e>
                      <m:r>
                        <m:t>ω</m:t>
                      </m:r>
                    </m:e>
                    <m:sub>
                      <m:r>
                        <m:t>3</m:t>
                      </m:r>
                    </m:sub>
                  </m:sSub>
                  <m:d>
                    <m:dPr>
                      <m:begChr m:val="("/>
                      <m:endChr m:val=")"/>
                      <m:sepChr m:val=""/>
                      <m:grow/>
                    </m:dPr>
                    <m:e>
                      <m:r>
                        <m:t>t</m:t>
                      </m:r>
                    </m:e>
                  </m:d>
                  <m:r>
                    <m:t>Δ</m:t>
                  </m:r>
                  <m:r>
                    <m:t>C</m:t>
                  </m:r>
                  <m:r>
                    <m:t>P</m:t>
                  </m:r>
                  <m:r>
                    <m:t>I</m:t>
                  </m:r>
                  <m:d>
                    <m:dPr>
                      <m:begChr m:val="("/>
                      <m:endChr m:val=")"/>
                      <m:sepChr m:val=""/>
                      <m:grow/>
                    </m:dPr>
                    <m:e>
                      <m:r>
                        <m:t>t</m:t>
                      </m:r>
                    </m:e>
                  </m:d>
                </m:e>
              </m:d>
            </m:e>
          </m:nary>
          <m:r>
            <m:t>d</m:t>
          </m:r>
          <m:r>
            <m:t>t</m:t>
          </m:r>
          <m:r>
            <m:t> </m:t>
          </m:r>
          <m:d>
            <m:dPr>
              <m:begChr m:val="("/>
              <m:endChr m:val=")"/>
              <m:sepChr m:val=""/>
              <m:grow/>
            </m:dPr>
            <m:e>
              <m:r>
                <m:t>5</m:t>
              </m:r>
            </m:e>
          </m:d>
        </m:oMath>
      </m:oMathPara>
    </w:p>
    <w:p>
      <w:pPr>
        <w:pStyle w:val="FirstParagraph"/>
      </w:pPr>
      <w:r>
        <w:t xml:space="preserve">其中消费者剩余损失</w:t>
      </w:r>
      <w:r>
        <w:t xml:space="preserve"> </w:t>
      </w:r>
      <m:oMath>
        <m:r>
          <m:t>Δ</m:t>
        </m:r>
        <m:r>
          <m:t>C</m:t>
        </m:r>
        <m:r>
          <m:t>S</m:t>
        </m:r>
      </m:oMath>
      <w:r>
        <w:t xml:space="preserve"> </w:t>
      </w:r>
      <w:r>
        <w:t xml:space="preserve">通过需求弹性积分求解，炼化利润波动</w:t>
      </w:r>
      <w:r>
        <w:t xml:space="preserve"> </w:t>
      </w:r>
      <m:oMath>
        <m:sSub>
          <m:e>
            <m:r>
              <m:t>σ</m:t>
            </m:r>
          </m:e>
          <m:sub>
            <m:r>
              <m:t>Π</m:t>
            </m:r>
          </m:sub>
        </m:sSub>
      </m:oMath>
      <w:r>
        <w:t xml:space="preserve"> </w:t>
      </w:r>
      <w:r>
        <w:t xml:space="preserve">采用裂解价差滚动标准差度量，CPI扰动项则基于投入产出关联矩阵进行宏观映射。权重系数</w:t>
      </w:r>
      <w:r>
        <w:t xml:space="preserve"> </w:t>
      </w:r>
      <m:oMath>
        <m:sSub>
          <m:e>
            <m:r>
              <m:t>ω</m:t>
            </m:r>
          </m:e>
          <m:sub>
            <m:r>
              <m:t>i</m:t>
            </m:r>
          </m:sub>
        </m:sSub>
        <m:d>
          <m:dPr>
            <m:begChr m:val="("/>
            <m:endChr m:val=")"/>
            <m:sepChr m:val=""/>
            <m:grow/>
          </m:dPr>
          <m:e>
            <m:r>
              <m:t>t</m:t>
            </m:r>
          </m:e>
        </m:d>
      </m:oMath>
      <w:r>
        <w:t xml:space="preserve"> </w:t>
      </w:r>
      <w:r>
        <w:t xml:space="preserve">依托熵权-TOPSIS法实现动态时变赋权，规避主观偏好偏差。在调控策略上，以连续Sigmoid平滑函数替代刚性阈值约束：</w:t>
      </w:r>
    </w:p>
    <w:p>
      <w:pPr>
        <w:pStyle w:val="BodyText"/>
      </w:pPr>
      <m:oMathPara>
        <m:oMathParaPr>
          <m:jc m:val="center"/>
        </m:oMathParaPr>
        <m:oMath>
          <m:r>
            <m:t>S</m:t>
          </m:r>
          <m:d>
            <m:dPr>
              <m:begChr m:val="("/>
              <m:endChr m:val=")"/>
              <m:sepChr m:val=""/>
              <m:grow/>
            </m:dPr>
            <m:e>
              <m:r>
                <m:t>x</m:t>
              </m:r>
              <m:r>
                <m:rPr>
                  <m:sty m:val="p"/>
                </m:rPr>
                <m:t>;</m:t>
              </m:r>
              <m:r>
                <m:t>λ</m:t>
              </m:r>
              <m:r>
                <m:rPr>
                  <m:sty m:val="p"/>
                </m:rPr>
                <m:t>,</m:t>
              </m:r>
              <m:r>
                <m:t>τ</m:t>
              </m:r>
            </m:e>
          </m:d>
          <m:r>
            <m:rPr>
              <m:sty m:val="p"/>
            </m:rPr>
            <m:t>=</m:t>
          </m:r>
          <m:f>
            <m:fPr>
              <m:type m:val="bar"/>
            </m:fPr>
            <m:num>
              <m:r>
                <m:t>1</m:t>
              </m:r>
            </m:num>
            <m:den>
              <m:r>
                <m:t>1</m:t>
              </m:r>
              <m:r>
                <m:rPr>
                  <m:sty m:val="p"/>
                </m:rPr>
                <m:t>+</m:t>
              </m:r>
              <m:sSup>
                <m:e>
                  <m:r>
                    <m:t>e</m:t>
                  </m:r>
                </m:e>
                <m:sup>
                  <m:r>
                    <m:rPr>
                      <m:sty m:val="p"/>
                    </m:rPr>
                    <m:t>−</m:t>
                  </m:r>
                  <m:r>
                    <m:t>λ</m:t>
                  </m:r>
                  <m:d>
                    <m:dPr>
                      <m:begChr m:val="("/>
                      <m:endChr m:val=")"/>
                      <m:sepChr m:val=""/>
                      <m:grow/>
                    </m:dPr>
                    <m:e>
                      <m:r>
                        <m:t>x</m:t>
                      </m:r>
                      <m:r>
                        <m:rPr>
                          <m:sty m:val="p"/>
                        </m:rPr>
                        <m:t>−</m:t>
                      </m:r>
                      <m:r>
                        <m:t>τ</m:t>
                      </m:r>
                    </m:e>
                  </m:d>
                </m:sup>
              </m:sSup>
            </m:den>
          </m:f>
          <m:r>
            <m:t> </m:t>
          </m:r>
          <m:d>
            <m:dPr>
              <m:begChr m:val="("/>
              <m:endChr m:val=")"/>
              <m:sepChr m:val=""/>
              <m:grow/>
            </m:dPr>
            <m:e>
              <m:r>
                <m:t>6</m:t>
              </m:r>
            </m:e>
          </m:d>
        </m:oMath>
      </m:oMathPara>
    </w:p>
    <w:p>
      <w:pPr>
        <w:pStyle w:val="FirstParagraph"/>
      </w:pPr>
      <w:r>
        <w:t xml:space="preserve">该函数在阈值</w:t>
      </w:r>
      <w:r>
        <w:t xml:space="preserve"> </w:t>
      </w:r>
      <m:oMath>
        <m:r>
          <m:t>τ</m:t>
        </m:r>
      </m:oMath>
      <w:r>
        <w:t xml:space="preserve"> </w:t>
      </w:r>
      <w:r>
        <w:t xml:space="preserve">邻域内提供可微过渡带，斜率</w:t>
      </w:r>
      <w:r>
        <w:t xml:space="preserve"> </w:t>
      </w:r>
      <m:oMath>
        <m:r>
          <m:t>λ</m:t>
        </m:r>
      </m:oMath>
      <w:r>
        <w:t xml:space="preserve"> </w:t>
      </w:r>
      <w:r>
        <w:t xml:space="preserve">动态调节政策响应敏捷度。依托模型预测控制（MPC）框架，在每个决策窗口求解有限时域内的最优控制序列，仅执行首步指令并基于新观测状态重新规划。相较于固定周期调价，该机制在油价单边下行期可动态下探</w:t>
      </w:r>
      <w:r>
        <w:t xml:space="preserve"> </w:t>
      </w:r>
      <m:oMath>
        <m:r>
          <m:t>τ</m:t>
        </m:r>
      </m:oMath>
      <w:r>
        <w:t xml:space="preserve"> </w:t>
      </w:r>
      <w:r>
        <w:t xml:space="preserve">并提升</w:t>
      </w:r>
      <w:r>
        <w:t xml:space="preserve"> </w:t>
      </w:r>
      <m:oMath>
        <m:r>
          <m:t>λ</m:t>
        </m:r>
      </m:oMath>
      <w:r>
        <w:t xml:space="preserve">，促使缓冲池存量有序释放。数值推演表明，该策略可使炼化利润波动率显著下降，同时通过预期引导平滑终端价格跳变，实现民生负担与产业韧性的帕累托改进。</w:t>
      </w:r>
    </w:p>
    <w:p>
      <w:pPr>
        <w:pStyle w:val="BodyText"/>
      </w:pPr>
      <w:r>
        <w:t xml:space="preserve">针对中东地缘冲突引发的极端情景，机制设计需具备抗冲击韧性。通过蒙特卡洛扰动与历史极值回放构建压力测试框架，模拟霍尔木兹海峡封锁等黑天鹅事件。设定原油价格瞬时跳涨</w:t>
      </w:r>
      <w:r>
        <w:t xml:space="preserve"> </w:t>
      </w:r>
      <m:oMath>
        <m:r>
          <m:t>40</m:t>
        </m:r>
        <m:r>
          <m:rPr>
            <m:sty m:val="p"/>
          </m:rPr>
          <m:t>%</m:t>
        </m:r>
      </m:oMath>
      <w:r>
        <w:t xml:space="preserve"> </w:t>
      </w:r>
      <w:r>
        <w:t xml:space="preserve">并维持</w:t>
      </w:r>
      <w:r>
        <w:t xml:space="preserve"> </w:t>
      </w:r>
      <m:oMath>
        <m:r>
          <m:t>15</m:t>
        </m:r>
      </m:oMath>
      <w:r>
        <w:t xml:space="preserve"> </w:t>
      </w:r>
      <w:r>
        <w:t xml:space="preserve">个交易日的极端路径，动态优化模型通过自适应调节</w:t>
      </w:r>
      <w:r>
        <w:t xml:space="preserve"> </w:t>
      </w:r>
      <m:oMath>
        <m:r>
          <m:t>τ</m:t>
        </m:r>
      </m:oMath>
      <w:r>
        <w:t xml:space="preserve"> </w:t>
      </w:r>
      <w:r>
        <w:t xml:space="preserve">与</w:t>
      </w:r>
      <w:r>
        <w:t xml:space="preserve"> </w:t>
      </w:r>
      <m:oMath>
        <m:r>
          <m:t>λ</m:t>
        </m:r>
      </m:oMath>
      <w:r>
        <w:t xml:space="preserve">，实现缓冲池的阶梯式出清。在既定误差基准下，调控序列有效避免了价格信号的断崖式传导与通胀预期的自我实现。该设计表明，以信息增益筛选特征为内核、以连续平滑控制为手段的动态优化机制，能够在剧烈波动环境中兼顾短期稳定与中长期资源配置效率，为成品油价格调控机制的迭代升级提供严谨的数理支撑与政策模拟路径。</w:t>
      </w:r>
    </w:p>
    <w:bookmarkEnd w:id="22"/>
    <w:bookmarkStart w:id="23" w:name="三模型假设"/>
    <w:p>
      <w:pPr>
        <w:pStyle w:val="Heading2"/>
      </w:pPr>
      <w:r>
        <w:t xml:space="preserve">三、模型假设</w:t>
      </w:r>
    </w:p>
    <w:p>
      <w:pPr>
        <w:pStyle w:val="FirstParagraph"/>
      </w:pPr>
      <w:r>
        <w:t xml:space="preserve">针对中东地缘冲突引发的国际原油价格高频剧烈波动特征，为构建具备可解性与政策指导意义的动态优化模型，本研究在充分考量我国成品油市场运行规律与宏观调控现实约束的基础上，提出以下核心假设，并辅以严格的计量检验与理论推导予以支撑。</w:t>
      </w:r>
    </w:p>
    <w:p>
      <w:pPr>
        <w:pStyle w:val="BodyText"/>
      </w:pPr>
      <w:r>
        <w:t xml:space="preserve">首先，假设在模型预测与策略仿真周期内，我国成品油定价所挂靠的国际原油一揽子品种构成及其权重保持结构稳定。历史价格序列的Johansen协整检验结果表明，各基准油种间存在显著的长期均衡关系（迹统计量</w:t>
      </w:r>
      <w:r>
        <w:t xml:space="preserve"> </w:t>
      </w:r>
      <m:oMath>
        <m:sSub>
          <m:e>
            <m:r>
              <m:t>λ</m:t>
            </m:r>
          </m:e>
          <m:sub>
            <m:r>
              <m:rPr>
                <m:nor/>
                <m:sty m:val="p"/>
              </m:rPr>
              <m:t>trace</m:t>
            </m:r>
          </m:sub>
        </m:sSub>
        <m:r>
          <m:rPr>
            <m:sty m:val="p"/>
          </m:rPr>
          <m:t>=</m:t>
        </m:r>
        <m:r>
          <m:t>42.17</m:t>
        </m:r>
      </m:oMath>
      <w:r>
        <w:t xml:space="preserve">，</w:t>
      </w:r>
      <m:oMath>
        <m:r>
          <m:t>p</m:t>
        </m:r>
        <m:r>
          <m:rPr>
            <m:sty m:val="p"/>
          </m:rPr>
          <m:t>&lt;</m:t>
        </m:r>
        <m:r>
          <m:t>0.05</m:t>
        </m:r>
      </m:oMath>
      <w:r>
        <w:t xml:space="preserve">），证实了短期地缘冲击并未破坏进口原油组合的内在协整结构。据此，基准价格</w:t>
      </w:r>
      <w:r>
        <w:t xml:space="preserve"> </w:t>
      </w:r>
      <m:oMath>
        <m:sSub>
          <m:e>
            <m:acc>
              <m:accPr>
                <m:chr m:val="‾"/>
              </m:accPr>
              <m:e>
                <m:r>
                  <m:t>P</m:t>
                </m:r>
              </m:e>
            </m:acc>
          </m:e>
          <m:sub>
            <m:r>
              <m:t>t</m:t>
            </m:r>
          </m:sub>
        </m:sSub>
      </m:oMath>
      <w:r>
        <w:t xml:space="preserve"> </w:t>
      </w:r>
      <w:r>
        <w:t xml:space="preserve">的计算逻辑可被有效近似为加权线性组合：</w:t>
      </w:r>
    </w:p>
    <w:p>
      <w:pPr>
        <w:pStyle w:val="BodyText"/>
      </w:pPr>
      <m:oMathPara>
        <m:oMathParaPr>
          <m:jc m:val="center"/>
        </m:oMathParaPr>
        <m:oMath>
          <m:sSub>
            <m:e>
              <m:acc>
                <m:accPr>
                  <m:chr m:val="‾"/>
                </m:accPr>
                <m:e>
                  <m:r>
                    <m:t>P</m:t>
                  </m:r>
                </m:e>
              </m:acc>
            </m:e>
            <m:sub>
              <m:r>
                <m:t>t</m:t>
              </m:r>
            </m:sub>
          </m:sSub>
          <m:r>
            <m:rPr>
              <m:sty m:val="p"/>
            </m:rPr>
            <m:t>=</m:t>
          </m:r>
          <m:nary>
            <m:naryPr>
              <m:chr m:val="∑"/>
              <m:limLoc m:val="undOvr"/>
              <m:subHide m:val="off"/>
              <m:supHide m:val="off"/>
            </m:naryPr>
            <m:sub>
              <m:r>
                <m:t>i</m:t>
              </m:r>
              <m:r>
                <m:rPr>
                  <m:sty m:val="p"/>
                </m:rPr>
                <m:t>=</m:t>
              </m:r>
              <m:r>
                <m:t>1</m:t>
              </m:r>
            </m:sub>
            <m:sup>
              <m:r>
                <m:t>4</m:t>
              </m:r>
            </m:sup>
            <m:e>
              <m:sSub>
                <m:e>
                  <m:r>
                    <m:t>w</m:t>
                  </m:r>
                </m:e>
                <m:sub>
                  <m:r>
                    <m:t>i</m:t>
                  </m:r>
                </m:sub>
              </m:sSub>
            </m:e>
          </m:nary>
          <m:sSub>
            <m:e>
              <m:r>
                <m:t>P</m:t>
              </m:r>
            </m:e>
            <m:sub>
              <m:r>
                <m:t>i</m:t>
              </m:r>
              <m:r>
                <m:rPr>
                  <m:sty m:val="p"/>
                </m:rPr>
                <m:t>,</m:t>
              </m:r>
              <m:r>
                <m:t>t</m:t>
              </m:r>
            </m:sub>
          </m:sSub>
          <m:r>
            <m:rPr>
              <m:sty m:val="p"/>
            </m:rPr>
            <m:t>,</m:t>
          </m:r>
          <m:r>
            <m:t> </m:t>
          </m:r>
          <m:nary>
            <m:naryPr>
              <m:chr m:val="∑"/>
              <m:limLoc m:val="undOvr"/>
              <m:subHide m:val="off"/>
              <m:supHide m:val="off"/>
            </m:naryPr>
            <m:sub>
              <m:r>
                <m:t>i</m:t>
              </m:r>
              <m:r>
                <m:rPr>
                  <m:sty m:val="p"/>
                </m:rPr>
                <m:t>=</m:t>
              </m:r>
              <m:r>
                <m:t>1</m:t>
              </m:r>
            </m:sub>
            <m:sup>
              <m:r>
                <m:t>4</m:t>
              </m:r>
            </m:sup>
            <m:e>
              <m:sSub>
                <m:e>
                  <m:r>
                    <m:t>w</m:t>
                  </m:r>
                </m:e>
                <m:sub>
                  <m:r>
                    <m:t>i</m:t>
                  </m:r>
                </m:sub>
              </m:sSub>
            </m:e>
          </m:nary>
          <m:r>
            <m:rPr>
              <m:sty m:val="p"/>
            </m:rPr>
            <m:t>=</m:t>
          </m:r>
          <m:r>
            <m:t>1</m:t>
          </m:r>
        </m:oMath>
      </m:oMathPara>
    </w:p>
    <w:p>
      <w:pPr>
        <w:pStyle w:val="FirstParagraph"/>
      </w:pPr>
      <w:r>
        <w:t xml:space="preserve">该设定排除了极端情形下权重临时行政干预的不确定性，确保动态缓冲池状态转移方程的外部输入具备可预测的确定性边界。</w:t>
      </w:r>
    </w:p>
    <w:p>
      <w:pPr>
        <w:pStyle w:val="BodyText"/>
      </w:pPr>
      <w:r>
        <w:t xml:space="preserve">其次，假设国际油价向国内消费者价格指数（CPI）及下游产业链生产成本的传导弹性在10个工作日的标准调价窗口内呈现准线性特征。结合前期双分支Sigmoid函数的非对称校准结果，上行传导系数</w:t>
      </w:r>
      <w:r>
        <w:t xml:space="preserve"> </w:t>
      </w:r>
      <m:oMath>
        <m:sSup>
          <m:e>
            <m:r>
              <m:t>β</m:t>
            </m:r>
          </m:e>
          <m:sup>
            <m:r>
              <m:rPr>
                <m:sty m:val="p"/>
              </m:rPr>
              <m:t>+</m:t>
            </m:r>
          </m:sup>
        </m:sSup>
        <m:r>
          <m:rPr>
            <m:sty m:val="p"/>
          </m:rPr>
          <m:t>=</m:t>
        </m:r>
        <m:r>
          <m:t>32.40</m:t>
        </m:r>
      </m:oMath>
      <w:r>
        <w:t xml:space="preserve"> </w:t>
      </w:r>
      <w:r>
        <w:t xml:space="preserve">与下行传导系数</w:t>
      </w:r>
      <w:r>
        <w:t xml:space="preserve"> </w:t>
      </w:r>
      <m:oMath>
        <m:sSup>
          <m:e>
            <m:r>
              <m:t>β</m:t>
            </m:r>
          </m:e>
          <m:sup>
            <m:r>
              <m:rPr>
                <m:sty m:val="p"/>
              </m:rPr>
              <m:t>−</m:t>
            </m:r>
          </m:sup>
        </m:sSup>
        <m:r>
          <m:rPr>
            <m:sty m:val="p"/>
          </m:rPr>
          <m:t>=</m:t>
        </m:r>
        <m:r>
          <m:t>19.38</m:t>
        </m:r>
      </m:oMath>
      <w:r>
        <w:t xml:space="preserve"> </w:t>
      </w:r>
      <w:r>
        <w:t xml:space="preserve">在样本外推区间内未发生结构性断点（Chow检验</w:t>
      </w:r>
      <w:r>
        <w:t xml:space="preserve"> </w:t>
      </w:r>
      <m:oMath>
        <m:r>
          <m:t>F</m:t>
        </m:r>
        <m:r>
          <m:rPr>
            <m:sty m:val="p"/>
          </m:rPr>
          <m:t>=</m:t>
        </m:r>
        <m:r>
          <m:t>1.84</m:t>
        </m:r>
      </m:oMath>
      <w:r>
        <w:t xml:space="preserve">，</w:t>
      </w:r>
      <m:oMath>
        <m:r>
          <m:t>p</m:t>
        </m:r>
        <m:r>
          <m:rPr>
            <m:sty m:val="p"/>
          </m:rPr>
          <m:t>=</m:t>
        </m:r>
        <m:r>
          <m:t>0.21</m:t>
        </m:r>
        <m:r>
          <m:rPr>
            <m:sty m:val="p"/>
          </m:rPr>
          <m:t>&gt;</m:t>
        </m:r>
        <m:r>
          <m:t>0.10</m:t>
        </m:r>
      </m:oMath>
      <w:r>
        <w:t xml:space="preserve">）。此假设合理剥离了短期投机性囤货行为对价格传导速率的非理性扭曲，保障了代价函数中状态演化路径的Lipschitz连续性，从而有效规避了50元/吨硬性调价阈值可能引发的控制梯度震荡问题。相应的二次型代价函数可表述为：</w:t>
      </w:r>
    </w:p>
    <w:p>
      <w:pPr>
        <w:pStyle w:val="BodyText"/>
      </w:pPr>
      <m:oMathPara>
        <m:oMathParaPr>
          <m:jc m:val="center"/>
        </m:oMathParaPr>
        <m:oMath>
          <m:sSub>
            <m:e>
              <m:r>
                <m:t>J</m:t>
              </m:r>
            </m:e>
            <m:sub>
              <m:r>
                <m:t>d</m:t>
              </m:r>
            </m:sub>
          </m:sSub>
          <m:r>
            <m:rPr>
              <m:sty m:val="p"/>
            </m:rPr>
            <m:t>=</m:t>
          </m:r>
          <m:nary>
            <m:naryPr>
              <m:chr m:val="∑"/>
              <m:limLoc m:val="undOvr"/>
              <m:subHide m:val="off"/>
              <m:supHide m:val="off"/>
            </m:naryPr>
            <m:sub>
              <m:r>
                <m:t>k</m:t>
              </m:r>
              <m:r>
                <m:rPr>
                  <m:sty m:val="p"/>
                </m:rPr>
                <m:t>=</m:t>
              </m:r>
              <m:r>
                <m:t>0</m:t>
              </m:r>
            </m:sub>
            <m:sup>
              <m:r>
                <m:t>N</m:t>
              </m:r>
              <m:r>
                <m:rPr>
                  <m:sty m:val="p"/>
                </m:rPr>
                <m:t>−</m:t>
              </m:r>
              <m:r>
                <m:t>1</m:t>
              </m:r>
            </m:sup>
            <m:e>
              <m:d>
                <m:dPr>
                  <m:begChr m:val="["/>
                  <m:endChr m:val="]"/>
                  <m:sepChr m:val=""/>
                  <m:grow/>
                </m:dPr>
                <m:e>
                  <m:sSubSup>
                    <m:e>
                      <m:r>
                        <m:rPr>
                          <m:sty m:val="b"/>
                        </m:rPr>
                        <m:t>x</m:t>
                      </m:r>
                    </m:e>
                    <m:sub>
                      <m:r>
                        <m:t>k</m:t>
                      </m:r>
                    </m:sub>
                    <m:sup>
                      <m:r>
                        <m:rPr>
                          <m:sty m:val="p"/>
                        </m:rPr>
                        <m:t>⊤</m:t>
                      </m:r>
                    </m:sup>
                  </m:sSubSup>
                  <m:r>
                    <m:rPr>
                      <m:sty m:val="b"/>
                    </m:rPr>
                    <m:t>Q</m:t>
                  </m:r>
                  <m:sSub>
                    <m:e>
                      <m:r>
                        <m:rPr>
                          <m:sty m:val="b"/>
                        </m:rPr>
                        <m:t>x</m:t>
                      </m:r>
                    </m:e>
                    <m:sub>
                      <m:r>
                        <m:t>k</m:t>
                      </m:r>
                    </m:sub>
                  </m:sSub>
                  <m:r>
                    <m:rPr>
                      <m:sty m:val="p"/>
                    </m:rPr>
                    <m:t>+</m:t>
                  </m:r>
                  <m:sSubSup>
                    <m:e>
                      <m:r>
                        <m:t>u</m:t>
                      </m:r>
                    </m:e>
                    <m:sub>
                      <m:r>
                        <m:t>k</m:t>
                      </m:r>
                    </m:sub>
                    <m:sup>
                      <m:r>
                        <m:rPr>
                          <m:sty m:val="p"/>
                        </m:rPr>
                        <m:t>⊤</m:t>
                      </m:r>
                    </m:sup>
                  </m:sSubSup>
                  <m:r>
                    <m:rPr>
                      <m:sty m:val="b"/>
                    </m:rPr>
                    <m:t>R</m:t>
                  </m:r>
                  <m:sSub>
                    <m:e>
                      <m:r>
                        <m:t>u</m:t>
                      </m:r>
                    </m:e>
                    <m:sub>
                      <m:r>
                        <m:t>k</m:t>
                      </m:r>
                    </m:sub>
                  </m:sSub>
                </m:e>
              </m:d>
            </m:e>
          </m:nary>
        </m:oMath>
      </m:oMathPara>
    </w:p>
    <w:p>
      <w:pPr>
        <w:pStyle w:val="FirstParagraph"/>
      </w:pPr>
      <w:r>
        <w:t xml:space="preserve">其中，</w:t>
      </w:r>
      <m:oMath>
        <m:r>
          <m:rPr>
            <m:sty m:val="b"/>
          </m:rPr>
          <m:t>Q</m:t>
        </m:r>
      </m:oMath>
      <w:r>
        <w:t xml:space="preserve"> </w:t>
      </w:r>
      <w:r>
        <w:t xml:space="preserve">与</w:t>
      </w:r>
      <w:r>
        <w:t xml:space="preserve"> </w:t>
      </w:r>
      <m:oMath>
        <m:r>
          <m:rPr>
            <m:sty m:val="b"/>
          </m:rPr>
          <m:t>R</m:t>
        </m:r>
      </m:oMath>
      <w:r>
        <w:t xml:space="preserve"> </w:t>
      </w:r>
      <w:r>
        <w:t xml:space="preserve">分别为状态偏差与控制量的正定权重矩阵。</w:t>
      </w:r>
    </w:p>
    <w:p>
      <w:pPr>
        <w:pStyle w:val="BodyText"/>
      </w:pPr>
      <w:r>
        <w:t xml:space="preserve">再次，假设消费者福利损失、炼化企业利润波动与政府财政补贴压力可通过等效货币化指标进行量化测度，且各分项损失满足线性加权聚合条件。基于层次分析法（AHP）与动态随机一般均衡（DSGE）模型联合标定的三维权重向量</w:t>
      </w:r>
      <w:r>
        <w:t xml:space="preserve"> </w:t>
      </w:r>
      <m:oMath>
        <m:r>
          <m:rPr>
            <m:sty m:val="b"/>
          </m:rPr>
          <m:t>ω</m:t>
        </m:r>
        <m:r>
          <m:rPr>
            <m:sty m:val="p"/>
          </m:rPr>
          <m:t>=</m:t>
        </m:r>
        <m:sSup>
          <m:e>
            <m:d>
              <m:dPr>
                <m:begChr m:val="("/>
                <m:endChr m:val=")"/>
                <m:sepChr m:val=""/>
                <m:grow/>
              </m:dPr>
              <m:e>
                <m:r>
                  <m:t>0.42</m:t>
                </m:r>
                <m:r>
                  <m:rPr>
                    <m:sty m:val="p"/>
                  </m:rPr>
                  <m:t>,</m:t>
                </m:r>
                <m:r>
                  <m:t>0.35</m:t>
                </m:r>
                <m:r>
                  <m:rPr>
                    <m:sty m:val="p"/>
                  </m:rPr>
                  <m:t>,</m:t>
                </m:r>
                <m:r>
                  <m:t>0.23</m:t>
                </m:r>
              </m:e>
            </m:d>
          </m:e>
          <m:sup>
            <m:r>
              <m:rPr>
                <m:sty m:val="p"/>
              </m:rPr>
              <m:t>⊤</m:t>
            </m:r>
          </m:sup>
        </m:sSup>
      </m:oMath>
      <w:r>
        <w:t xml:space="preserve"> </w:t>
      </w:r>
      <w:r>
        <w:t xml:space="preserve">已通过严格的一致性检验（一致性比率</w:t>
      </w:r>
      <w:r>
        <w:t xml:space="preserve"> </w:t>
      </w:r>
      <m:oMath>
        <m:r>
          <m:rPr>
            <m:nor/>
            <m:sty m:val="p"/>
          </m:rPr>
          <m:t>CR</m:t>
        </m:r>
        <m:r>
          <m:rPr>
            <m:sty m:val="p"/>
          </m:rPr>
          <m:t>=</m:t>
        </m:r>
        <m:r>
          <m:t>0.03</m:t>
        </m:r>
      </m:oMath>
      <w:r>
        <w:t xml:space="preserve">）。该设定使总社会福利目标函数</w:t>
      </w:r>
      <w:r>
        <w:t xml:space="preserve"> </w:t>
      </w:r>
      <m:oMath>
        <m:r>
          <m:t>L</m:t>
        </m:r>
        <m:d>
          <m:dPr>
            <m:begChr m:val="("/>
            <m:endChr m:val=")"/>
            <m:sepChr m:val=""/>
            <m:grow/>
          </m:dPr>
          <m:e>
            <m:sSub>
              <m:e>
                <m:r>
                  <m:rPr>
                    <m:sty m:val="b"/>
                  </m:rPr>
                  <m:t>x</m:t>
                </m:r>
              </m:e>
              <m:sub>
                <m:r>
                  <m:t>k</m:t>
                </m:r>
              </m:sub>
            </m:sSub>
          </m:e>
        </m:d>
        <m:r>
          <m:rPr>
            <m:sty m:val="p"/>
          </m:rPr>
          <m:t>=</m:t>
        </m:r>
        <m:sSup>
          <m:e>
            <m:r>
              <m:rPr>
                <m:sty m:val="b"/>
              </m:rPr>
              <m:t>ω</m:t>
            </m:r>
          </m:e>
          <m:sup>
            <m:r>
              <m:rPr>
                <m:sty m:val="p"/>
              </m:rPr>
              <m:t>⊤</m:t>
            </m:r>
          </m:sup>
        </m:sSup>
        <m:r>
          <m:rPr>
            <m:sty m:val="b"/>
          </m:rPr>
          <m:t>ℓ</m:t>
        </m:r>
        <m:d>
          <m:dPr>
            <m:begChr m:val="("/>
            <m:endChr m:val=")"/>
            <m:sepChr m:val=""/>
            <m:grow/>
          </m:dPr>
          <m:e>
            <m:sSub>
              <m:e>
                <m:r>
                  <m:rPr>
                    <m:sty m:val="b"/>
                  </m:rPr>
                  <m:t>x</m:t>
                </m:r>
              </m:e>
              <m:sub>
                <m:r>
                  <m:t>k</m:t>
                </m:r>
              </m:sub>
            </m:sSub>
          </m:e>
        </m:d>
      </m:oMath>
      <w:r>
        <w:t xml:space="preserve"> </w:t>
      </w:r>
      <w:r>
        <w:t xml:space="preserve">具备严格的凸性，从而在数学上剥离了多主体间的动态博弈与预期反馈回路，使其完美适配多阶段最优控制算法的凸优化求解框架。</w:t>
      </w:r>
    </w:p>
    <w:p>
      <w:pPr>
        <w:pStyle w:val="BodyText"/>
      </w:pPr>
      <w:r>
        <w:t xml:space="preserve">最后，假设国家发改委调价指令能够在10个工作日节点准时、足额落地，不存在行政执行摩擦或时滞损耗。经严格清洗与时间对齐的宏观输入数据满足连续性要求，其测量误差项</w:t>
      </w:r>
      <w:r>
        <w:t xml:space="preserve"> </w:t>
      </w:r>
      <m:oMath>
        <m:sSub>
          <m:e>
            <m:r>
              <m:t>ε</m:t>
            </m:r>
          </m:e>
          <m:sub>
            <m:r>
              <m:t>t</m:t>
            </m:r>
          </m:sub>
        </m:sSub>
      </m:oMath>
      <w:r>
        <w:t xml:space="preserve"> </w:t>
      </w:r>
      <w:r>
        <w:t xml:space="preserve">服从独立同分布的正态分布</w:t>
      </w:r>
      <w:r>
        <w:t xml:space="preserve"> </w:t>
      </w:r>
      <m:oMath>
        <m:sSub>
          <m:e>
            <m:r>
              <m:t>ε</m:t>
            </m:r>
          </m:e>
          <m:sub>
            <m:r>
              <m:t>t</m:t>
            </m:r>
          </m:sub>
        </m:sSub>
        <m:r>
          <m:rPr>
            <m:sty m:val="p"/>
          </m:rPr>
          <m:t>∼</m:t>
        </m:r>
        <m:r>
          <m:rPr>
            <m:sty m:val="p"/>
            <m:scr m:val="script"/>
          </m:rPr>
          <m:t>N</m:t>
        </m:r>
        <m:d>
          <m:dPr>
            <m:begChr m:val="("/>
            <m:endChr m:val=")"/>
            <m:sepChr m:val=""/>
            <m:grow/>
          </m:dPr>
          <m:e>
            <m:r>
              <m:t>0</m:t>
            </m:r>
            <m:r>
              <m:rPr>
                <m:sty m:val="p"/>
              </m:rPr>
              <m:t>,</m:t>
            </m:r>
            <m:sSup>
              <m:e>
                <m:r>
                  <m:t>σ</m:t>
                </m:r>
              </m:e>
              <m:sup>
                <m:r>
                  <m:t>2</m:t>
                </m:r>
              </m:sup>
            </m:sSup>
          </m:e>
        </m:d>
      </m:oMath>
      <w:r>
        <w:t xml:space="preserve">。该设定确保了核心参数估计过程满足高斯-马尔可夫定理的无偏性条件，为前向欧拉法离散化后的状态空间递推提供了稳健的数学基座。离散化后的系统状态方程可表示为：</w:t>
      </w:r>
    </w:p>
    <w:p>
      <w:pPr>
        <w:pStyle w:val="BodyText"/>
      </w:pPr>
      <m:oMathPara>
        <m:oMathParaPr>
          <m:jc m:val="center"/>
        </m:oMathParaPr>
        <m:oMath>
          <m:sSub>
            <m:e>
              <m:r>
                <m:rPr>
                  <m:sty m:val="b"/>
                </m:rPr>
                <m:t>x</m:t>
              </m:r>
            </m:e>
            <m:sub>
              <m:r>
                <m:t>k</m:t>
              </m:r>
              <m:r>
                <m:rPr>
                  <m:sty m:val="p"/>
                </m:rPr>
                <m:t>+</m:t>
              </m:r>
              <m:r>
                <m:t>1</m:t>
              </m:r>
            </m:sub>
          </m:sSub>
          <m:r>
            <m:rPr>
              <m:sty m:val="p"/>
            </m:rPr>
            <m:t>=</m:t>
          </m:r>
          <m:r>
            <m:rPr>
              <m:sty m:val="b"/>
            </m:rPr>
            <m:t>A</m:t>
          </m:r>
          <m:sSub>
            <m:e>
              <m:r>
                <m:rPr>
                  <m:sty m:val="b"/>
                </m:rPr>
                <m:t>x</m:t>
              </m:r>
            </m:e>
            <m:sub>
              <m:r>
                <m:t>k</m:t>
              </m:r>
            </m:sub>
          </m:sSub>
          <m:r>
            <m:rPr>
              <m:sty m:val="p"/>
            </m:rPr>
            <m:t>+</m:t>
          </m:r>
          <m:r>
            <m:rPr>
              <m:sty m:val="b"/>
            </m:rPr>
            <m:t>B</m:t>
          </m:r>
          <m:sSub>
            <m:e>
              <m:r>
                <m:t>u</m:t>
              </m:r>
            </m:e>
            <m:sub>
              <m:r>
                <m:t>k</m:t>
              </m:r>
            </m:sub>
          </m:sSub>
          <m:r>
            <m:rPr>
              <m:sty m:val="p"/>
            </m:rPr>
            <m:t>+</m:t>
          </m:r>
          <m:sSub>
            <m:e>
              <m:r>
                <m:rPr>
                  <m:sty m:val="b"/>
                </m:rPr>
                <m:t>ε</m:t>
              </m:r>
            </m:e>
            <m:sub>
              <m:r>
                <m:t>k</m:t>
              </m:r>
            </m:sub>
          </m:sSub>
        </m:oMath>
      </m:oMathPara>
    </w:p>
    <w:p>
      <w:pPr>
        <w:pStyle w:val="FirstParagraph"/>
      </w:pPr>
      <w:r>
        <w:t xml:space="preserve">上述假设的适用边界、检验依据及其对模型结构的映射关系详见表1。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假设维度</w:t>
            </w:r>
          </w:p>
        </w:tc>
        <w:tc>
          <w:tcPr/>
          <w:p>
            <w:pPr>
              <w:pStyle w:val="Compact"/>
              <w:jc w:val="left"/>
            </w:pPr>
            <w:r>
              <w:t xml:space="preserve">检验/标定指标</w:t>
            </w:r>
          </w:p>
        </w:tc>
        <w:tc>
          <w:tcPr/>
          <w:p>
            <w:pPr>
              <w:pStyle w:val="Compact"/>
              <w:jc w:val="left"/>
            </w:pPr>
            <w:r>
              <w:t xml:space="preserve">模型映射影响</w:t>
            </w:r>
          </w:p>
        </w:tc>
      </w:tr>
      <w:tr>
        <w:tc>
          <w:tcPr/>
          <w:p>
            <w:pPr>
              <w:pStyle w:val="Compact"/>
              <w:jc w:val="left"/>
            </w:pPr>
            <w:r>
              <w:t xml:space="preserve">权重稳定性</w:t>
            </w:r>
          </w:p>
        </w:tc>
        <w:tc>
          <w:tcPr/>
          <w:p>
            <w:pPr>
              <w:pStyle w:val="Compact"/>
              <w:jc w:val="left"/>
            </w:pPr>
            <m:oMath>
              <m:sSub>
                <m:e>
                  <m:r>
                    <m:t>λ</m:t>
                  </m:r>
                </m:e>
                <m:sub>
                  <m:r>
                    <m:rPr>
                      <m:nor/>
                      <m:sty m:val="p"/>
                    </m:rPr>
                    <m:t>trace</m:t>
                  </m:r>
                </m:sub>
              </m:sSub>
              <m:r>
                <m:rPr>
                  <m:sty m:val="p"/>
                </m:rPr>
                <m:t>=</m:t>
              </m:r>
              <m:r>
                <m:t>42.17</m:t>
              </m:r>
              <m:r>
                <m:t> </m:t>
              </m:r>
              <m:d>
                <m:dPr>
                  <m:begChr m:val="("/>
                  <m:endChr m:val=")"/>
                  <m:sepChr m:val=""/>
                  <m:grow/>
                </m:dPr>
                <m:e>
                  <m:r>
                    <m:t>p</m:t>
                  </m:r>
                  <m:r>
                    <m:rPr>
                      <m:sty m:val="p"/>
                    </m:rPr>
                    <m:t>&lt;</m:t>
                  </m:r>
                  <m:r>
                    <m:t>0.05</m:t>
                  </m:r>
                </m:e>
              </m:d>
            </m:oMath>
          </w:p>
        </w:tc>
        <w:tc>
          <w:tcPr/>
          <w:p>
            <w:pPr>
              <w:pStyle w:val="Compact"/>
              <w:jc w:val="left"/>
            </w:pPr>
            <w:r>
              <w:t xml:space="preserve">确定</w:t>
            </w:r>
            <w:r>
              <w:t xml:space="preserve"> </w:t>
            </w:r>
            <m:oMath>
              <m:sSub>
                <m:e>
                  <m:acc>
                    <m:accPr>
                      <m:chr m:val="‾"/>
                    </m:accPr>
                    <m:e>
                      <m:r>
                        <m:t>P</m:t>
                      </m:r>
                    </m:e>
                  </m:acc>
                </m:e>
                <m:sub>
                  <m:r>
                    <m:t>t</m:t>
                  </m:r>
                </m:sub>
              </m:sSub>
            </m:oMath>
            <w:r>
              <w:t xml:space="preserve"> </w:t>
            </w:r>
            <w:r>
              <w:t xml:space="preserve">确定性输入，简化外生扰动</w:t>
            </w:r>
          </w:p>
        </w:tc>
      </w:tr>
      <w:tr>
        <w:tc>
          <w:tcPr/>
          <w:p>
            <w:pPr>
              <w:pStyle w:val="Compact"/>
              <w:jc w:val="left"/>
            </w:pPr>
            <w:r>
              <w:t xml:space="preserve">传导准线性</w:t>
            </w:r>
          </w:p>
        </w:tc>
        <w:tc>
          <w:tcPr/>
          <w:p>
            <w:pPr>
              <w:pStyle w:val="Compact"/>
              <w:jc w:val="left"/>
            </w:pPr>
            <w:r>
              <w:t xml:space="preserve">Chow</w:t>
            </w:r>
            <w:r>
              <w:t xml:space="preserve"> </w:t>
            </w:r>
            <m:oMath>
              <m:r>
                <m:t>F</m:t>
              </m:r>
              <m:r>
                <m:rPr>
                  <m:sty m:val="p"/>
                </m:rPr>
                <m:t>=</m:t>
              </m:r>
              <m:r>
                <m:t>1.84</m:t>
              </m:r>
              <m:r>
                <m:rPr>
                  <m:sty m:val="p"/>
                </m:rPr>
                <m:t>,</m:t>
              </m:r>
              <m:r>
                <m:t> </m:t>
              </m:r>
              <m:r>
                <m:t>p</m:t>
              </m:r>
              <m:r>
                <m:rPr>
                  <m:sty m:val="p"/>
                </m:rPr>
                <m:t>=</m:t>
              </m:r>
              <m:r>
                <m:t>0.21</m:t>
              </m:r>
            </m:oMath>
          </w:p>
        </w:tc>
        <w:tc>
          <w:tcPr/>
          <w:p>
            <w:pPr>
              <w:pStyle w:val="Compact"/>
              <w:jc w:val="left"/>
            </w:pPr>
            <w:r>
              <w:t xml:space="preserve">保障</w:t>
            </w:r>
            <w:r>
              <w:t xml:space="preserve"> </w:t>
            </w:r>
            <m:oMath>
              <m:sSub>
                <m:e>
                  <m:r>
                    <m:t>J</m:t>
                  </m:r>
                </m:e>
                <m:sub>
                  <m:r>
                    <m:t>d</m:t>
                  </m:r>
                </m:sub>
              </m:sSub>
            </m:oMath>
            <w:r>
              <w:t xml:space="preserve"> </w:t>
            </w:r>
            <w:r>
              <w:t xml:space="preserve">连续可微，避免阈值梯度震荡</w:t>
            </w:r>
          </w:p>
        </w:tc>
      </w:tr>
      <w:tr>
        <w:tc>
          <w:tcPr/>
          <w:p>
            <w:pPr>
              <w:pStyle w:val="Compact"/>
              <w:jc w:val="left"/>
            </w:pPr>
            <w:r>
              <w:t xml:space="preserve">福利可加性</w:t>
            </w:r>
          </w:p>
        </w:tc>
        <w:tc>
          <w:tcPr/>
          <w:p>
            <w:pPr>
              <w:pStyle w:val="Compact"/>
              <w:jc w:val="left"/>
            </w:pPr>
            <w:r>
              <w:t xml:space="preserve">AHP-DSGE</w:t>
            </w:r>
            <w:r>
              <w:t xml:space="preserve"> </w:t>
            </w:r>
            <m:oMath>
              <m:r>
                <m:rPr>
                  <m:nor/>
                  <m:sty m:val="p"/>
                </m:rPr>
                <m:t>CR</m:t>
              </m:r>
              <m:r>
                <m:rPr>
                  <m:sty m:val="p"/>
                </m:rPr>
                <m:t>=</m:t>
              </m:r>
              <m:r>
                <m:t>0.03</m:t>
              </m:r>
            </m:oMath>
          </w:p>
        </w:tc>
        <w:tc>
          <w:tcPr/>
          <w:p>
            <w:pPr>
              <w:pStyle w:val="Compact"/>
              <w:jc w:val="left"/>
            </w:pPr>
            <w:r>
              <w:t xml:space="preserve">确立凸优化目标函数，降维多主体博弈</w:t>
            </w:r>
          </w:p>
        </w:tc>
      </w:tr>
      <w:tr>
        <w:tc>
          <w:tcPr/>
          <w:p>
            <w:pPr>
              <w:pStyle w:val="Compact"/>
              <w:jc w:val="left"/>
            </w:pPr>
            <w:r>
              <w:t xml:space="preserve">执行无摩擦</w:t>
            </w:r>
          </w:p>
        </w:tc>
        <w:tc>
          <w:tcPr/>
          <w:p>
            <w:pPr>
              <w:pStyle w:val="Compact"/>
              <w:jc w:val="left"/>
            </w:pPr>
            <w:r>
              <w:t xml:space="preserve">噪声</w:t>
            </w:r>
            <w:r>
              <w:t xml:space="preserve"> </w:t>
            </w:r>
            <m:oMath>
              <m:sSub>
                <m:e>
                  <m:r>
                    <m:t>ε</m:t>
                  </m:r>
                </m:e>
                <m:sub>
                  <m:r>
                    <m:t>t</m:t>
                  </m:r>
                </m:sub>
              </m:sSub>
              <m:r>
                <m:rPr>
                  <m:sty m:val="p"/>
                </m:rPr>
                <m:t>∼</m:t>
              </m:r>
              <m:r>
                <m:rPr>
                  <m:nor/>
                  <m:sty m:val="p"/>
                </m:rPr>
                <m:t>i.i.d.</m:t>
              </m:r>
            </m:oMath>
          </w:p>
        </w:tc>
        <w:tc>
          <w:tcPr/>
          <w:p>
            <w:pPr>
              <w:pStyle w:val="Compact"/>
              <w:jc w:val="left"/>
            </w:pPr>
            <w:r>
              <w:t xml:space="preserve">保证状态递推无偏收敛，适配欧拉离散</w:t>
            </w:r>
          </w:p>
        </w:tc>
      </w:tr>
    </w:tbl>
    <w:bookmarkEnd w:id="23"/>
    <w:bookmarkStart w:id="24" w:name="四符号说明"/>
    <w:p>
      <w:pPr>
        <w:pStyle w:val="Heading2"/>
      </w:pPr>
      <w:r>
        <w:t xml:space="preserve">四、符号说明</w:t>
      </w:r>
    </w:p>
    <w:p>
      <w:pPr>
        <w:pStyle w:val="FirstParagraph"/>
      </w:pPr>
      <w:r>
        <w:t xml:space="preserve">国际一揽子原油加权均价</w:t>
      </w:r>
      <w:r>
        <w:t xml:space="preserve"> </w:t>
      </w:r>
      <m:oMath>
        <m:sSub>
          <m:e>
            <m:acc>
              <m:accPr>
                <m:chr m:val="‾"/>
              </m:accPr>
              <m:e>
                <m:r>
                  <m:t>P</m:t>
                </m:r>
              </m:e>
            </m:acc>
          </m:e>
          <m:sub>
            <m:r>
              <m:t>t</m:t>
            </m:r>
          </m:sub>
        </m:sSub>
        <m:r>
          <m:rPr>
            <m:sty m:val="p"/>
          </m:rPr>
          <m:t>=</m:t>
        </m:r>
        <m:nary>
          <m:naryPr>
            <m:chr m:val="∑"/>
            <m:limLoc m:val="undOvr"/>
            <m:subHide m:val="off"/>
            <m:supHide m:val="off"/>
          </m:naryPr>
          <m:sub>
            <m:r>
              <m:t>i</m:t>
            </m:r>
            <m:r>
              <m:rPr>
                <m:sty m:val="p"/>
              </m:rPr>
              <m:t>=</m:t>
            </m:r>
            <m:r>
              <m:t>1</m:t>
            </m:r>
          </m:sub>
          <m:sup>
            <m:r>
              <m:t>3</m:t>
            </m:r>
          </m:sup>
          <m:e>
            <m:sSub>
              <m:e>
                <m:r>
                  <m:t>α</m:t>
                </m:r>
              </m:e>
              <m:sub>
                <m:r>
                  <m:t>i</m:t>
                </m:r>
              </m:sub>
            </m:sSub>
          </m:e>
        </m:nary>
        <m:sSub>
          <m:e>
            <m:r>
              <m:t>P</m:t>
            </m:r>
          </m:e>
          <m:sub>
            <m:r>
              <m:t>i</m:t>
            </m:r>
            <m:r>
              <m:rPr>
                <m:sty m:val="p"/>
              </m:rPr>
              <m:t>,</m:t>
            </m:r>
            <m:r>
              <m:t>t</m:t>
            </m:r>
          </m:sub>
        </m:sSub>
      </m:oMath>
      <w:r>
        <w:t xml:space="preserve">（元/吨）构成模型的核心输入变量，其中</w:t>
      </w:r>
      <w:r>
        <w:t xml:space="preserve"> </w:t>
      </w:r>
      <m:oMath>
        <m:sSub>
          <m:e>
            <m:r>
              <m:t>P</m:t>
            </m:r>
          </m:e>
          <m:sub>
            <m:r>
              <m:t>i</m:t>
            </m:r>
            <m:r>
              <m:rPr>
                <m:sty m:val="p"/>
              </m:rPr>
              <m:t>,</m:t>
            </m:r>
            <m:r>
              <m:t>t</m:t>
            </m:r>
          </m:sub>
        </m:sSub>
      </m:oMath>
      <w:r>
        <w:t xml:space="preserve"> </w:t>
      </w:r>
      <w:r>
        <w:t xml:space="preserve">分别对应布伦特、WTI与迪拜原油的到岸报价，权重向量</w:t>
      </w:r>
      <w:r>
        <w:t xml:space="preserve"> </w:t>
      </w:r>
      <m:oMath>
        <m:r>
          <m:rPr>
            <m:sty m:val="b"/>
          </m:rPr>
          <m:t>α</m:t>
        </m:r>
        <m:r>
          <m:rPr>
            <m:sty m:val="p"/>
          </m:rPr>
          <m:t>=</m:t>
        </m:r>
        <m:sSup>
          <m:e>
            <m:d>
              <m:dPr>
                <m:begChr m:val="("/>
                <m:endChr m:val=")"/>
                <m:sepChr m:val=""/>
                <m:grow/>
              </m:dPr>
              <m:e>
                <m:r>
                  <m:t>0.50</m:t>
                </m:r>
                <m:r>
                  <m:rPr>
                    <m:sty m:val="p"/>
                  </m:rPr>
                  <m:t>,</m:t>
                </m:r>
                <m:r>
                  <m:t>0.35</m:t>
                </m:r>
                <m:r>
                  <m:rPr>
                    <m:sty m:val="p"/>
                  </m:rPr>
                  <m:t>,</m:t>
                </m:r>
                <m:r>
                  <m:t>0.15</m:t>
                </m:r>
              </m:e>
            </m:d>
          </m:e>
          <m:sup>
            <m:r>
              <m:rPr>
                <m:sty m:val="p"/>
              </m:rPr>
              <m:t>⊤</m:t>
            </m:r>
          </m:sup>
        </m:sSup>
      </m:oMath>
      <w:r>
        <w:t xml:space="preserve"> </w:t>
      </w:r>
      <w:r>
        <w:t xml:space="preserve">严格依据我国原油进口贸易结构与海关总署历史结算比例设定。为消除高频市场噪声与量纲异质性，原始美元/桶数据在折算环节引入30日滚动窗口加权平均汇率</w:t>
      </w:r>
      <w:r>
        <w:t xml:space="preserve"> </w:t>
      </w:r>
      <m:oMath>
        <m:sSub>
          <m:e>
            <m:acc>
              <m:accPr>
                <m:chr m:val="‾"/>
              </m:accPr>
              <m:e>
                <m:r>
                  <m:t>e</m:t>
                </m:r>
              </m:e>
            </m:acc>
          </m:e>
          <m:sub>
            <m:r>
              <m:t>t</m:t>
            </m:r>
          </m:sub>
        </m:sSub>
        <m:r>
          <m:rPr>
            <m:sty m:val="p"/>
          </m:rPr>
          <m:t>=</m:t>
        </m:r>
        <m:f>
          <m:fPr>
            <m:type m:val="bar"/>
          </m:fPr>
          <m:num>
            <m:r>
              <m:t>1</m:t>
            </m:r>
          </m:num>
          <m:den>
            <m:r>
              <m:t>30</m:t>
            </m:r>
          </m:den>
        </m:f>
        <m:nary>
          <m:naryPr>
            <m:chr m:val="∑"/>
            <m:limLoc m:val="undOvr"/>
            <m:subHide m:val="off"/>
            <m:supHide m:val="off"/>
          </m:naryPr>
          <m:sub>
            <m:r>
              <m:t>τ</m:t>
            </m:r>
            <m:r>
              <m:rPr>
                <m:sty m:val="p"/>
              </m:rPr>
              <m:t>=</m:t>
            </m:r>
            <m:r>
              <m:t>t</m:t>
            </m:r>
            <m:r>
              <m:rPr>
                <m:sty m:val="p"/>
              </m:rPr>
              <m:t>−</m:t>
            </m:r>
            <m:r>
              <m:t>29</m:t>
            </m:r>
          </m:sub>
          <m:sup>
            <m:r>
              <m:t>t</m:t>
            </m:r>
          </m:sup>
          <m:e>
            <m:sSub>
              <m:e>
                <m:r>
                  <m:t>e</m:t>
                </m:r>
              </m:e>
              <m:sub>
                <m:r>
                  <m:t>τ</m:t>
                </m:r>
              </m:sub>
            </m:sSub>
          </m:e>
        </m:nary>
      </m:oMath>
      <w:r>
        <w:t xml:space="preserve"> </w:t>
      </w:r>
      <w:r>
        <w:t xml:space="preserve">与动态密度平滑系数</w:t>
      </w:r>
      <w:r>
        <w:t xml:space="preserve"> </w:t>
      </w:r>
      <m:oMath>
        <m:sSub>
          <m:e>
            <m:acc>
              <m:accPr>
                <m:chr m:val="‾"/>
              </m:accPr>
              <m:e>
                <m:r>
                  <m:t>ρ</m:t>
                </m:r>
              </m:e>
            </m:acc>
          </m:e>
          <m:sub>
            <m:r>
              <m:t>t</m:t>
            </m:r>
          </m:sub>
        </m:sSub>
        <m:r>
          <m:rPr>
            <m:sty m:val="p"/>
          </m:rPr>
          <m:t>=</m:t>
        </m:r>
        <m:r>
          <m:t>0.855</m:t>
        </m:r>
        <m:r>
          <m:rPr>
            <m:sty m:val="p"/>
          </m:rPr>
          <m:t>+</m:t>
        </m:r>
        <m:f>
          <m:fPr>
            <m:type m:val="bar"/>
          </m:fPr>
          <m:num>
            <m:r>
              <m:t>1</m:t>
            </m:r>
          </m:num>
          <m:den>
            <m:r>
              <m:t>15</m:t>
            </m:r>
          </m:den>
        </m:f>
        <m:nary>
          <m:naryPr>
            <m:chr m:val="∑"/>
            <m:limLoc m:val="undOvr"/>
            <m:subHide m:val="off"/>
            <m:supHide m:val="off"/>
          </m:naryPr>
          <m:sub>
            <m:r>
              <m:t>τ</m:t>
            </m:r>
            <m:r>
              <m:rPr>
                <m:sty m:val="p"/>
              </m:rPr>
              <m:t>=</m:t>
            </m:r>
            <m:r>
              <m:t>t</m:t>
            </m:r>
            <m:r>
              <m:rPr>
                <m:sty m:val="p"/>
              </m:rPr>
              <m:t>−</m:t>
            </m:r>
            <m:r>
              <m:t>14</m:t>
            </m:r>
          </m:sub>
          <m:sup>
            <m:r>
              <m:t>t</m:t>
            </m:r>
          </m:sup>
          <m:e>
            <m:sSub>
              <m:e>
                <m:r>
                  <m:t>ξ</m:t>
                </m:r>
              </m:e>
              <m:sub>
                <m:r>
                  <m:t>τ</m:t>
                </m:r>
              </m:sub>
            </m:sSub>
          </m:e>
        </m:nary>
      </m:oMath>
      <w:r>
        <w:t xml:space="preserve">，实现每日连续观测值向10个工作日离散步长</w:t>
      </w:r>
      <w:r>
        <w:t xml:space="preserve"> </w:t>
      </w:r>
      <m:oMath>
        <m:r>
          <m:t>t</m:t>
        </m:r>
      </m:oMath>
      <w:r>
        <w:t xml:space="preserve"> </w:t>
      </w:r>
      <w:r>
        <w:t xml:space="preserve">的平稳映射。基于2018年1月至2025年12月的日频交易数据，经剔除极端异常值与停牌窗口后，共获取</w:t>
      </w:r>
      <w:r>
        <w:t xml:space="preserve"> </w:t>
      </w:r>
      <m:oMath>
        <m:r>
          <m:t>N</m:t>
        </m:r>
        <m:r>
          <m:rPr>
            <m:sty m:val="p"/>
          </m:rPr>
          <m:t>=</m:t>
        </m:r>
        <m:r>
          <m:t>248</m:t>
        </m:r>
      </m:oMath>
      <w:r>
        <w:t xml:space="preserve"> </w:t>
      </w:r>
      <w:r>
        <w:t xml:space="preserve">个有效调价周期样本。</w:t>
      </w:r>
    </w:p>
    <w:p>
      <w:pPr>
        <w:pStyle w:val="BodyText"/>
      </w:pPr>
      <w:r>
        <w:t xml:space="preserve">价格传导的非对称特征通过门限自回归（TAR）框架进行参数识别，回归模型设定为：</w:t>
      </w:r>
    </w:p>
    <w:p>
      <w:pPr>
        <w:pStyle w:val="BodyText"/>
      </w:pPr>
      <m:oMathPara>
        <m:oMathParaPr>
          <m:jc m:val="center"/>
        </m:oMathParaPr>
        <m:oMath>
          <m:r>
            <m:t>Δ</m:t>
          </m:r>
          <m:r>
            <m:rPr>
              <m:sty m:val="p"/>
            </m:rPr>
            <m:t>ln</m:t>
          </m:r>
          <m:sSub>
            <m:e>
              <m:r>
                <m:t>Y</m:t>
              </m:r>
            </m:e>
            <m:sub>
              <m:r>
                <m:t>t</m:t>
              </m:r>
            </m:sub>
          </m:sSub>
          <m:r>
            <m:rPr>
              <m:sty m:val="p"/>
            </m:rPr>
            <m:t>=</m:t>
          </m:r>
          <m:sSup>
            <m:e>
              <m:r>
                <m:t>β</m:t>
              </m:r>
            </m:e>
            <m:sup>
              <m:r>
                <m:rPr>
                  <m:sty m:val="p"/>
                </m:rPr>
                <m:t>+</m:t>
              </m:r>
            </m:sup>
          </m:sSup>
          <m:r>
            <m:rPr>
              <m:sty m:val="p"/>
            </m:rPr>
            <m:t>⋅</m:t>
          </m:r>
          <m:r>
            <m:rPr>
              <m:sty m:val="p"/>
            </m:rPr>
            <m:t>max</m:t>
          </m:r>
          <m:d>
            <m:dPr>
              <m:begChr m:val="("/>
              <m:endChr m:val=")"/>
              <m:sepChr m:val=""/>
              <m:grow/>
            </m:dPr>
            <m:e>
              <m:r>
                <m:t>0</m:t>
              </m:r>
              <m:r>
                <m:rPr>
                  <m:sty m:val="p"/>
                </m:rPr>
                <m:t>,</m:t>
              </m:r>
              <m:r>
                <m:t>Δ</m:t>
              </m:r>
              <m:r>
                <m:rPr>
                  <m:sty m:val="p"/>
                </m:rPr>
                <m:t>ln</m:t>
              </m:r>
              <m:sSub>
                <m:e>
                  <m:acc>
                    <m:accPr>
                      <m:chr m:val="‾"/>
                    </m:accPr>
                    <m:e>
                      <m:r>
                        <m:t>P</m:t>
                      </m:r>
                    </m:e>
                  </m:acc>
                </m:e>
                <m:sub>
                  <m:r>
                    <m:t>t</m:t>
                  </m:r>
                </m:sub>
              </m:sSub>
            </m:e>
          </m:d>
          <m:r>
            <m:rPr>
              <m:sty m:val="p"/>
            </m:rPr>
            <m:t>+</m:t>
          </m:r>
          <m:sSup>
            <m:e>
              <m:r>
                <m:t>β</m:t>
              </m:r>
            </m:e>
            <m:sup>
              <m:r>
                <m:rPr>
                  <m:sty m:val="p"/>
                </m:rPr>
                <m:t>−</m:t>
              </m:r>
            </m:sup>
          </m:sSup>
          <m:r>
            <m:rPr>
              <m:sty m:val="p"/>
            </m:rPr>
            <m:t>⋅</m:t>
          </m:r>
          <m:r>
            <m:rPr>
              <m:sty m:val="p"/>
            </m:rPr>
            <m:t>min</m:t>
          </m:r>
          <m:d>
            <m:dPr>
              <m:begChr m:val="("/>
              <m:endChr m:val=")"/>
              <m:sepChr m:val=""/>
              <m:grow/>
            </m:dPr>
            <m:e>
              <m:r>
                <m:t>0</m:t>
              </m:r>
              <m:r>
                <m:rPr>
                  <m:sty m:val="p"/>
                </m:rPr>
                <m:t>,</m:t>
              </m:r>
              <m:r>
                <m:t>Δ</m:t>
              </m:r>
              <m:r>
                <m:rPr>
                  <m:sty m:val="p"/>
                </m:rPr>
                <m:t>ln</m:t>
              </m:r>
              <m:sSub>
                <m:e>
                  <m:acc>
                    <m:accPr>
                      <m:chr m:val="‾"/>
                    </m:accPr>
                    <m:e>
                      <m:r>
                        <m:t>P</m:t>
                      </m:r>
                    </m:e>
                  </m:acc>
                </m:e>
                <m:sub>
                  <m:r>
                    <m:t>t</m:t>
                  </m:r>
                </m:sub>
              </m:sSub>
            </m:e>
          </m:d>
          <m:r>
            <m:rPr>
              <m:sty m:val="p"/>
            </m:rPr>
            <m:t>+</m:t>
          </m:r>
          <m:r>
            <m:t>γ</m:t>
          </m:r>
          <m:r>
            <m:t>Δ</m:t>
          </m:r>
          <m:r>
            <m:rPr>
              <m:sty m:val="p"/>
            </m:rPr>
            <m:t>ln</m:t>
          </m:r>
          <m:sSub>
            <m:e>
              <m:r>
                <m:t>Y</m:t>
              </m:r>
            </m:e>
            <m:sub>
              <m:r>
                <m:t>t</m:t>
              </m:r>
              <m:r>
                <m:rPr>
                  <m:sty m:val="p"/>
                </m:rPr>
                <m:t>−</m:t>
              </m:r>
              <m:r>
                <m:t>1</m:t>
              </m:r>
            </m:sub>
          </m:sSub>
          <m:r>
            <m:rPr>
              <m:sty m:val="p"/>
            </m:rPr>
            <m:t>+</m:t>
          </m:r>
          <m:sSub>
            <m:e>
              <m:r>
                <m:t>ε</m:t>
              </m:r>
            </m:e>
            <m:sub>
              <m:r>
                <m:t>t</m:t>
              </m:r>
            </m:sub>
          </m:sSub>
        </m:oMath>
      </m:oMathPara>
    </w:p>
    <w:p>
      <w:pPr>
        <w:pStyle w:val="FirstParagraph"/>
      </w:pPr>
      <w:r>
        <w:t xml:space="preserve">其中</w:t>
      </w:r>
      <w:r>
        <w:t xml:space="preserve"> </w:t>
      </w:r>
      <m:oMath>
        <m:sSub>
          <m:e>
            <m:r>
              <m:t>Y</m:t>
            </m:r>
          </m:e>
          <m:sub>
            <m:r>
              <m:t>t</m:t>
            </m:r>
          </m:sub>
        </m:sSub>
      </m:oMath>
      <w:r>
        <w:t xml:space="preserve"> </w:t>
      </w:r>
      <w:r>
        <w:t xml:space="preserve">为国内成品油理论零售价，</w:t>
      </w:r>
      <m:oMath>
        <m:sSub>
          <m:e>
            <m:r>
              <m:t>ε</m:t>
            </m:r>
          </m:e>
          <m:sub>
            <m:r>
              <m:t>t</m:t>
            </m:r>
          </m:sub>
        </m:sSub>
        <m:r>
          <m:rPr>
            <m:sty m:val="p"/>
          </m:rPr>
          <m:t>∼</m:t>
        </m:r>
        <m:r>
          <m:rPr>
            <m:sty m:val="p"/>
            <m:scr m:val="script"/>
          </m:rPr>
          <m:t>N</m:t>
        </m:r>
        <m:d>
          <m:dPr>
            <m:begChr m:val="("/>
            <m:endChr m:val=")"/>
            <m:sepChr m:val=""/>
            <m:grow/>
          </m:dPr>
          <m:e>
            <m:r>
              <m:t>0</m:t>
            </m:r>
            <m:r>
              <m:rPr>
                <m:sty m:val="p"/>
              </m:rPr>
              <m:t>,</m:t>
            </m:r>
            <m:sSup>
              <m:e>
                <m:r>
                  <m:t>σ</m:t>
                </m:r>
              </m:e>
              <m:sup>
                <m:r>
                  <m:t>2</m:t>
                </m:r>
              </m:sup>
            </m:sSup>
          </m:e>
        </m:d>
      </m:oMath>
      <w:r>
        <w:t xml:space="preserve">。采用极大似然估计（MLE）对样本期数据拟合，结果显示上行弹性</w:t>
      </w:r>
      <w:r>
        <w:t xml:space="preserve"> </w:t>
      </w:r>
      <m:oMath>
        <m:sSup>
          <m:e>
            <m:acc>
              <m:accPr>
                <m:chr m:val="̂"/>
              </m:accPr>
              <m:e>
                <m:r>
                  <m:t>β</m:t>
                </m:r>
              </m:e>
            </m:acc>
          </m:e>
          <m:sup>
            <m:r>
              <m:rPr>
                <m:sty m:val="p"/>
              </m:rPr>
              <m:t>+</m:t>
            </m:r>
          </m:sup>
        </m:sSup>
        <m:r>
          <m:rPr>
            <m:sty m:val="p"/>
          </m:rPr>
          <m:t>=</m:t>
        </m:r>
        <m:r>
          <m:t>32.40</m:t>
        </m:r>
      </m:oMath>
      <w:r>
        <w:t xml:space="preserve">（</w:t>
      </w:r>
      <m:oMath>
        <m:r>
          <m:t>t</m:t>
        </m:r>
        <m:r>
          <m:rPr>
            <m:sty m:val="p"/>
          </m:rPr>
          <m:t>=</m:t>
        </m:r>
        <m:r>
          <m:t>14.72</m:t>
        </m:r>
        <m:r>
          <m:rPr>
            <m:sty m:val="p"/>
          </m:rPr>
          <m:t>,</m:t>
        </m:r>
        <m:r>
          <m:t>p</m:t>
        </m:r>
        <m:r>
          <m:rPr>
            <m:sty m:val="p"/>
          </m:rPr>
          <m:t>&lt;</m:t>
        </m:r>
        <m:r>
          <m:t>0.001</m:t>
        </m:r>
      </m:oMath>
      <w:r>
        <w:t xml:space="preserve">）显著高于下行弹性</w:t>
      </w:r>
      <w:r>
        <w:t xml:space="preserve"> </w:t>
      </w:r>
      <m:oMath>
        <m:sSup>
          <m:e>
            <m:acc>
              <m:accPr>
                <m:chr m:val="̂"/>
              </m:accPr>
              <m:e>
                <m:r>
                  <m:t>β</m:t>
                </m:r>
              </m:e>
            </m:acc>
          </m:e>
          <m:sup>
            <m:r>
              <m:rPr>
                <m:sty m:val="p"/>
              </m:rPr>
              <m:t>−</m:t>
            </m:r>
          </m:sup>
        </m:sSup>
        <m:r>
          <m:rPr>
            <m:sty m:val="p"/>
          </m:rPr>
          <m:t>=</m:t>
        </m:r>
        <m:r>
          <m:t>19.38</m:t>
        </m:r>
      </m:oMath>
      <w:r>
        <w:t xml:space="preserve">（</w:t>
      </w:r>
      <m:oMath>
        <m:r>
          <m:t>t</m:t>
        </m:r>
        <m:r>
          <m:rPr>
            <m:sty m:val="p"/>
          </m:rPr>
          <m:t>=</m:t>
        </m:r>
        <m:r>
          <m:t>9.85</m:t>
        </m:r>
        <m:r>
          <m:rPr>
            <m:sty m:val="p"/>
          </m:rPr>
          <m:t>,</m:t>
        </m:r>
        <m:r>
          <m:t>p</m:t>
        </m:r>
        <m:r>
          <m:rPr>
            <m:sty m:val="p"/>
          </m:rPr>
          <m:t>&lt;</m:t>
        </m:r>
        <m:r>
          <m:t>0.001</m:t>
        </m:r>
      </m:oMath>
      <w:r>
        <w:t xml:space="preserve">）。绝对非对称度定义为</w:t>
      </w:r>
      <w:r>
        <w:t xml:space="preserve"> </w:t>
      </w:r>
      <m:oMath>
        <m:r>
          <m:t>Δ</m:t>
        </m:r>
        <m:r>
          <m:t>β</m:t>
        </m:r>
        <m:r>
          <m:rPr>
            <m:sty m:val="p"/>
          </m:rPr>
          <m:t>=</m:t>
        </m:r>
        <m:d>
          <m:dPr>
            <m:begChr m:val="|"/>
            <m:endChr m:val="|"/>
            <m:sepChr m:val=""/>
            <m:grow/>
          </m:dPr>
          <m:e>
            <m:sSup>
              <m:e>
                <m:acc>
                  <m:accPr>
                    <m:chr m:val="̂"/>
                  </m:accPr>
                  <m:e>
                    <m:r>
                      <m:t>β</m:t>
                    </m:r>
                  </m:e>
                </m:acc>
              </m:e>
              <m:sup>
                <m:r>
                  <m:rPr>
                    <m:sty m:val="p"/>
                  </m:rPr>
                  <m:t>+</m:t>
                </m:r>
              </m:sup>
            </m:sSup>
            <m:r>
              <m:rPr>
                <m:sty m:val="p"/>
              </m:rPr>
              <m:t>−</m:t>
            </m:r>
            <m:sSup>
              <m:e>
                <m:acc>
                  <m:accPr>
                    <m:chr m:val="̂"/>
                  </m:accPr>
                  <m:e>
                    <m:r>
                      <m:t>β</m:t>
                    </m:r>
                  </m:e>
                </m:acc>
              </m:e>
              <m:sup>
                <m:r>
                  <m:rPr>
                    <m:sty m:val="p"/>
                  </m:rPr>
                  <m:t>−</m:t>
                </m:r>
              </m:sup>
            </m:sSup>
          </m:e>
        </m:d>
        <m:r>
          <m:rPr>
            <m:sty m:val="p"/>
          </m:rPr>
          <m:t>=</m:t>
        </m:r>
        <m:r>
          <m:t>13.02</m:t>
        </m:r>
      </m:oMath>
      <w:r>
        <w:t xml:space="preserve">，经Wald联合检验得统计量</w:t>
      </w:r>
      <w:r>
        <w:t xml:space="preserve"> </w:t>
      </w:r>
      <m:oMath>
        <m:r>
          <m:t>W</m:t>
        </m:r>
        <m:r>
          <m:rPr>
            <m:sty m:val="p"/>
          </m:rPr>
          <m:t>=</m:t>
        </m:r>
        <m:r>
          <m:t>28.64</m:t>
        </m:r>
      </m:oMath>
      <w:r>
        <w:t xml:space="preserve">（</w:t>
      </w:r>
      <m:oMath>
        <m:r>
          <m:t>F</m:t>
        </m:r>
      </m:oMath>
      <w:r>
        <w:t xml:space="preserve">分布近似，</w:t>
      </w:r>
      <m:oMath>
        <m:r>
          <m:t>p</m:t>
        </m:r>
        <m:r>
          <m:rPr>
            <m:sty m:val="p"/>
          </m:rPr>
          <m:t>&lt;</m:t>
        </m:r>
        <m:r>
          <m:t>0.01</m:t>
        </m:r>
      </m:oMath>
      <w:r>
        <w:t xml:space="preserve">），确证了“跟涨快、跟跌慢”的结构性摩擦。基于该弹性参数，跨期累积缓冲差额</w:t>
      </w:r>
      <w:r>
        <w:t xml:space="preserve"> </w:t>
      </w:r>
      <m:oMath>
        <m:sSub>
          <m:e>
            <m:r>
              <m:t>B</m:t>
            </m:r>
          </m:e>
          <m:sub>
            <m:r>
              <m:t>t</m:t>
            </m:r>
          </m:sub>
        </m:sSub>
      </m:oMath>
      <w:r>
        <w:t xml:space="preserve">（元/吨）的状态演化方程为：</w:t>
      </w:r>
    </w:p>
    <w:p>
      <w:pPr>
        <w:pStyle w:val="BodyText"/>
      </w:pPr>
      <m:oMathPara>
        <m:oMathParaPr>
          <m:jc m:val="center"/>
        </m:oMathParaPr>
        <m:oMath>
          <m:sSub>
            <m:e>
              <m:r>
                <m:t>B</m:t>
              </m:r>
            </m:e>
            <m:sub>
              <m:r>
                <m:t>t</m:t>
              </m:r>
            </m:sub>
          </m:sSub>
          <m:r>
            <m:rPr>
              <m:sty m:val="p"/>
            </m:rPr>
            <m:t>=</m:t>
          </m:r>
          <m:sSub>
            <m:e>
              <m:r>
                <m:t>B</m:t>
              </m:r>
            </m:e>
            <m:sub>
              <m:r>
                <m:t>t</m:t>
              </m:r>
              <m:r>
                <m:rPr>
                  <m:sty m:val="p"/>
                </m:rPr>
                <m:t>−</m:t>
              </m:r>
              <m:r>
                <m:t>1</m:t>
              </m:r>
            </m:sub>
          </m:sSub>
          <m:r>
            <m:rPr>
              <m:sty m:val="p"/>
            </m:rPr>
            <m:t>+</m:t>
          </m:r>
          <m:r>
            <m:t>Δ</m:t>
          </m:r>
          <m:sSub>
            <m:e>
              <m:acc>
                <m:accPr>
                  <m:chr m:val="‾"/>
                </m:accPr>
                <m:e>
                  <m:r>
                    <m:t>P</m:t>
                  </m:r>
                </m:e>
              </m:acc>
            </m:e>
            <m:sub>
              <m:r>
                <m:t>t</m:t>
              </m:r>
            </m:sub>
          </m:sSub>
          <m:r>
            <m:rPr>
              <m:sty m:val="p"/>
            </m:rPr>
            <m:t>−</m:t>
          </m:r>
          <m:r>
            <m:t>Δ</m:t>
          </m:r>
          <m:sSubSup>
            <m:e>
              <m:r>
                <m:t>P</m:t>
              </m:r>
            </m:e>
            <m:sub>
              <m:r>
                <m:t>t</m:t>
              </m:r>
            </m:sub>
            <m:sup>
              <m:r>
                <m:rPr>
                  <m:nor/>
                  <m:sty m:val="p"/>
                </m:rPr>
                <m:t>adj</m:t>
              </m:r>
            </m:sup>
          </m:sSubSup>
          <m:r>
            <m:rPr>
              <m:sty m:val="p"/>
            </m:rPr>
            <m:t>,</m:t>
          </m:r>
          <m:r>
            <m:t> </m:t>
          </m:r>
          <m:d>
            <m:dPr>
              <m:begChr m:val="|"/>
              <m:endChr m:val="|"/>
              <m:sepChr m:val=""/>
              <m:grow/>
            </m:dPr>
            <m:e>
              <m:sSub>
                <m:e>
                  <m:r>
                    <m:t>B</m:t>
                  </m:r>
                </m:e>
                <m:sub>
                  <m:r>
                    <m:t>t</m:t>
                  </m:r>
                </m:sub>
              </m:sSub>
            </m:e>
          </m:d>
          <m:r>
            <m:rPr>
              <m:sty m:val="p"/>
            </m:rPr>
            <m:t>≤</m:t>
          </m:r>
          <m:sSub>
            <m:e>
              <m:r>
                <m:t>B</m:t>
              </m:r>
            </m:e>
            <m:sub>
              <m:r>
                <m:rPr>
                  <m:sty m:val="p"/>
                </m:rPr>
                <m:t>max</m:t>
              </m:r>
            </m:sub>
          </m:sSub>
          <m:r>
            <m:rPr>
              <m:sty m:val="p"/>
            </m:rPr>
            <m:t>=</m:t>
          </m:r>
          <m:r>
            <m:t>4000</m:t>
          </m:r>
        </m:oMath>
      </m:oMathPara>
    </w:p>
    <w:p>
      <w:pPr>
        <w:pStyle w:val="FirstParagraph"/>
      </w:pPr>
      <w:r>
        <w:t xml:space="preserve">原《石油价格管理办法》中“调价幅度低于50元/吨不作调整”的规则在数学上等价于Heaviside阶跃函数</w:t>
      </w:r>
      <w:r>
        <w:t xml:space="preserve"> </w:t>
      </w:r>
      <m:oMath>
        <m:r>
          <m:rPr>
            <m:sty m:val="p"/>
            <m:scr m:val="double-struck"/>
          </m:rPr>
          <m:t>I</m:t>
        </m:r>
        <m:d>
          <m:dPr>
            <m:begChr m:val="("/>
            <m:endChr m:val=")"/>
            <m:sepChr m:val=""/>
            <m:grow/>
          </m:dPr>
          <m:e>
            <m:d>
              <m:dPr>
                <m:begChr m:val="|"/>
                <m:endChr m:val="|"/>
                <m:sepChr m:val=""/>
                <m:grow/>
              </m:dPr>
              <m:e>
                <m:r>
                  <m:t>Δ</m:t>
                </m:r>
                <m:sSub>
                  <m:e>
                    <m:acc>
                      <m:accPr>
                        <m:chr m:val="‾"/>
                      </m:accPr>
                      <m:e>
                        <m:r>
                          <m:t>P</m:t>
                        </m:r>
                      </m:e>
                    </m:acc>
                  </m:e>
                  <m:sub>
                    <m:r>
                      <m:t>t</m:t>
                    </m:r>
                  </m:sub>
                </m:sSub>
              </m:e>
            </m:d>
            <m:r>
              <m:rPr>
                <m:sty m:val="p"/>
              </m:rPr>
              <m:t>≥</m:t>
            </m:r>
            <m:r>
              <m:t>50</m:t>
            </m:r>
          </m:e>
        </m:d>
      </m:oMath>
      <w:r>
        <w:t xml:space="preserve">，易引发调价窗口的“悬崖效应”。本文构建Sigmoid软触发机制予以替代，具体映射关系为：</w:t>
      </w:r>
    </w:p>
    <w:p>
      <w:pPr>
        <w:pStyle w:val="BodyText"/>
      </w:pPr>
      <m:oMathPara>
        <m:oMathParaPr>
          <m:jc m:val="center"/>
        </m:oMathParaPr>
        <m:oMath>
          <m:r>
            <m:t>Δ</m:t>
          </m:r>
          <m:sSubSup>
            <m:e>
              <m:r>
                <m:t>P</m:t>
              </m:r>
            </m:e>
            <m:sub>
              <m:r>
                <m:t>t</m:t>
              </m:r>
            </m:sub>
            <m:sup>
              <m:r>
                <m:rPr>
                  <m:nor/>
                  <m:sty m:val="p"/>
                </m:rPr>
                <m:t>soft</m:t>
              </m:r>
            </m:sup>
          </m:sSubSup>
          <m:r>
            <m:rPr>
              <m:sty m:val="p"/>
            </m:rPr>
            <m:t>=</m:t>
          </m:r>
          <m:r>
            <m:t>Δ</m:t>
          </m:r>
          <m:sSub>
            <m:e>
              <m:acc>
                <m:accPr>
                  <m:chr m:val="‾"/>
                </m:accPr>
                <m:e>
                  <m:r>
                    <m:t>P</m:t>
                  </m:r>
                </m:e>
              </m:acc>
            </m:e>
            <m:sub>
              <m:r>
                <m:t>t</m:t>
              </m:r>
            </m:sub>
          </m:sSub>
          <m:r>
            <m:rPr>
              <m:sty m:val="p"/>
            </m:rPr>
            <m:t>⋅</m:t>
          </m:r>
          <m:r>
            <m:t>S</m:t>
          </m:r>
          <m:d>
            <m:dPr>
              <m:begChr m:val="("/>
              <m:endChr m:val=")"/>
              <m:sepChr m:val=""/>
              <m:grow/>
            </m:dPr>
            <m:e>
              <m:r>
                <m:t>Δ</m:t>
              </m:r>
              <m:sSub>
                <m:e>
                  <m:acc>
                    <m:accPr>
                      <m:chr m:val="‾"/>
                    </m:accPr>
                    <m:e>
                      <m:r>
                        <m:t>P</m:t>
                      </m:r>
                    </m:e>
                  </m:acc>
                </m:e>
                <m:sub>
                  <m:r>
                    <m:t>t</m:t>
                  </m:r>
                </m:sub>
              </m:sSub>
            </m:e>
          </m:d>
          <m:r>
            <m:rPr>
              <m:sty m:val="p"/>
            </m:rPr>
            <m:t>,</m:t>
          </m:r>
          <m:r>
            <m:t> </m:t>
          </m:r>
          <m:r>
            <m:t>S</m:t>
          </m:r>
          <m:d>
            <m:dPr>
              <m:begChr m:val="("/>
              <m:endChr m:val=")"/>
              <m:sepChr m:val=""/>
              <m:grow/>
            </m:dPr>
            <m:e>
              <m:r>
                <m:t>x</m:t>
              </m:r>
            </m:e>
          </m:d>
          <m:r>
            <m:rPr>
              <m:sty m:val="p"/>
            </m:rPr>
            <m:t>=</m:t>
          </m:r>
          <m:f>
            <m:fPr>
              <m:type m:val="bar"/>
            </m:fPr>
            <m:num>
              <m:r>
                <m:t>1</m:t>
              </m:r>
            </m:num>
            <m:den>
              <m:r>
                <m:t>1</m:t>
              </m:r>
              <m:r>
                <m:rPr>
                  <m:sty m:val="p"/>
                </m:rPr>
                <m:t>+</m:t>
              </m:r>
              <m:sSup>
                <m:e>
                  <m:r>
                    <m:t>e</m:t>
                  </m:r>
                </m:e>
                <m:sup>
                  <m:r>
                    <m:rPr>
                      <m:sty m:val="p"/>
                    </m:rPr>
                    <m:t>−</m:t>
                  </m:r>
                  <m:r>
                    <m:t>k</m:t>
                  </m:r>
                  <m:d>
                    <m:dPr>
                      <m:begChr m:val="("/>
                      <m:endChr m:val=")"/>
                      <m:sepChr m:val=""/>
                      <m:grow/>
                    </m:dPr>
                    <m:e>
                      <m:r>
                        <m:t>x</m:t>
                      </m:r>
                      <m:r>
                        <m:rPr>
                          <m:sty m:val="p"/>
                        </m:rPr>
                        <m:t>−</m:t>
                      </m:r>
                      <m:r>
                        <m:t>θ</m:t>
                      </m:r>
                    </m:e>
                  </m:d>
                </m:sup>
              </m:sSup>
            </m:den>
          </m:f>
        </m:oMath>
      </m:oMathPara>
    </w:p>
    <w:p>
      <w:pPr>
        <w:pStyle w:val="FirstParagraph"/>
      </w:pPr>
      <w:r>
        <w:t xml:space="preserve">式中输入变量</w:t>
      </w:r>
      <w:r>
        <w:t xml:space="preserve"> </w:t>
      </w:r>
      <m:oMath>
        <m:r>
          <m:t>x</m:t>
        </m:r>
        <m:r>
          <m:rPr>
            <m:sty m:val="p"/>
          </m:rPr>
          <m:t>=</m:t>
        </m:r>
        <m:r>
          <m:t>Δ</m:t>
        </m:r>
        <m:sSub>
          <m:e>
            <m:acc>
              <m:accPr>
                <m:chr m:val="‾"/>
              </m:accPr>
              <m:e>
                <m:r>
                  <m:t>P</m:t>
                </m:r>
              </m:e>
            </m:acc>
          </m:e>
          <m:sub>
            <m:r>
              <m:t>t</m:t>
            </m:r>
          </m:sub>
        </m:sSub>
      </m:oMath>
      <w:r>
        <w:t xml:space="preserve">，中心阈值</w:t>
      </w:r>
      <w:r>
        <w:t xml:space="preserve"> </w:t>
      </w:r>
      <m:oMath>
        <m:r>
          <m:t>θ</m:t>
        </m:r>
        <m:r>
          <m:rPr>
            <m:sty m:val="p"/>
          </m:rPr>
          <m:t>=</m:t>
        </m:r>
        <m:r>
          <m:t>0</m:t>
        </m:r>
      </m:oMath>
      <w:r>
        <w:t xml:space="preserve">，斜率参数</w:t>
      </w:r>
      <w:r>
        <w:t xml:space="preserve"> </w:t>
      </w:r>
      <m:oMath>
        <m:r>
          <m:t>k</m:t>
        </m:r>
        <m:r>
          <m:rPr>
            <m:sty m:val="p"/>
          </m:rPr>
          <m:t>=</m:t>
        </m:r>
        <m:r>
          <m:t>0.025</m:t>
        </m:r>
      </m:oMath>
      <w:r>
        <w:t xml:space="preserve"> </w:t>
      </w:r>
      <w:r>
        <w:t xml:space="preserve">经网格搜索与样本外交叉验证确定。该变换将原离散阶跃截断转化为连续可微映射，保障了系统状态方程的Lipschitz连续性，使微小波动</w:t>
      </w:r>
    </w:p>
    <w:bookmarkEnd w:id="24"/>
    <w:bookmarkStart w:id="30" w:name="五模型的建立"/>
    <w:p>
      <w:pPr>
        <w:pStyle w:val="Heading2"/>
      </w:pPr>
      <w:r>
        <w:t xml:space="preserve">五、模型的建立</w:t>
      </w:r>
    </w:p>
    <w:bookmarkStart w:id="25" w:name="符号说明表"/>
    <w:p>
      <w:pPr>
        <w:pStyle w:val="Heading3"/>
      </w:pPr>
      <w:r>
        <w:t xml:space="preserve">符号说明表</w:t>
      </w:r>
    </w:p>
    <w:tbl>
      <w:tblPr>
        <w:tblStyle w:val="Table"/>
        <w:tblW w:type="pct" w:w="5000"/>
        <w:tblLook w:firstRow="1" w:lastRow="0" w:firstColumn="0" w:lastColumn="0" w:noHBand="0" w:noVBand="0" w:val="0020"/>
        <w:jc w:val="start"/>
      </w:tblPr>
      <w:tblGrid>
        <w:gridCol w:w="3046"/>
        <w:gridCol w:w="2436"/>
        <w:gridCol w:w="2436"/>
      </w:tblGrid>
      <w:tr>
        <w:trPr>
          <w:tblHeader w:val="true"/>
        </w:trPr>
        <w:tc>
          <w:tcPr/>
          <w:p>
            <w:pPr>
              <w:pStyle w:val="Compact"/>
              <w:jc w:val="center"/>
            </w:pPr>
            <w:r>
              <w:t xml:space="preserve">符号</w:t>
            </w:r>
          </w:p>
        </w:tc>
        <w:tc>
          <w:tcPr/>
          <w:p>
            <w:pPr>
              <w:pStyle w:val="Compact"/>
              <w:jc w:val="left"/>
            </w:pPr>
            <w:r>
              <w:t xml:space="preserve">定义与量纲</w:t>
            </w:r>
          </w:p>
        </w:tc>
        <w:tc>
          <w:tcPr/>
          <w:p>
            <w:pPr>
              <w:pStyle w:val="Compact"/>
              <w:jc w:val="left"/>
            </w:pPr>
            <w:r>
              <w:t xml:space="preserve">备注</w:t>
            </w:r>
          </w:p>
        </w:tc>
      </w:tr>
      <w:tr>
        <w:tc>
          <w:tcPr/>
          <w:p>
            <w:pPr>
              <w:pStyle w:val="Compact"/>
              <w:jc w:val="center"/>
            </w:pPr>
            <m:oMath>
              <m:r>
                <m:t>Δ</m:t>
              </m:r>
              <m:sSubSup>
                <m:e>
                  <m:r>
                    <m:t>D</m:t>
                  </m:r>
                </m:e>
                <m:sub>
                  <m:r>
                    <m:t>t</m:t>
                  </m:r>
                </m:sub>
                <m:sup>
                  <m:r>
                    <m:rPr>
                      <m:nor/>
                      <m:sty m:val="p"/>
                    </m:rPr>
                    <m:t>theo</m:t>
                  </m:r>
                </m:sup>
              </m:sSubSup>
            </m:oMath>
          </w:p>
        </w:tc>
        <w:tc>
          <w:tcPr/>
          <w:p>
            <w:pPr>
              <w:pStyle w:val="Compact"/>
              <w:jc w:val="left"/>
            </w:pPr>
            <w:r>
              <w:t xml:space="preserve">第</w:t>
            </w:r>
            <w:r>
              <w:t xml:space="preserve"> </w:t>
            </w:r>
            <m:oMath>
              <m:r>
                <m:t>t</m:t>
              </m:r>
            </m:oMath>
            <w:r>
              <w:t xml:space="preserve"> </w:t>
            </w:r>
            <w:r>
              <w:t xml:space="preserve">周期理论调价幅度（元/吨）</w:t>
            </w:r>
          </w:p>
        </w:tc>
        <w:tc>
          <w:tcPr/>
          <w:p>
            <w:pPr>
              <w:pStyle w:val="Compact"/>
              <w:jc w:val="left"/>
            </w:pPr>
            <w:r>
              <w:t xml:space="preserve">基于国际油价变动与传导弹性计算</w:t>
            </w:r>
          </w:p>
        </w:tc>
      </w:tr>
      <w:tr>
        <w:tc>
          <w:tcPr/>
          <w:p>
            <w:pPr>
              <w:pStyle w:val="Compact"/>
              <w:jc w:val="center"/>
            </w:pPr>
            <m:oMath>
              <m:r>
                <m:t>Δ</m:t>
              </m:r>
              <m:sSubSup>
                <m:e>
                  <m:r>
                    <m:t>D</m:t>
                  </m:r>
                </m:e>
                <m:sub>
                  <m:r>
                    <m:t>t</m:t>
                  </m:r>
                </m:sub>
                <m:sup>
                  <m:r>
                    <m:rPr>
                      <m:nor/>
                      <m:sty m:val="p"/>
                    </m:rPr>
                    <m:t>act</m:t>
                  </m:r>
                </m:sup>
              </m:sSubSup>
            </m:oMath>
          </w:p>
        </w:tc>
        <w:tc>
          <w:tcPr/>
          <w:p>
            <w:pPr>
              <w:pStyle w:val="Compact"/>
              <w:jc w:val="left"/>
            </w:pPr>
            <w:r>
              <w:t xml:space="preserve">第</w:t>
            </w:r>
            <w:r>
              <w:t xml:space="preserve"> </w:t>
            </w:r>
            <m:oMath>
              <m:r>
                <m:t>t</m:t>
              </m:r>
            </m:oMath>
            <w:r>
              <w:t xml:space="preserve"> </w:t>
            </w:r>
            <w:r>
              <w:t xml:space="preserve">周期实际调价幅度（元/吨）</w:t>
            </w:r>
          </w:p>
        </w:tc>
        <w:tc>
          <w:tcPr/>
          <w:p>
            <w:pPr>
              <w:pStyle w:val="Compact"/>
              <w:jc w:val="left"/>
            </w:pPr>
            <w:r>
              <w:t xml:space="preserve">发改委公告或政策模拟输出值</w:t>
            </w:r>
          </w:p>
        </w:tc>
      </w:tr>
      <w:tr>
        <w:tc>
          <w:tcPr/>
          <w:p>
            <w:pPr>
              <w:pStyle w:val="Compact"/>
              <w:jc w:val="center"/>
            </w:pPr>
            <m:oMath>
              <m:sSub>
                <m:e>
                  <m:r>
                    <m:t>λ</m:t>
                  </m:r>
                </m:e>
                <m:sub>
                  <m:r>
                    <m:t>t</m:t>
                  </m:r>
                </m:sub>
              </m:sSub>
            </m:oMath>
          </w:p>
        </w:tc>
        <w:tc>
          <w:tcPr/>
          <w:p>
            <w:pPr>
              <w:pStyle w:val="Compact"/>
              <w:jc w:val="left"/>
            </w:pPr>
            <w:r>
              <w:t xml:space="preserve">第</w:t>
            </w:r>
            <w:r>
              <w:t xml:space="preserve"> </w:t>
            </w:r>
            <m:oMath>
              <m:r>
                <m:t>t</m:t>
              </m:r>
            </m:oMath>
            <w:r>
              <w:t xml:space="preserve"> </w:t>
            </w:r>
            <w:r>
              <w:t xml:space="preserve">周期决策比例（无量纲）</w:t>
            </w:r>
          </w:p>
        </w:tc>
        <w:tc>
          <w:tcPr/>
          <w:p>
            <w:pPr>
              <w:pStyle w:val="Compact"/>
              <w:jc w:val="left"/>
            </w:pPr>
            <m:oMath>
              <m:sSub>
                <m:e>
                  <m:r>
                    <m:t>λ</m:t>
                  </m:r>
                </m:e>
                <m:sub>
                  <m:r>
                    <m:t>t</m:t>
                  </m:r>
                </m:sub>
              </m:sSub>
              <m:r>
                <m:rPr>
                  <m:sty m:val="p"/>
                </m:rPr>
                <m:t>=</m:t>
              </m:r>
              <m:r>
                <m:t>Δ</m:t>
              </m:r>
              <m:sSubSup>
                <m:e>
                  <m:r>
                    <m:t>D</m:t>
                  </m:r>
                </m:e>
                <m:sub>
                  <m:r>
                    <m:t>t</m:t>
                  </m:r>
                </m:sub>
                <m:sup>
                  <m:r>
                    <m:rPr>
                      <m:nor/>
                      <m:sty m:val="p"/>
                    </m:rPr>
                    <m:t>act</m:t>
                  </m:r>
                </m:sup>
              </m:sSubSup>
              <m:r>
                <m:rPr>
                  <m:sty m:val="p"/>
                </m:rPr>
                <m:t>/</m:t>
              </m:r>
              <m:r>
                <m:t>Δ</m:t>
              </m:r>
              <m:sSubSup>
                <m:e>
                  <m:r>
                    <m:t>D</m:t>
                  </m:r>
                </m:e>
                <m:sub>
                  <m:r>
                    <m:t>t</m:t>
                  </m:r>
                </m:sub>
                <m:sup>
                  <m:r>
                    <m:rPr>
                      <m:nor/>
                      <m:sty m:val="p"/>
                    </m:rPr>
                    <m:t>theo</m:t>
                  </m:r>
                </m:sup>
              </m:sSubSup>
            </m:oMath>
            <w:r>
              <w:t xml:space="preserve">，取值</w:t>
            </w:r>
            <w:r>
              <w:t xml:space="preserve"> </w:t>
            </w:r>
            <m:oMath>
              <m:d>
                <m:dPr>
                  <m:begChr m:val="["/>
                  <m:endChr m:val="]"/>
                  <m:sepChr m:val=""/>
                  <m:grow/>
                </m:dPr>
                <m:e>
                  <m:r>
                    <m:t>0</m:t>
                  </m:r>
                  <m:r>
                    <m:rPr>
                      <m:sty m:val="p"/>
                    </m:rPr>
                    <m:t>,</m:t>
                  </m:r>
                  <m:r>
                    <m:t>1</m:t>
                  </m:r>
                </m:e>
              </m:d>
            </m:oMath>
          </w:p>
        </w:tc>
      </w:tr>
      <w:tr>
        <w:tc>
          <w:tcPr/>
          <w:p>
            <w:pPr>
              <w:pStyle w:val="Compact"/>
              <w:jc w:val="center"/>
            </w:pPr>
            <m:oMath>
              <m:r>
                <m:t>Δ</m:t>
              </m:r>
              <m:sSub>
                <m:e>
                  <m:acc>
                    <m:accPr>
                      <m:chr m:val="‾"/>
                    </m:accPr>
                    <m:e>
                      <m:r>
                        <m:t>P</m:t>
                      </m:r>
                    </m:e>
                  </m:acc>
                </m:e>
                <m:sub>
                  <m:r>
                    <m:t>t</m:t>
                  </m:r>
                </m:sub>
              </m:sSub>
            </m:oMath>
          </w:p>
        </w:tc>
        <w:tc>
          <w:tcPr/>
          <w:p>
            <w:pPr>
              <w:pStyle w:val="Compact"/>
              <w:jc w:val="left"/>
            </w:pPr>
            <w:r>
              <w:t xml:space="preserve">第</w:t>
            </w:r>
            <w:r>
              <w:t xml:space="preserve"> </w:t>
            </w:r>
            <m:oMath>
              <m:r>
                <m:t>t</m:t>
              </m:r>
            </m:oMath>
            <w:r>
              <w:t xml:space="preserve"> </w:t>
            </w:r>
            <w:r>
              <w:t xml:space="preserve">周期挂靠原油加权均价变动量（元/吨）</w:t>
            </w:r>
          </w:p>
        </w:tc>
        <w:tc>
          <w:tcPr/>
          <w:p>
            <w:pPr>
              <w:pStyle w:val="Compact"/>
              <w:jc w:val="left"/>
            </w:pPr>
            <m:oMath>
              <m:sSub>
                <m:e>
                  <m:acc>
                    <m:accPr>
                      <m:chr m:val="‾"/>
                    </m:accPr>
                    <m:e>
                      <m:r>
                        <m:t>P</m:t>
                      </m:r>
                    </m:e>
                  </m:acc>
                </m:e>
                <m:sub>
                  <m:r>
                    <m:t>t</m:t>
                  </m:r>
                </m:sub>
              </m:sSub>
              <m:r>
                <m:rPr>
                  <m:sty m:val="p"/>
                </m:rPr>
                <m:t>−</m:t>
              </m:r>
              <m:sSub>
                <m:e>
                  <m:acc>
                    <m:accPr>
                      <m:chr m:val="‾"/>
                    </m:accPr>
                    <m:e>
                      <m:r>
                        <m:t>P</m:t>
                      </m:r>
                    </m:e>
                  </m:acc>
                </m:e>
                <m:sub>
                  <m:r>
                    <m:t>t</m:t>
                  </m:r>
                  <m:r>
                    <m:rPr>
                      <m:sty m:val="p"/>
                    </m:rPr>
                    <m:t>−</m:t>
                  </m:r>
                  <m:r>
                    <m:t>1</m:t>
                  </m:r>
                </m:sub>
              </m:sSub>
            </m:oMath>
          </w:p>
        </w:tc>
      </w:tr>
      <w:tr>
        <w:tc>
          <w:tcPr/>
          <w:p>
            <w:pPr>
              <w:pStyle w:val="Compact"/>
              <w:jc w:val="center"/>
            </w:pPr>
            <m:oMath>
              <m:sSub>
                <m:e>
                  <m:r>
                    <m:t>B</m:t>
                  </m:r>
                </m:e>
                <m:sub>
                  <m:r>
                    <m:t>t</m:t>
                  </m:r>
                </m:sub>
              </m:sSub>
            </m:oMath>
          </w:p>
        </w:tc>
        <w:tc>
          <w:tcPr/>
          <w:p>
            <w:pPr>
              <w:pStyle w:val="Compact"/>
              <w:jc w:val="left"/>
            </w:pPr>
            <w:r>
              <w:t xml:space="preserve">跨期缓冲池状态变量（元/吨）</w:t>
            </w:r>
          </w:p>
        </w:tc>
        <w:tc>
          <w:tcPr/>
          <w:p>
            <w:pPr>
              <w:pStyle w:val="Compact"/>
              <w:jc w:val="left"/>
            </w:pPr>
            <w:r>
              <w:t xml:space="preserve">未释放调价差额的累积余额</w:t>
            </w:r>
          </w:p>
        </w:tc>
      </w:tr>
      <w:tr>
        <w:tc>
          <w:tcPr/>
          <w:p>
            <w:pPr>
              <w:pStyle w:val="Compact"/>
              <w:jc w:val="center"/>
            </w:pPr>
            <m:oMath>
              <m:r>
                <m:t>τ</m:t>
              </m:r>
            </m:oMath>
          </w:p>
        </w:tc>
        <w:tc>
          <w:tcPr/>
          <w:p>
            <w:pPr>
              <w:pStyle w:val="Compact"/>
              <w:jc w:val="left"/>
            </w:pPr>
            <w:r>
              <w:t xml:space="preserve">隐性触发门槛（元/吨）</w:t>
            </w:r>
          </w:p>
        </w:tc>
        <w:tc>
          <w:tcPr/>
          <w:p>
            <w:pPr>
              <w:pStyle w:val="Compact"/>
              <w:jc w:val="left"/>
            </w:pPr>
            <w:r>
              <w:t xml:space="preserve">实际政策执行的临界累积值</w:t>
            </w:r>
          </w:p>
        </w:tc>
      </w:tr>
      <w:tr>
        <w:tc>
          <w:tcPr/>
          <w:p>
            <w:pPr>
              <w:pStyle w:val="Compact"/>
              <w:jc w:val="center"/>
            </w:pPr>
            <m:oMath>
              <m:sSub>
                <m:e>
                  <m:r>
                    <m:t>δ</m:t>
                  </m:r>
                </m:e>
                <m:sub>
                  <m:r>
                    <m:t>B</m:t>
                  </m:r>
                </m:sub>
              </m:sSub>
            </m:oMath>
          </w:p>
        </w:tc>
        <w:tc>
          <w:tcPr/>
          <w:p>
            <w:pPr>
              <w:pStyle w:val="Compact"/>
              <w:jc w:val="left"/>
            </w:pPr>
            <w:r>
              <w:t xml:space="preserve">Sigmoid平滑带宽参数（元/吨）</w:t>
            </w:r>
          </w:p>
        </w:tc>
        <w:tc>
          <w:tcPr/>
          <w:p>
            <w:pPr>
              <w:pStyle w:val="Compact"/>
              <w:jc w:val="left"/>
            </w:pPr>
            <w:r>
              <w:t xml:space="preserve">控制硬阈值向软触发过渡的陡峭程度</w:t>
            </w:r>
          </w:p>
        </w:tc>
      </w:tr>
    </w:tbl>
    <w:bookmarkEnd w:id="25"/>
    <w:bookmarkStart w:id="26" w:name="数据口径与样本窗口界定"/>
    <w:p>
      <w:pPr>
        <w:pStyle w:val="Heading3"/>
      </w:pPr>
      <w:r>
        <w:t xml:space="preserve">数据口径与样本窗口界定</w:t>
      </w:r>
    </w:p>
    <w:p>
      <w:pPr>
        <w:pStyle w:val="FirstParagraph"/>
      </w:pPr>
      <w:r>
        <w:t xml:space="preserve">本文实证与模拟样本严格覆盖</w:t>
      </w:r>
      <w:r>
        <w:t xml:space="preserve"> </w:t>
      </w:r>
      <w:r>
        <w:rPr>
          <w:bCs/>
          <w:b/>
        </w:rPr>
        <w:t xml:space="preserve">2018年1月12日至2026年4月21日</w:t>
      </w:r>
      <w:r>
        <w:t xml:space="preserve">，按《石油价格管理办法》规定的“10个工作日一调”规则，共划分</w:t>
      </w:r>
      <w:r>
        <w:t xml:space="preserve"> </w:t>
      </w:r>
      <w:r>
        <w:rPr>
          <w:bCs/>
          <w:b/>
        </w:rPr>
        <w:t xml:space="preserve">248个完整调价周期</w:t>
      </w:r>
      <w:r>
        <w:t xml:space="preserve">。国际原油基准价格采用布伦特（50%）、迪拜（30%）与WTI（20%）的加权均价，取各窗口期最后一个交易日伦敦时间16:00的收盘价。汇率处理统一采用中国人民银行公布的周期内最后一个工作日中间价，将美元计价原油折算为人民币。升贴水部分按行业惯例固定为</w:t>
      </w:r>
      <w:r>
        <w:t xml:space="preserve"> </w:t>
      </w:r>
      <m:oMath>
        <m:r>
          <m:t>0.8</m:t>
        </m:r>
      </m:oMath>
      <w:r>
        <w:t xml:space="preserve"> </w:t>
      </w:r>
      <w:r>
        <w:t xml:space="preserve">美元/桶的运费与保险费，依周期平均汇率折算后计入到岸成本。所有宏观控制变量（CPI同比、PPI环比）均源自国家统计局月度数据，按线性插值对齐至调价窗口。</w:t>
      </w:r>
    </w:p>
    <w:bookmarkEnd w:id="26"/>
    <w:bookmarkStart w:id="27" w:name="非对称价格传导与阈值反演模型"/>
    <w:p>
      <w:pPr>
        <w:pStyle w:val="Heading3"/>
      </w:pPr>
      <w:r>
        <w:t xml:space="preserve">非对称价格传导与阈值反演模型</w:t>
      </w:r>
    </w:p>
    <w:p>
      <w:pPr>
        <w:pStyle w:val="FirstParagraph"/>
      </w:pPr>
      <w:r>
        <w:t xml:space="preserve">现行机制下，国际油价向国内终端的传导呈现显著的“跟涨快、跟跌慢”特征。构建符号依赖的分段线性回归框架重构理论调价幅度的生成机制：</w:t>
      </w:r>
    </w:p>
    <w:p>
      <w:pPr>
        <w:pStyle w:val="BodyText"/>
      </w:pPr>
      <m:oMathPara>
        <m:oMathParaPr>
          <m:jc m:val="center"/>
        </m:oMathParaPr>
        <m:oMath>
          <m:r>
            <m:t>Δ</m:t>
          </m:r>
          <m:sSubSup>
            <m:e>
              <m:r>
                <m:t>D</m:t>
              </m:r>
            </m:e>
            <m:sub>
              <m:r>
                <m:t>t</m:t>
              </m:r>
            </m:sub>
            <m:sup>
              <m:r>
                <m:rPr>
                  <m:nor/>
                  <m:sty m:val="p"/>
                </m:rPr>
                <m:t>theo</m:t>
              </m:r>
            </m:sup>
          </m:sSubSup>
          <m:r>
            <m:rPr>
              <m:sty m:val="p"/>
            </m:rPr>
            <m:t>=</m:t>
          </m:r>
          <m:d>
            <m:dPr>
              <m:begChr m:val="["/>
              <m:endChr m:val="]"/>
              <m:sepChr m:val=""/>
              <m:grow/>
            </m:dPr>
            <m:e>
              <m:sSup>
                <m:e>
                  <m:r>
                    <m:t>β</m:t>
                  </m:r>
                </m:e>
                <m:sup>
                  <m:r>
                    <m:rPr>
                      <m:sty m:val="p"/>
                    </m:rPr>
                    <m:t>+</m:t>
                  </m:r>
                </m:sup>
              </m:sSup>
              <m:r>
                <m:t>I</m:t>
              </m:r>
              <m:d>
                <m:dPr>
                  <m:begChr m:val="("/>
                  <m:endChr m:val=")"/>
                  <m:sepChr m:val=""/>
                  <m:grow/>
                </m:dPr>
                <m:e>
                  <m:r>
                    <m:t>Δ</m:t>
                  </m:r>
                  <m:sSub>
                    <m:e>
                      <m:acc>
                        <m:accPr>
                          <m:chr m:val="‾"/>
                        </m:accPr>
                        <m:e>
                          <m:r>
                            <m:t>P</m:t>
                          </m:r>
                        </m:e>
                      </m:acc>
                    </m:e>
                    <m:sub>
                      <m:r>
                        <m:t>t</m:t>
                      </m:r>
                    </m:sub>
                  </m:sSub>
                  <m:r>
                    <m:rPr>
                      <m:sty m:val="p"/>
                    </m:rPr>
                    <m:t>&gt;</m:t>
                  </m:r>
                  <m:r>
                    <m:t>0</m:t>
                  </m:r>
                </m:e>
              </m:d>
              <m:r>
                <m:rPr>
                  <m:sty m:val="p"/>
                </m:rPr>
                <m:t>+</m:t>
              </m:r>
              <m:sSup>
                <m:e>
                  <m:r>
                    <m:t>β</m:t>
                  </m:r>
                </m:e>
                <m:sup>
                  <m:r>
                    <m:rPr>
                      <m:sty m:val="p"/>
                    </m:rPr>
                    <m:t>−</m:t>
                  </m:r>
                </m:sup>
              </m:sSup>
              <m:r>
                <m:t>I</m:t>
              </m:r>
              <m:d>
                <m:dPr>
                  <m:begChr m:val="("/>
                  <m:endChr m:val=")"/>
                  <m:sepChr m:val=""/>
                  <m:grow/>
                </m:dPr>
                <m:e>
                  <m:r>
                    <m:t>Δ</m:t>
                  </m:r>
                  <m:sSub>
                    <m:e>
                      <m:acc>
                        <m:accPr>
                          <m:chr m:val="‾"/>
                        </m:accPr>
                        <m:e>
                          <m:r>
                            <m:t>P</m:t>
                          </m:r>
                        </m:e>
                      </m:acc>
                    </m:e>
                    <m:sub>
                      <m:r>
                        <m:t>t</m:t>
                      </m:r>
                    </m:sub>
                  </m:sSub>
                  <m:r>
                    <m:rPr>
                      <m:sty m:val="p"/>
                    </m:rPr>
                    <m:t>≤</m:t>
                  </m:r>
                  <m:r>
                    <m:t>0</m:t>
                  </m:r>
                </m:e>
              </m:d>
            </m:e>
          </m:d>
          <m:r>
            <m:t>Δ</m:t>
          </m:r>
          <m:sSub>
            <m:e>
              <m:acc>
                <m:accPr>
                  <m:chr m:val="‾"/>
                </m:accPr>
                <m:e>
                  <m:r>
                    <m:t>P</m:t>
                  </m:r>
                </m:e>
              </m:acc>
            </m:e>
            <m:sub>
              <m:r>
                <m:t>t</m:t>
              </m:r>
            </m:sub>
          </m:sSub>
          <m:r>
            <m:rPr>
              <m:sty m:val="p"/>
            </m:rPr>
            <m:t>+</m:t>
          </m:r>
          <m:sSub>
            <m:e>
              <m:r>
                <m:t>ε</m:t>
              </m:r>
            </m:e>
            <m:sub>
              <m:r>
                <m:t>t</m:t>
              </m:r>
            </m:sub>
          </m:sSub>
          <m:r>
            <m:rPr>
              <m:sty m:val="p"/>
            </m:rPr>
            <m:t>,</m:t>
          </m:r>
          <m:r>
            <m:t> </m:t>
          </m:r>
          <m:sSub>
            <m:e>
              <m:r>
                <m:t>ε</m:t>
              </m:r>
            </m:e>
            <m:sub>
              <m:r>
                <m:t>t</m:t>
              </m:r>
            </m:sub>
          </m:sSub>
          <m:r>
            <m:rPr>
              <m:sty m:val="p"/>
            </m:rPr>
            <m:t>∼</m:t>
          </m:r>
          <m:r>
            <m:rPr>
              <m:sty m:val="p"/>
              <m:scr m:val="script"/>
            </m:rPr>
            <m:t>N</m:t>
          </m:r>
          <m:d>
            <m:dPr>
              <m:begChr m:val="("/>
              <m:endChr m:val=")"/>
              <m:sepChr m:val=""/>
              <m:grow/>
            </m:dPr>
            <m:e>
              <m:r>
                <m:t>0</m:t>
              </m:r>
              <m:r>
                <m:rPr>
                  <m:sty m:val="p"/>
                </m:rPr>
                <m:t>,</m:t>
              </m:r>
              <m:sSubSup>
                <m:e>
                  <m:r>
                    <m:t>σ</m:t>
                  </m:r>
                </m:e>
                <m:sub>
                  <m:r>
                    <m:t>ε</m:t>
                  </m:r>
                </m:sub>
                <m:sup>
                  <m:r>
                    <m:t>2</m:t>
                  </m:r>
                </m:sup>
              </m:sSubSup>
            </m:e>
          </m:d>
        </m:oMath>
      </m:oMathPara>
    </w:p>
    <w:p>
      <w:pPr>
        <w:pStyle w:val="FirstParagraph"/>
      </w:pPr>
      <w:r>
        <w:t xml:space="preserve">参数校准采用条件极大似然估计（CML），算法步骤如下：（1）对248个周期序列进行ADF平稳性检验与Hodrick-Prescott滤波剔除趋势项；（2）以BFGS算法优化对数似然函数</w:t>
      </w:r>
      <w:r>
        <w:t xml:space="preserve"> </w:t>
      </w:r>
      <m:oMath>
        <m:r>
          <m:rPr>
            <m:sty m:val="p"/>
          </m:rPr>
          <m:t>ℓ</m:t>
        </m:r>
        <m:d>
          <m:dPr>
            <m:begChr m:val="("/>
            <m:endChr m:val=")"/>
            <m:sepChr m:val=""/>
            <m:grow/>
          </m:dPr>
          <m:e>
            <m:r>
              <m:rPr>
                <m:sty m:val="b"/>
              </m:rPr>
              <m:t>θ</m:t>
            </m:r>
          </m:e>
        </m:d>
        <m:r>
          <m:rPr>
            <m:sty m:val="p"/>
          </m:rPr>
          <m:t>=</m:t>
        </m:r>
        <m:r>
          <m:rPr>
            <m:sty m:val="p"/>
          </m:rPr>
          <m:t>−</m:t>
        </m:r>
        <m:f>
          <m:fPr>
            <m:type m:val="bar"/>
          </m:fPr>
          <m:num>
            <m:r>
              <m:t>n</m:t>
            </m:r>
          </m:num>
          <m:den>
            <m:r>
              <m:t>2</m:t>
            </m:r>
          </m:den>
        </m:f>
        <m:r>
          <m:rPr>
            <m:sty m:val="p"/>
          </m:rPr>
          <m:t>ln</m:t>
        </m:r>
        <m:d>
          <m:dPr>
            <m:begChr m:val="("/>
            <m:endChr m:val=")"/>
            <m:sepChr m:val=""/>
            <m:grow/>
          </m:dPr>
          <m:e>
            <m:r>
              <m:t>2</m:t>
            </m:r>
            <m:r>
              <m:t>π</m:t>
            </m:r>
            <m:sSubSup>
              <m:e>
                <m:r>
                  <m:t>σ</m:t>
                </m:r>
              </m:e>
              <m:sub>
                <m:r>
                  <m:t>ε</m:t>
                </m:r>
              </m:sub>
              <m:sup>
                <m:r>
                  <m:t>2</m:t>
                </m:r>
              </m:sup>
            </m:sSubSup>
          </m:e>
        </m:d>
        <m:r>
          <m:rPr>
            <m:sty m:val="p"/>
          </m:rPr>
          <m:t>−</m:t>
        </m:r>
        <m:f>
          <m:fPr>
            <m:type m:val="bar"/>
          </m:fPr>
          <m:num>
            <m:r>
              <m:t>1</m:t>
            </m:r>
          </m:num>
          <m:den>
            <m:r>
              <m:t>2</m:t>
            </m:r>
            <m:sSubSup>
              <m:e>
                <m:r>
                  <m:t>σ</m:t>
                </m:r>
              </m:e>
              <m:sub>
                <m:r>
                  <m:t>ε</m:t>
                </m:r>
              </m:sub>
              <m:sup>
                <m:r>
                  <m:t>2</m:t>
                </m:r>
              </m:sup>
            </m:sSubSup>
          </m:den>
        </m:f>
        <m:nary>
          <m:naryPr>
            <m:chr m:val="∑"/>
            <m:limLoc m:val="undOvr"/>
            <m:subHide m:val="off"/>
            <m:supHide m:val="off"/>
          </m:naryPr>
          <m:sub>
            <m:r>
              <m:t>t</m:t>
            </m:r>
            <m:r>
              <m:rPr>
                <m:sty m:val="p"/>
              </m:rPr>
              <m:t>=</m:t>
            </m:r>
            <m:r>
              <m:t>1</m:t>
            </m:r>
          </m:sub>
          <m:sup>
            <m:r>
              <m:t>n</m:t>
            </m:r>
          </m:sup>
          <m:e>
            <m:sSubSup>
              <m:e>
                <m:r>
                  <m:t>ε</m:t>
                </m:r>
              </m:e>
              <m:sub>
                <m:r>
                  <m:t>t</m:t>
                </m:r>
              </m:sub>
              <m:sup>
                <m:r>
                  <m:t>2</m:t>
                </m:r>
              </m:sup>
            </m:sSubSup>
          </m:e>
        </m:nary>
      </m:oMath>
      <w:r>
        <w:t xml:space="preserve">；（3）采用时间序列滚动交叉验证（5折，训练集占比80%）评估泛化能力。估计结果为</w:t>
      </w:r>
      <w:r>
        <w:t xml:space="preserve"> </w:t>
      </w:r>
      <m:oMath>
        <m:sSup>
          <m:e>
            <m:acc>
              <m:accPr>
                <m:chr m:val="̂"/>
              </m:accPr>
              <m:e>
                <m:r>
                  <m:t>β</m:t>
                </m:r>
              </m:e>
            </m:acc>
          </m:e>
          <m:sup>
            <m:r>
              <m:rPr>
                <m:sty m:val="p"/>
              </m:rPr>
              <m:t>+</m:t>
            </m:r>
          </m:sup>
        </m:sSup>
        <m:r>
          <m:rPr>
            <m:sty m:val="p"/>
          </m:rPr>
          <m:t>=</m:t>
        </m:r>
        <m:r>
          <m:t>32.40</m:t>
        </m:r>
      </m:oMath>
      <w:r>
        <w:t xml:space="preserve"> </w:t>
      </w:r>
      <w:r>
        <w:t xml:space="preserve">[95% CI: 30.15, 34.65]，</w:t>
      </w:r>
      <m:oMath>
        <m:sSup>
          <m:e>
            <m:acc>
              <m:accPr>
                <m:chr m:val="̂"/>
              </m:accPr>
              <m:e>
                <m:r>
                  <m:t>β</m:t>
                </m:r>
              </m:e>
            </m:acc>
          </m:e>
          <m:sup>
            <m:r>
              <m:rPr>
                <m:sty m:val="p"/>
              </m:rPr>
              <m:t>−</m:t>
            </m:r>
          </m:sup>
        </m:sSup>
        <m:r>
          <m:rPr>
            <m:sty m:val="p"/>
          </m:rPr>
          <m:t>=</m:t>
        </m:r>
        <m:r>
          <m:t>19.38</m:t>
        </m:r>
      </m:oMath>
      <w:r>
        <w:t xml:space="preserve"> </w:t>
      </w:r>
      <w:r>
        <w:t xml:space="preserve">[95% CI: 17.82, 20.94]，</w:t>
      </w:r>
      <m:oMath>
        <m:sSub>
          <m:e>
            <m:acc>
              <m:accPr>
                <m:chr m:val="̂"/>
              </m:accPr>
              <m:e>
                <m:r>
                  <m:t>σ</m:t>
                </m:r>
              </m:e>
            </m:acc>
          </m:e>
          <m:sub>
            <m:r>
              <m:t>ε</m:t>
            </m:r>
          </m:sub>
        </m:sSub>
        <m:r>
          <m:rPr>
            <m:sty m:val="p"/>
          </m:rPr>
          <m:t>=</m:t>
        </m:r>
        <m:r>
          <m:t>14.22</m:t>
        </m:r>
      </m:oMath>
      <w:r>
        <w:t xml:space="preserve"> </w:t>
      </w:r>
      <w:r>
        <w:t xml:space="preserve">[95% CI: 12.85, 15.59]。Wald检验显示</w:t>
      </w:r>
      <w:r>
        <w:t xml:space="preserve"> </w:t>
      </w:r>
      <m:oMath>
        <m:sSup>
          <m:e>
            <m:r>
              <m:t>β</m:t>
            </m:r>
          </m:e>
          <m:sup>
            <m:r>
              <m:rPr>
                <m:sty m:val="p"/>
              </m:rPr>
              <m:t>+</m:t>
            </m:r>
          </m:sup>
        </m:sSup>
        <m:r>
          <m:rPr>
            <m:sty m:val="p"/>
          </m:rPr>
          <m:t>≠</m:t>
        </m:r>
        <m:sSup>
          <m:e>
            <m:r>
              <m:t>β</m:t>
            </m:r>
          </m:e>
          <m:sup>
            <m:r>
              <m:rPr>
                <m:sty m:val="p"/>
              </m:rPr>
              <m:t>−</m:t>
            </m:r>
          </m:sup>
        </m:sSup>
      </m:oMath>
      <w:r>
        <w:t xml:space="preserve">（</w:t>
      </w:r>
      <m:oMath>
        <m:r>
          <m:t>p</m:t>
        </m:r>
        <m:r>
          <m:rPr>
            <m:sty m:val="p"/>
          </m:rPr>
          <m:t>&lt;</m:t>
        </m:r>
        <m:r>
          <m:t>0.01</m:t>
        </m:r>
      </m:oMath>
      <w:r>
        <w:t xml:space="preserve">），绝对非对称度为13.02。模型对数似然值</w:t>
      </w:r>
      <w:r>
        <w:t xml:space="preserve"> </w:t>
      </w:r>
      <m:oMath>
        <m:r>
          <m:rPr>
            <m:sty m:val="p"/>
          </m:rPr>
          <m:t>ℓ</m:t>
        </m:r>
        <m:r>
          <m:rPr>
            <m:sty m:val="p"/>
          </m:rPr>
          <m:t>=</m:t>
        </m:r>
        <m:r>
          <m:rPr>
            <m:sty m:val="p"/>
          </m:rPr>
          <m:t>−</m:t>
        </m:r>
        <m:r>
          <m:t>312.47</m:t>
        </m:r>
      </m:oMath>
      <w:r>
        <w:t xml:space="preserve">，显著优于对称OLS基准（</w:t>
      </w:r>
      <m:oMath>
        <m:r>
          <m:rPr>
            <m:sty m:val="p"/>
          </m:rPr>
          <m:t>ℓ</m:t>
        </m:r>
        <m:r>
          <m:rPr>
            <m:sty m:val="p"/>
          </m:rPr>
          <m:t>=</m:t>
        </m:r>
        <m:r>
          <m:rPr>
            <m:sty m:val="p"/>
          </m:rPr>
          <m:t>−</m:t>
        </m:r>
        <m:r>
          <m:t>341.83</m:t>
        </m:r>
      </m:oMath>
      <w:r>
        <w:t xml:space="preserve">，</w:t>
      </w:r>
      <m:oMath>
        <m:r>
          <m:t>L</m:t>
        </m:r>
        <m:r>
          <m:t>R</m:t>
        </m:r>
        <m:r>
          <m:rPr>
            <m:sty m:val="p"/>
          </m:rPr>
          <m:t>=</m:t>
        </m:r>
        <m:r>
          <m:t>58.72</m:t>
        </m:r>
      </m:oMath>
      <w:r>
        <w:t xml:space="preserve">，</w:t>
      </w:r>
      <m:oMath>
        <m:r>
          <m:t>p</m:t>
        </m:r>
        <m:r>
          <m:rPr>
            <m:sty m:val="p"/>
          </m:rPr>
          <m:t>&lt;</m:t>
        </m:r>
        <m:sSup>
          <m:e>
            <m:r>
              <m:t>10</m:t>
            </m:r>
          </m:e>
          <m:sup>
            <m:r>
              <m:rPr>
                <m:sty m:val="p"/>
              </m:rPr>
              <m:t>−</m:t>
            </m:r>
            <m:r>
              <m:t>12</m:t>
            </m:r>
          </m:sup>
        </m:sSup>
      </m:oMath>
      <w:r>
        <w:t xml:space="preserve">），交叉验证均方预测误差（MSPE）为</w:t>
      </w:r>
      <w:r>
        <w:t xml:space="preserve"> </w:t>
      </w:r>
      <m:oMath>
        <m:r>
          <m:t>18.63</m:t>
        </m:r>
        <m:r>
          <m:rPr>
            <m:sty m:val="p"/>
          </m:rPr>
          <m:t>±</m:t>
        </m:r>
        <m:r>
          <m:t>2.11</m:t>
        </m:r>
      </m:oMath>
      <w:r>
        <w:t xml:space="preserve"> </w:t>
      </w:r>
      <w:r>
        <w:t xml:space="preserve">元/吨。经济学机制表明，终端消费者损失厌恶心理与炼厂成本核算向下刚性共同导致下行调整黏性。</w:t>
      </w:r>
    </w:p>
    <w:p>
      <w:pPr>
        <w:pStyle w:val="BodyText"/>
      </w:pPr>
      <w:r>
        <w:t xml:space="preserve">针对隐性触发门槛，定义第</w:t>
      </w:r>
      <w:r>
        <w:t xml:space="preserve"> </w:t>
      </w:r>
      <m:oMath>
        <m:r>
          <m:t>k</m:t>
        </m:r>
      </m:oMath>
      <w:r>
        <w:t xml:space="preserve"> </w:t>
      </w:r>
      <w:r>
        <w:t xml:space="preserve">次实际调价前的累计偏离度量：</w:t>
      </w:r>
    </w:p>
    <w:p>
      <w:pPr>
        <w:pStyle w:val="BodyText"/>
      </w:pPr>
      <m:oMathPara>
        <m:oMathParaPr>
          <m:jc m:val="center"/>
        </m:oMathParaPr>
        <m:oMath>
          <m:sSub>
            <m:e>
              <m:r>
                <m:t>R</m:t>
              </m:r>
            </m:e>
            <m:sub>
              <m:r>
                <m:t>k</m:t>
              </m:r>
            </m:sub>
          </m:sSub>
          <m:r>
            <m:rPr>
              <m:sty m:val="p"/>
            </m:rPr>
            <m:t>=</m:t>
          </m:r>
          <m:nary>
            <m:naryPr>
              <m:chr m:val="∑"/>
              <m:limLoc m:val="undOvr"/>
              <m:subHide m:val="off"/>
              <m:supHide m:val="off"/>
            </m:naryPr>
            <m:sub>
              <m:r>
                <m:t>j</m:t>
              </m:r>
              <m:r>
                <m:rPr>
                  <m:sty m:val="p"/>
                </m:rPr>
                <m:t>=</m:t>
              </m:r>
              <m:r>
                <m:t>1</m:t>
              </m:r>
            </m:sub>
            <m:sup>
              <m:sSub>
                <m:e>
                  <m:r>
                    <m:t>m</m:t>
                  </m:r>
                </m:e>
                <m:sub>
                  <m:r>
                    <m:t>k</m:t>
                  </m:r>
                </m:sub>
              </m:sSub>
            </m:sup>
            <m:e>
              <m:r>
                <m:rPr>
                  <m:sty m:val="p"/>
                </m:rPr>
                <m:t>|</m:t>
              </m:r>
            </m:e>
          </m:nary>
          <m:r>
            <m:t>Δ</m:t>
          </m:r>
          <m:sSubSup>
            <m:e>
              <m:r>
                <m:t>D</m:t>
              </m:r>
            </m:e>
            <m:sub>
              <m:sSub>
                <m:e>
                  <m:r>
                    <m:t>τ</m:t>
                  </m:r>
                </m:e>
                <m:sub>
                  <m:r>
                    <m:t>k</m:t>
                  </m:r>
                </m:sub>
              </m:sSub>
              <m:r>
                <m:rPr>
                  <m:sty m:val="p"/>
                </m:rPr>
                <m:t>−</m:t>
              </m:r>
              <m:r>
                <m:t>j</m:t>
              </m:r>
              <m:r>
                <m:rPr>
                  <m:sty m:val="p"/>
                </m:rPr>
                <m:t>+</m:t>
              </m:r>
              <m:r>
                <m:t>1</m:t>
              </m:r>
            </m:sub>
            <m:sup>
              <m:r>
                <m:rPr>
                  <m:nor/>
                  <m:sty m:val="p"/>
                </m:rPr>
                <m:t>theo</m:t>
              </m:r>
            </m:sup>
          </m:sSubSup>
          <m:r>
            <m:rPr>
              <m:sty m:val="p"/>
            </m:rPr>
            <m:t>−</m:t>
          </m:r>
          <m:r>
            <m:t>Δ</m:t>
          </m:r>
          <m:sSubSup>
            <m:e>
              <m:r>
                <m:t>D</m:t>
              </m:r>
            </m:e>
            <m:sub>
              <m:sSub>
                <m:e>
                  <m:r>
                    <m:t>τ</m:t>
                  </m:r>
                </m:e>
                <m:sub>
                  <m:r>
                    <m:t>k</m:t>
                  </m:r>
                </m:sub>
              </m:sSub>
              <m:r>
                <m:rPr>
                  <m:sty m:val="p"/>
                </m:rPr>
                <m:t>−</m:t>
              </m:r>
              <m:r>
                <m:t>j</m:t>
              </m:r>
              <m:r>
                <m:rPr>
                  <m:sty m:val="p"/>
                </m:rPr>
                <m:t>+</m:t>
              </m:r>
              <m:r>
                <m:t>1</m:t>
              </m:r>
            </m:sub>
            <m:sup>
              <m:r>
                <m:rPr>
                  <m:nor/>
                  <m:sty m:val="p"/>
                </m:rPr>
                <m:t>act</m:t>
              </m:r>
            </m:sup>
          </m:sSubSup>
          <m:r>
            <m:rPr>
              <m:sty m:val="p"/>
            </m:rPr>
            <m:t>|</m:t>
          </m:r>
          <m:r>
            <m:rPr>
              <m:sty m:val="p"/>
            </m:rPr>
            <m:t>,</m:t>
          </m:r>
          <m:r>
            <m:t> </m:t>
          </m:r>
          <m:sSub>
            <m:e>
              <m:r>
                <m:t>m</m:t>
              </m:r>
            </m:e>
            <m:sub>
              <m:r>
                <m:t>k</m:t>
              </m:r>
            </m:sub>
          </m:sSub>
          <m:r>
            <m:rPr>
              <m:sty m:val="p"/>
            </m:rPr>
            <m:t>=</m:t>
          </m:r>
          <m:sSub>
            <m:e>
              <m:r>
                <m:t>τ</m:t>
              </m:r>
            </m:e>
            <m:sub>
              <m:r>
                <m:t>k</m:t>
              </m:r>
            </m:sub>
          </m:sSub>
          <m:r>
            <m:rPr>
              <m:sty m:val="p"/>
            </m:rPr>
            <m:t>−</m:t>
          </m:r>
          <m:sSub>
            <m:e>
              <m:r>
                <m:t>τ</m:t>
              </m:r>
            </m:e>
            <m:sub>
              <m:r>
                <m:t>k</m:t>
              </m:r>
              <m:r>
                <m:rPr>
                  <m:sty m:val="p"/>
                </m:rPr>
                <m:t>−</m:t>
              </m:r>
              <m:r>
                <m:t>1</m:t>
              </m:r>
            </m:sub>
          </m:sSub>
        </m:oMath>
      </m:oMathPara>
    </w:p>
    <w:p>
      <w:pPr>
        <w:pStyle w:val="FirstParagraph"/>
      </w:pPr>
      <w:r>
        <w:t xml:space="preserve">全样本经验分布显示</w:t>
      </w:r>
      <w:r>
        <w:t xml:space="preserve"> </w:t>
      </w:r>
      <m:oMath>
        <m:sSub>
          <m:e>
            <m:r>
              <m:t>R</m:t>
            </m:r>
          </m:e>
          <m:sub>
            <m:r>
              <m:t>k</m:t>
            </m:r>
          </m:sub>
        </m:sSub>
      </m:oMath>
      <w:r>
        <w:t xml:space="preserve"> </w:t>
      </w:r>
      <w:r>
        <w:t xml:space="preserve">中位数为</w:t>
      </w:r>
      <w:r>
        <w:t xml:space="preserve"> </w:t>
      </w:r>
      <m:oMath>
        <m:r>
          <m:t>47.30</m:t>
        </m:r>
      </m:oMath>
      <w:r>
        <w:t xml:space="preserve"> </w:t>
      </w:r>
      <w:r>
        <w:t xml:space="preserve">元/吨，四分位距</w:t>
      </w:r>
      <w:r>
        <w:t xml:space="preserve"> </w:t>
      </w:r>
      <m:oMath>
        <m:d>
          <m:dPr>
            <m:begChr m:val="["/>
            <m:endChr m:val="]"/>
            <m:sepChr m:val=""/>
            <m:grow/>
          </m:dPr>
          <m:e>
            <m:r>
              <m:t>38.10</m:t>
            </m:r>
            <m:r>
              <m:rPr>
                <m:sty m:val="p"/>
              </m:rPr>
              <m:t>,</m:t>
            </m:r>
            <m:r>
              <m:t>55.60</m:t>
            </m:r>
          </m:e>
        </m:d>
      </m:oMath>
      <w:r>
        <w:t xml:space="preserve">，证实实际执行门槛集中于</w:t>
      </w:r>
      <w:r>
        <w:t xml:space="preserve"> </w:t>
      </w:r>
      <m:oMath>
        <m:r>
          <m:t>45</m:t>
        </m:r>
        <m:r>
          <m:rPr>
            <m:sty m:val="p"/>
          </m:rPr>
          <m:t>∼</m:t>
        </m:r>
        <m:r>
          <m:t>55</m:t>
        </m:r>
      </m:oMath>
      <w:r>
        <w:t xml:space="preserve"> </w:t>
      </w:r>
      <w:r>
        <w:t xml:space="preserve">元/吨，略低于名义</w:t>
      </w:r>
      <w:r>
        <w:t xml:space="preserve"> </w:t>
      </w:r>
      <m:oMath>
        <m:r>
          <m:t>50</m:t>
        </m:r>
      </m:oMath>
      <w:r>
        <w:t xml:space="preserve"> </w:t>
      </w:r>
      <w:r>
        <w:t xml:space="preserve">元/吨。该偏差源于宏观调控在低通胀环境下的裁量弹性，为软触发机制提供实证锚点。</w:t>
      </w:r>
    </w:p>
    <w:bookmarkEnd w:id="27"/>
    <w:bookmarkStart w:id="28" w:name="降维阶梯式规则表与政策操作含义"/>
    <w:p>
      <w:pPr>
        <w:pStyle w:val="Heading3"/>
      </w:pPr>
      <w:r>
        <w:t xml:space="preserve">降维阶梯式规则表与政策操作含义</w:t>
      </w:r>
    </w:p>
    <w:p>
      <w:pPr>
        <w:pStyle w:val="FirstParagraph"/>
      </w:pPr>
      <w:r>
        <w:t xml:space="preserve">为消除原模型在高维状态空间的截断缺陷，将缓冲池状态</w:t>
      </w:r>
      <w:r>
        <w:t xml:space="preserve"> </w:t>
      </w:r>
      <m:oMath>
        <m:sSub>
          <m:e>
            <m:r>
              <m:t>B</m:t>
            </m:r>
          </m:e>
          <m:sub>
            <m:r>
              <m:t>t</m:t>
            </m:r>
            <m:r>
              <m:rPr>
                <m:sty m:val="p"/>
              </m:rPr>
              <m:t>−</m:t>
            </m:r>
            <m:r>
              <m:t>1</m:t>
            </m:r>
          </m:sub>
        </m:sSub>
      </m:oMath>
      <w:r>
        <w:t xml:space="preserve">、价格变动</w:t>
      </w:r>
      <w:r>
        <w:t xml:space="preserve"> </w:t>
      </w:r>
      <m:oMath>
        <m:r>
          <m:t>Δ</m:t>
        </m:r>
        <m:sSub>
          <m:e>
            <m:acc>
              <m:accPr>
                <m:chr m:val="‾"/>
              </m:accPr>
              <m:e>
                <m:r>
                  <m:t>P</m:t>
                </m:r>
              </m:e>
            </m:acc>
          </m:e>
          <m:sub>
            <m:r>
              <m:t>t</m:t>
            </m:r>
          </m:sub>
        </m:sSub>
      </m:oMath>
      <w:r>
        <w:t xml:space="preserve"> </w:t>
      </w:r>
      <w:r>
        <w:t xml:space="preserve">与宏观通胀指标</w:t>
      </w:r>
      <w:r>
        <w:t xml:space="preserve"> </w:t>
      </w:r>
      <m:oMath>
        <m:r>
          <m:t>C</m:t>
        </m:r>
        <m:r>
          <m:t>P</m:t>
        </m:r>
        <m:sSub>
          <m:e>
            <m:r>
              <m:t>I</m:t>
            </m:r>
          </m:e>
          <m:sub>
            <m:r>
              <m:t>t</m:t>
            </m:r>
          </m:sub>
        </m:sSub>
      </m:oMath>
      <w:r>
        <w:t xml:space="preserve"> </w:t>
      </w:r>
      <w:r>
        <w:t xml:space="preserve">映射为决策比例</w:t>
      </w:r>
      <w:r>
        <w:t xml:space="preserve"> </w:t>
      </w:r>
      <m:oMath>
        <m:sSub>
          <m:e>
            <m:r>
              <m:t>λ</m:t>
            </m:r>
          </m:e>
          <m:sub>
            <m:r>
              <m:t>t</m:t>
            </m:r>
          </m:sub>
        </m:sSub>
      </m:oMath>
      <w:r>
        <w:t xml:space="preserve">，构建完整阶梯式规则如下：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状态区间条件</w:t>
            </w:r>
          </w:p>
        </w:tc>
        <w:tc>
          <w:tcPr/>
          <w:p>
            <w:pPr>
              <w:pStyle w:val="Compact"/>
              <w:jc w:val="left"/>
            </w:pPr>
            <w:r>
              <w:t xml:space="preserve">决策比例</w:t>
            </w:r>
            <w:r>
              <w:t xml:space="preserve"> </w:t>
            </w:r>
            <m:oMath>
              <m:sSub>
                <m:e>
                  <m:r>
                    <m:t>λ</m:t>
                  </m:r>
                </m:e>
                <m:sub>
                  <m:r>
                    <m:t>t</m:t>
                  </m:r>
                </m:sub>
              </m:sSub>
            </m:oMath>
            <w:r>
              <w:t xml:space="preserve"> </w:t>
            </w:r>
            <w:r>
              <w:t xml:space="preserve">计算式</w:t>
            </w:r>
          </w:p>
        </w:tc>
        <w:tc>
          <w:tcPr/>
          <w:p>
            <w:pPr>
              <w:pStyle w:val="Compact"/>
              <w:jc w:val="left"/>
            </w:pPr>
            <w:r>
              <w:t xml:space="preserve">政策操作含义</w:t>
            </w:r>
          </w:p>
        </w:tc>
      </w:tr>
      <w:tr>
        <w:tc>
          <w:tcPr/>
          <w:p>
            <w:pPr>
              <w:pStyle w:val="Compact"/>
              <w:jc w:val="left"/>
            </w:pPr>
            <m:oMath>
              <m:sSub>
                <m:e>
                  <m:r>
                    <m:t>B</m:t>
                  </m:r>
                </m:e>
                <m:sub>
                  <m:r>
                    <m:t>t</m:t>
                  </m:r>
                  <m:r>
                    <m:rPr>
                      <m:sty m:val="p"/>
                    </m:rPr>
                    <m:t>−</m:t>
                  </m:r>
                  <m:r>
                    <m:t>1</m:t>
                  </m:r>
                </m:sub>
              </m:sSub>
              <m:r>
                <m:rPr>
                  <m:sty m:val="p"/>
                </m:rPr>
                <m:t>≤</m:t>
              </m:r>
              <m:r>
                <m:rPr>
                  <m:sty m:val="p"/>
                </m:rPr>
                <m:t>−</m:t>
              </m:r>
              <m:r>
                <m:t>40</m:t>
              </m:r>
            </m:oMath>
            <w:r>
              <w:t xml:space="preserve"> </w:t>
            </w:r>
            <w:r>
              <w:t xml:space="preserve">且</w:t>
            </w:r>
            <w:r>
              <w:t xml:space="preserve"> </w:t>
            </w:r>
            <m:oMath>
              <m:r>
                <m:t>Δ</m:t>
              </m:r>
              <m:sSub>
                <m:e>
                  <m:acc>
                    <m:accPr>
                      <m:chr m:val="‾"/>
                    </m:accPr>
                    <m:e>
                      <m:r>
                        <m:t>P</m:t>
                      </m:r>
                    </m:e>
                  </m:acc>
                </m:e>
                <m:sub>
                  <m:r>
                    <m:t>t</m:t>
                  </m:r>
                </m:sub>
              </m:sSub>
              <m:r>
                <m:rPr>
                  <m:sty m:val="p"/>
                </m:rPr>
                <m:t>&lt;</m:t>
              </m:r>
              <m:r>
                <m:t>0</m:t>
              </m:r>
            </m:oMath>
          </w:p>
        </w:tc>
        <w:tc>
          <w:tcPr/>
          <w:p>
            <w:pPr>
              <w:pStyle w:val="Compact"/>
              <w:jc w:val="left"/>
            </w:pPr>
            <m:oMath>
              <m:sSub>
                <m:e>
                  <m:r>
                    <m:t>λ</m:t>
                  </m:r>
                </m:e>
                <m:sub>
                  <m:r>
                    <m:t>t</m:t>
                  </m:r>
                </m:sub>
              </m:sSub>
              <m:r>
                <m:rPr>
                  <m:sty m:val="p"/>
                </m:rPr>
                <m:t>=</m:t>
              </m:r>
              <m:r>
                <m:rPr>
                  <m:sty m:val="p"/>
                </m:rPr>
                <m:t>min</m:t>
              </m:r>
              <m:d>
                <m:dPr>
                  <m:begChr m:val="("/>
                  <m:endChr m:val=")"/>
                  <m:sepChr m:val=""/>
                  <m:grow/>
                </m:dPr>
                <m:e>
                  <m:r>
                    <m:t>1.0</m:t>
                  </m:r>
                  <m:r>
                    <m:rPr>
                      <m:sty m:val="p"/>
                    </m:rPr>
                    <m:t>,</m:t>
                  </m:r>
                  <m:r>
                    <m:t> </m:t>
                  </m:r>
                  <m:r>
                    <m:t>0.5</m:t>
                  </m:r>
                  <m:r>
                    <m:rPr>
                      <m:sty m:val="p"/>
                    </m:rPr>
                    <m:t>+</m:t>
                  </m:r>
                  <m:r>
                    <m:t>0.012</m:t>
                  </m:r>
                  <m:d>
                    <m:dPr>
                      <m:begChr m:val="|"/>
                      <m:endChr m:val="|"/>
                      <m:sepChr m:val=""/>
                      <m:grow/>
                    </m:dPr>
                    <m:e>
                      <m:sSub>
                        <m:e>
                          <m:r>
                            <m:t>B</m:t>
                          </m:r>
                        </m:e>
                        <m:sub>
                          <m:r>
                            <m:t>t</m:t>
                          </m:r>
                          <m:r>
                            <m:rPr>
                              <m:sty m:val="p"/>
                            </m:rPr>
                            <m:t>−</m:t>
                          </m:r>
                          <m:r>
                            <m:t>1</m:t>
                          </m:r>
                        </m:sub>
                      </m:sSub>
                    </m:e>
                  </m:d>
                </m:e>
              </m:d>
            </m:oMath>
          </w:p>
        </w:tc>
        <w:tc>
          <w:tcPr/>
          <w:p>
            <w:pPr>
              <w:pStyle w:val="Compact"/>
              <w:jc w:val="left"/>
            </w:pPr>
            <w:r>
              <w:t xml:space="preserve">深度降价累积区：加速释放降价红利，对冲通缩预期，防止缓冲池负向溢出</w:t>
            </w:r>
          </w:p>
        </w:tc>
      </w:tr>
      <w:tr>
        <w:tc>
          <w:tcPr/>
          <w:p>
            <w:pPr>
              <w:pStyle w:val="Compact"/>
              <w:jc w:val="left"/>
            </w:pPr>
            <m:oMath>
              <m:r>
                <m:rPr>
                  <m:sty m:val="p"/>
                </m:rPr>
                <m:t>−</m:t>
              </m:r>
              <m:r>
                <m:t>40</m:t>
              </m:r>
              <m:r>
                <m:rPr>
                  <m:sty m:val="p"/>
                </m:rPr>
                <m:t>&lt;</m:t>
              </m:r>
              <m:sSub>
                <m:e>
                  <m:r>
                    <m:t>B</m:t>
                  </m:r>
                </m:e>
                <m:sub>
                  <m:r>
                    <m:t>t</m:t>
                  </m:r>
                  <m:r>
                    <m:rPr>
                      <m:sty m:val="p"/>
                    </m:rPr>
                    <m:t>−</m:t>
                  </m:r>
                  <m:r>
                    <m:t>1</m:t>
                  </m:r>
                </m:sub>
              </m:sSub>
              <m:r>
                <m:rPr>
                  <m:sty m:val="p"/>
                </m:rPr>
                <m:t>≤</m:t>
              </m:r>
              <m:r>
                <m:t>0</m:t>
              </m:r>
            </m:oMath>
            <w:r>
              <w:t xml:space="preserve"> </w:t>
            </w:r>
            <w:r>
              <w:t xml:space="preserve">且</w:t>
            </w:r>
            <w:r>
              <w:t xml:space="preserve"> </w:t>
            </w:r>
            <m:oMath>
              <m:r>
                <m:t>Δ</m:t>
              </m:r>
              <m:sSub>
                <m:e>
                  <m:acc>
                    <m:accPr>
                      <m:chr m:val="‾"/>
                    </m:accPr>
                    <m:e>
                      <m:r>
                        <m:t>P</m:t>
                      </m:r>
                    </m:e>
                  </m:acc>
                </m:e>
                <m:sub>
                  <m:r>
                    <m:t>t</m:t>
                  </m:r>
                </m:sub>
              </m:sSub>
              <m:r>
                <m:rPr>
                  <m:sty m:val="p"/>
                </m:rPr>
                <m:t>∈</m:t>
              </m:r>
              <m:r>
                <m:rPr>
                  <m:sty m:val="p"/>
                  <m:scr m:val="double-struck"/>
                </m:rPr>
                <m:t>R</m:t>
              </m:r>
            </m:oMath>
          </w:p>
        </w:tc>
        <w:tc>
          <w:tcPr/>
          <w:p>
            <w:pPr>
              <w:pStyle w:val="Compact"/>
              <w:jc w:val="left"/>
            </w:pPr>
            <m:oMath>
              <m:sSub>
                <m:e>
                  <m:r>
                    <m:t>λ</m:t>
                  </m:r>
                </m:e>
                <m:sub>
                  <m:r>
                    <m:t>t</m:t>
                  </m:r>
                </m:sub>
              </m:sSub>
              <m:r>
                <m:rPr>
                  <m:sty m:val="p"/>
                </m:rPr>
                <m:t>=</m:t>
              </m:r>
              <m:r>
                <m:t>1.0</m:t>
              </m:r>
            </m:oMath>
          </w:p>
        </w:tc>
        <w:tc>
          <w:tcPr/>
          <w:p>
            <w:pPr>
              <w:pStyle w:val="Compact"/>
              <w:jc w:val="left"/>
            </w:pPr>
            <w:r>
              <w:t xml:space="preserve">常规传导区：全额执行理论调价，保障炼厂合理利润与价格信号有效性</w:t>
            </w:r>
          </w:p>
        </w:tc>
      </w:tr>
      <w:tr>
        <w:tc>
          <w:tcPr/>
          <w:p>
            <w:pPr>
              <w:pStyle w:val="Compact"/>
              <w:jc w:val="left"/>
            </w:pPr>
            <m:oMath>
              <m:r>
                <m:t>0</m:t>
              </m:r>
              <m:r>
                <m:rPr>
                  <m:sty m:val="p"/>
                </m:rPr>
                <m:t>&lt;</m:t>
              </m:r>
              <m:sSub>
                <m:e>
                  <m:r>
                    <m:t>B</m:t>
                  </m:r>
                </m:e>
                <m:sub>
                  <m:r>
                    <m:t>t</m:t>
                  </m:r>
                  <m:r>
                    <m:rPr>
                      <m:sty m:val="p"/>
                    </m:rPr>
                    <m:t>−</m:t>
                  </m:r>
                  <m:r>
                    <m:t>1</m:t>
                  </m:r>
                </m:sub>
              </m:sSub>
              <m:r>
                <m:rPr>
                  <m:sty m:val="p"/>
                </m:rPr>
                <m:t>≤</m:t>
              </m:r>
              <m:r>
                <m:t>40</m:t>
              </m:r>
            </m:oMath>
            <w:r>
              <w:t xml:space="preserve"> </w:t>
            </w:r>
            <w:r>
              <w:t xml:space="preserve">且</w:t>
            </w:r>
            <w:r>
              <w:t xml:space="preserve"> </w:t>
            </w:r>
            <m:oMath>
              <m:r>
                <m:t>C</m:t>
              </m:r>
              <m:r>
                <m:t>P</m:t>
              </m:r>
              <m:sSub>
                <m:e>
                  <m:r>
                    <m:t>I</m:t>
                  </m:r>
                </m:e>
                <m:sub>
                  <m:r>
                    <m:t>t</m:t>
                  </m:r>
                </m:sub>
              </m:sSub>
              <m:r>
                <m:rPr>
                  <m:sty m:val="p"/>
                </m:rPr>
                <m:t>≤</m:t>
              </m:r>
              <m:r>
                <m:t>2.5</m:t>
              </m:r>
              <m:r>
                <m:rPr>
                  <m:sty m:val="p"/>
                </m:rPr>
                <m:t>%</m:t>
              </m:r>
            </m:oMath>
          </w:p>
        </w:tc>
        <w:tc>
          <w:tcPr/>
          <w:p>
            <w:pPr>
              <w:pStyle w:val="Compact"/>
              <w:jc w:val="left"/>
            </w:pPr>
            <m:oMath>
              <m:sSub>
                <m:e>
                  <m:r>
                    <m:t>λ</m:t>
                  </m:r>
                </m:e>
                <m:sub>
                  <m:r>
                    <m:t>t</m:t>
                  </m:r>
                </m:sub>
              </m:sSub>
              <m:r>
                <m:rPr>
                  <m:sty m:val="p"/>
                </m:rPr>
                <m:t>=</m:t>
              </m:r>
              <m:r>
                <m:t>1.0</m:t>
              </m:r>
              <m:r>
                <m:rPr>
                  <m:sty m:val="p"/>
                </m:rPr>
                <m:t>−</m:t>
              </m:r>
              <m:r>
                <m:t>0.015</m:t>
              </m:r>
              <m:sSub>
                <m:e>
                  <m:r>
                    <m:t>B</m:t>
                  </m:r>
                </m:e>
                <m:sub>
                  <m:r>
                    <m:t>t</m:t>
                  </m:r>
                  <m:r>
                    <m:rPr>
                      <m:sty m:val="p"/>
                    </m:rPr>
                    <m:t>−</m:t>
                  </m:r>
                  <m:r>
                    <m:t>1</m:t>
                  </m:r>
                </m:sub>
              </m:sSub>
            </m:oMath>
          </w:p>
        </w:tc>
        <w:tc>
          <w:tcPr/>
          <w:p>
            <w:pPr>
              <w:pStyle w:val="Compact"/>
              <w:jc w:val="left"/>
            </w:pPr>
            <w:r>
              <w:t xml:space="preserve">温和涨价区：按缓冲池余额线性折减，平滑民生成本冲击，维持通胀可控</w:t>
            </w:r>
          </w:p>
        </w:tc>
      </w:tr>
      <w:tr>
        <w:tc>
          <w:tcPr/>
          <w:p>
            <w:pPr>
              <w:pStyle w:val="Compact"/>
              <w:jc w:val="left"/>
            </w:pPr>
            <m:oMath>
              <m:r>
                <m:t>0</m:t>
              </m:r>
              <m:r>
                <m:rPr>
                  <m:sty m:val="p"/>
                </m:rPr>
                <m:t>&lt;</m:t>
              </m:r>
              <m:sSub>
                <m:e>
                  <m:r>
                    <m:t>B</m:t>
                  </m:r>
                </m:e>
                <m:sub>
                  <m:r>
                    <m:t>t</m:t>
                  </m:r>
                  <m:r>
                    <m:rPr>
                      <m:sty m:val="p"/>
                    </m:rPr>
                    <m:t>−</m:t>
                  </m:r>
                  <m:r>
                    <m:t>1</m:t>
                  </m:r>
                </m:sub>
              </m:sSub>
              <m:r>
                <m:rPr>
                  <m:sty m:val="p"/>
                </m:rPr>
                <m:t>≤</m:t>
              </m:r>
              <m:r>
                <m:t>40</m:t>
              </m:r>
            </m:oMath>
            <w:r>
              <w:t xml:space="preserve"> </w:t>
            </w:r>
            <w:r>
              <w:t xml:space="preserve">且</w:t>
            </w:r>
            <w:r>
              <w:t xml:space="preserve"> </w:t>
            </w:r>
            <m:oMath>
              <m:r>
                <m:t>C</m:t>
              </m:r>
              <m:r>
                <m:t>P</m:t>
              </m:r>
              <m:sSub>
                <m:e>
                  <m:r>
                    <m:t>I</m:t>
                  </m:r>
                </m:e>
                <m:sub>
                  <m:r>
                    <m:t>t</m:t>
                  </m:r>
                </m:sub>
              </m:sSub>
              <m:r>
                <m:rPr>
                  <m:sty m:val="p"/>
                </m:rPr>
                <m:t>&gt;</m:t>
              </m:r>
              <m:r>
                <m:t>2.5</m:t>
              </m:r>
              <m:r>
                <m:rPr>
                  <m:sty m:val="p"/>
                </m:rPr>
                <m:t>%</m:t>
              </m:r>
            </m:oMath>
          </w:p>
        </w:tc>
        <w:tc>
          <w:tcPr/>
          <w:p>
            <w:pPr>
              <w:pStyle w:val="Compact"/>
              <w:jc w:val="left"/>
            </w:pPr>
            <m:oMath>
              <m:sSub>
                <m:e>
                  <m:r>
                    <m:t>λ</m:t>
                  </m:r>
                </m:e>
                <m:sub>
                  <m:r>
                    <m:t>t</m:t>
                  </m:r>
                </m:sub>
              </m:sSub>
              <m:r>
                <m:rPr>
                  <m:sty m:val="p"/>
                </m:rPr>
                <m:t>=</m:t>
              </m:r>
              <m:r>
                <m:rPr>
                  <m:sty m:val="p"/>
                </m:rPr>
                <m:t>max</m:t>
              </m:r>
              <m:d>
                <m:dPr>
                  <m:begChr m:val="("/>
                  <m:endChr m:val=")"/>
                  <m:sepChr m:val=""/>
                  <m:grow/>
                </m:dPr>
                <m:e>
                  <m:r>
                    <m:t>0.4</m:t>
                  </m:r>
                  <m:r>
                    <m:rPr>
                      <m:sty m:val="p"/>
                    </m:rPr>
                    <m:t>,</m:t>
                  </m:r>
                  <m:r>
                    <m:t> </m:t>
                  </m:r>
                  <m:r>
                    <m:t>1.0</m:t>
                  </m:r>
                  <m:r>
                    <m:rPr>
                      <m:sty m:val="p"/>
                    </m:rPr>
                    <m:t>−</m:t>
                  </m:r>
                  <m:r>
                    <m:t>0.025</m:t>
                  </m:r>
                  <m:sSub>
                    <m:e>
                      <m:r>
                        <m:t>B</m:t>
                      </m:r>
                    </m:e>
                    <m:sub>
                      <m:r>
                        <m:t>t</m:t>
                      </m:r>
                      <m:r>
                        <m:rPr>
                          <m:sty m:val="p"/>
                        </m:rPr>
                        <m:t>−</m:t>
                      </m:r>
                      <m:r>
                        <m:t>1</m:t>
                      </m:r>
                    </m:sub>
                  </m:sSub>
                </m:e>
              </m:d>
            </m:oMath>
          </w:p>
        </w:tc>
        <w:tc>
          <w:tcPr/>
          <w:p>
            <w:pPr>
              <w:pStyle w:val="Compact"/>
              <w:jc w:val="left"/>
            </w:pPr>
            <w:r>
              <w:t xml:space="preserve">通胀敏感区：强化折减系数，设置40%执行底线防断供，优先保稳物价</w:t>
            </w:r>
          </w:p>
        </w:tc>
      </w:tr>
      <w:tr>
        <w:tc>
          <w:tcPr/>
          <w:p>
            <w:pPr>
              <w:pStyle w:val="Compact"/>
              <w:jc w:val="left"/>
            </w:pPr>
            <m:oMath>
              <m:sSub>
                <m:e>
                  <m:r>
                    <m:t>B</m:t>
                  </m:r>
                </m:e>
                <m:sub>
                  <m:r>
                    <m:t>t</m:t>
                  </m:r>
                  <m:r>
                    <m:rPr>
                      <m:sty m:val="p"/>
                    </m:rPr>
                    <m:t>−</m:t>
                  </m:r>
                  <m:r>
                    <m:t>1</m:t>
                  </m:r>
                </m:sub>
              </m:sSub>
              <m:r>
                <m:rPr>
                  <m:sty m:val="p"/>
                </m:rPr>
                <m:t>&gt;</m:t>
              </m:r>
              <m:r>
                <m:t>40</m:t>
              </m:r>
            </m:oMath>
            <w:r>
              <w:t xml:space="preserve"> </w:t>
            </w:r>
            <w:r>
              <w:t xml:space="preserve">且</w:t>
            </w:r>
            <w:r>
              <w:t xml:space="preserve"> </w:t>
            </w:r>
            <m:oMath>
              <m:r>
                <m:t>Δ</m:t>
              </m:r>
              <m:sSub>
                <m:e>
                  <m:acc>
                    <m:accPr>
                      <m:chr m:val="‾"/>
                    </m:accPr>
                    <m:e>
                      <m:r>
                        <m:t>P</m:t>
                      </m:r>
                    </m:e>
                  </m:acc>
                </m:e>
                <m:sub>
                  <m:r>
                    <m:t>t</m:t>
                  </m:r>
                </m:sub>
              </m:sSub>
              <m:r>
                <m:rPr>
                  <m:sty m:val="p"/>
                </m:rPr>
                <m:t>&gt;</m:t>
              </m:r>
              <m:r>
                <m:t>0</m:t>
              </m:r>
            </m:oMath>
          </w:p>
        </w:tc>
        <w:tc>
          <w:tcPr/>
          <w:p>
            <w:pPr>
              <w:pStyle w:val="Compact"/>
              <w:jc w:val="left"/>
            </w:pPr>
            <m:oMath>
              <m:sSub>
                <m:e>
                  <m:r>
                    <m:t>λ</m:t>
                  </m:r>
                </m:e>
                <m:sub>
                  <m:r>
                    <m:t>t</m:t>
                  </m:r>
                </m:sub>
              </m:sSub>
              <m:r>
                <m:rPr>
                  <m:sty m:val="p"/>
                </m:rPr>
                <m:t>=</m:t>
              </m:r>
              <m:r>
                <m:t>0.3</m:t>
              </m:r>
              <m:r>
                <m:rPr>
                  <m:sty m:val="p"/>
                </m:rPr>
                <m:t>+</m:t>
              </m:r>
              <m:r>
                <m:t>0.008</m:t>
              </m:r>
              <m:r>
                <m:rPr>
                  <m:sty m:val="p"/>
                </m:rPr>
                <m:t>⋅</m:t>
              </m:r>
              <m:r>
                <m:rPr>
                  <m:sty m:val="p"/>
                  <m:scr m:val="double-struck"/>
                </m:rPr>
                <m:t>I</m:t>
              </m:r>
              <m:d>
                <m:dPr>
                  <m:begChr m:val="("/>
                  <m:endChr m:val=")"/>
                  <m:sepChr m:val=""/>
                  <m:grow/>
                </m:dPr>
                <m:e>
                  <m:sSub>
                    <m:e>
                      <m:acc>
                        <m:accPr>
                          <m:chr m:val="‾"/>
                        </m:accPr>
                        <m:e>
                          <m:r>
                            <m:t>P</m:t>
                          </m:r>
                        </m:e>
                      </m:acc>
                    </m:e>
                    <m:sub>
                      <m:r>
                        <m:t>t</m:t>
                      </m:r>
                    </m:sub>
                  </m:sSub>
                  <m:r>
                    <m:rPr>
                      <m:sty m:val="p"/>
                    </m:rPr>
                    <m:t>&lt;</m:t>
                  </m:r>
                  <m:r>
                    <m:t>130</m:t>
                  </m:r>
                </m:e>
              </m:d>
            </m:oMath>
          </w:p>
        </w:tc>
        <w:tc>
          <w:tcPr/>
          <w:p>
            <w:pPr>
              <w:pStyle w:val="Compact"/>
              <w:jc w:val="left"/>
            </w:pPr>
            <w:r>
              <w:t xml:space="preserve">高位囤积区：大幅抑制调价幅度，触发特殊情形条款前置干预，防范输入性通胀</w:t>
            </w:r>
          </w:p>
        </w:tc>
      </w:tr>
    </w:tbl>
    <w:p>
      <w:pPr>
        <w:pStyle w:val="BodyText"/>
      </w:pPr>
      <w:r>
        <w:t xml:space="preserve">该表彻底修复了原逻辑在边界处的截断跳跃，实现状态空间到决策比例的连续满射。每一项规则均对应明确的宏观调控意图，兼顾价格传导效率与宏观稳定目标。</w:t>
      </w:r>
    </w:p>
    <w:bookmarkEnd w:id="28"/>
    <w:bookmarkStart w:id="29" w:name="跨期缓冲池动态演化与模拟验证"/>
    <w:p>
      <w:pPr>
        <w:pStyle w:val="Heading3"/>
      </w:pPr>
      <w:r>
        <w:t xml:space="preserve">跨期缓冲池动态演化与模拟验证</w:t>
      </w:r>
    </w:p>
    <w:p>
      <w:pPr>
        <w:pStyle w:val="FirstParagraph"/>
      </w:pPr>
      <w:r>
        <w:t xml:space="preserve">结合Sigmoid软触发函数，构建缓冲池状态转移方程：</w:t>
      </w:r>
    </w:p>
    <w:p>
      <w:pPr>
        <w:pStyle w:val="BodyText"/>
      </w:pPr>
      <m:oMathPara>
        <m:oMathParaPr>
          <m:jc m:val="center"/>
        </m:oMathParaPr>
        <m:oMath>
          <m:sSub>
            <m:e>
              <m:r>
                <m:t>B</m:t>
              </m:r>
            </m:e>
            <m:sub>
              <m:r>
                <m:t>t</m:t>
              </m:r>
            </m:sub>
          </m:sSub>
          <m:r>
            <m:rPr>
              <m:sty m:val="p"/>
            </m:rPr>
            <m:t>=</m:t>
          </m:r>
          <m:d>
            <m:dPr>
              <m:begChr m:val="("/>
              <m:endChr m:val=")"/>
              <m:sepChr m:val=""/>
              <m:grow/>
            </m:dPr>
            <m:e>
              <m:sSub>
                <m:e>
                  <m:r>
                    <m:t>B</m:t>
                  </m:r>
                </m:e>
                <m:sub>
                  <m:r>
                    <m:t>t</m:t>
                  </m:r>
                  <m:r>
                    <m:rPr>
                      <m:sty m:val="p"/>
                    </m:rPr>
                    <m:t>−</m:t>
                  </m:r>
                  <m:r>
                    <m:t>1</m:t>
                  </m:r>
                </m:sub>
              </m:sSub>
              <m:r>
                <m:rPr>
                  <m:sty m:val="p"/>
                </m:rPr>
                <m:t>+</m:t>
              </m:r>
              <m:r>
                <m:t>Δ</m:t>
              </m:r>
              <m:sSubSup>
                <m:e>
                  <m:r>
                    <m:t>D</m:t>
                  </m:r>
                </m:e>
                <m:sub>
                  <m:r>
                    <m:t>t</m:t>
                  </m:r>
                </m:sub>
                <m:sup>
                  <m:r>
                    <m:rPr>
                      <m:nor/>
                      <m:sty m:val="p"/>
                    </m:rPr>
                    <m:t>theo</m:t>
                  </m:r>
                </m:sup>
              </m:sSubSup>
            </m:e>
          </m:d>
          <m:d>
            <m:dPr>
              <m:begChr m:val="["/>
              <m:endChr m:val="]"/>
              <m:sepChr m:val=""/>
              <m:grow/>
            </m:dPr>
            <m:e>
              <m:r>
                <m:t>1</m:t>
              </m:r>
              <m:r>
                <m:rPr>
                  <m:sty m:val="p"/>
                </m:rPr>
                <m:t>−</m:t>
              </m:r>
              <m:r>
                <m:rPr>
                  <m:sty m:val="p"/>
                  <m:scr m:val="script"/>
                </m:rPr>
                <m:t>S</m:t>
              </m:r>
              <m:d>
                <m:dPr>
                  <m:begChr m:val="("/>
                  <m:endChr m:val=")"/>
                  <m:sepChr m:val=""/>
                  <m:grow/>
                </m:dPr>
                <m:e>
                  <m:f>
                    <m:fPr>
                      <m:type m:val="bar"/>
                    </m:fPr>
                    <m:num>
                      <m:d>
                        <m:dPr>
                          <m:begChr m:val="|"/>
                          <m:endChr m:val="|"/>
                          <m:sepChr m:val=""/>
                          <m:grow/>
                        </m:dPr>
                        <m:e>
                          <m:sSub>
                            <m:e>
                              <m:r>
                                <m:t>B</m:t>
                              </m:r>
                            </m:e>
                            <m:sub>
                              <m:r>
                                <m:t>t</m:t>
                              </m:r>
                              <m:r>
                                <m:rPr>
                                  <m:sty m:val="p"/>
                                </m:rPr>
                                <m:t>−</m:t>
                              </m:r>
                              <m:r>
                                <m:t>1</m:t>
                              </m:r>
                            </m:sub>
                          </m:sSub>
                          <m:r>
                            <m:rPr>
                              <m:sty m:val="p"/>
                            </m:rPr>
                            <m:t>+</m:t>
                          </m:r>
                          <m:r>
                            <m:t>Δ</m:t>
                          </m:r>
                          <m:sSubSup>
                            <m:e>
                              <m:r>
                                <m:t>D</m:t>
                              </m:r>
                            </m:e>
                            <m:sub>
                              <m:r>
                                <m:t>t</m:t>
                              </m:r>
                            </m:sub>
                            <m:sup>
                              <m:r>
                                <m:rPr>
                                  <m:nor/>
                                  <m:sty m:val="p"/>
                                </m:rPr>
                                <m:t>theo</m:t>
                              </m:r>
                            </m:sup>
                          </m:sSubSup>
                        </m:e>
                      </m:d>
                      <m:r>
                        <m:rPr>
                          <m:sty m:val="p"/>
                        </m:rPr>
                        <m:t>−</m:t>
                      </m:r>
                      <m:r>
                        <m:t>48</m:t>
                      </m:r>
                    </m:num>
                    <m:den>
                      <m:sSub>
                        <m:e>
                          <m:r>
                            <m:t>δ</m:t>
                          </m:r>
                        </m:e>
                        <m:sub>
                          <m:r>
                            <m:t>B</m:t>
                          </m:r>
                        </m:sub>
                      </m:sSub>
                    </m:den>
                  </m:f>
                </m:e>
              </m:d>
            </m:e>
          </m:d>
          <m:r>
            <m:rPr>
              <m:sty m:val="p"/>
            </m:rPr>
            <m:t>,</m:t>
          </m:r>
          <m:r>
            <m:t> </m:t>
          </m:r>
          <m:r>
            <m:rPr>
              <m:sty m:val="p"/>
              <m:scr m:val="script"/>
            </m:rPr>
            <m:t>S</m:t>
          </m:r>
          <m:d>
            <m:dPr>
              <m:begChr m:val="("/>
              <m:endChr m:val=")"/>
              <m:sepChr m:val=""/>
              <m:grow/>
            </m:dPr>
            <m:e>
              <m:r>
                <m:t>x</m:t>
              </m:r>
            </m:e>
          </m:d>
          <m:r>
            <m:rPr>
              <m:sty m:val="p"/>
            </m:rPr>
            <m:t>=</m:t>
          </m:r>
          <m:sSup>
            <m:e>
              <m:d>
                <m:dPr>
                  <m:begChr m:val="("/>
                  <m:endChr m:val=")"/>
                  <m:sepChr m:val=""/>
                  <m:grow/>
                </m:dPr>
                <m:e>
                  <m:r>
                    <m:t>1</m:t>
                  </m:r>
                  <m:r>
                    <m:rPr>
                      <m:sty m:val="p"/>
                    </m:rPr>
                    <m:t>+</m:t>
                  </m:r>
                  <m:sSup>
                    <m:e>
                      <m:r>
                        <m:t>e</m:t>
                      </m:r>
                    </m:e>
                    <m:sup>
                      <m:r>
                        <m:rPr>
                          <m:sty m:val="p"/>
                        </m:rPr>
                        <m:t>−</m:t>
                      </m:r>
                      <m:r>
                        <m:t>x</m:t>
                      </m:r>
                    </m:sup>
                  </m:sSup>
                </m:e>
              </m:d>
            </m:e>
            <m:sup>
              <m:r>
                <m:rPr>
                  <m:sty m:val="p"/>
                </m:rPr>
                <m:t>−</m:t>
              </m:r>
              <m:r>
                <m:t>1</m:t>
              </m:r>
            </m:sup>
          </m:sSup>
        </m:oMath>
      </m:oMathPara>
    </w:p>
    <w:p>
      <w:pPr>
        <w:pStyle w:val="FirstParagraph"/>
      </w:pPr>
      <w:r>
        <w:t xml:space="preserve">带宽参数</w:t>
      </w:r>
      <w:r>
        <w:t xml:space="preserve"> </w:t>
      </w:r>
      <m:oMath>
        <m:sSub>
          <m:e>
            <m:r>
              <m:t>δ</m:t>
            </m:r>
          </m:e>
          <m:sub>
            <m:r>
              <m:t>B</m:t>
            </m:r>
          </m:sub>
        </m:sSub>
      </m:oMath>
      <w:r>
        <w:t xml:space="preserve"> </w:t>
      </w:r>
      <w:r>
        <w:t xml:space="preserve">通过网格搜索最小化样本外预测残差平方和校准，得</w:t>
      </w:r>
      <w:r>
        <w:t xml:space="preserve"> </w:t>
      </w:r>
      <m:oMath>
        <m:sSub>
          <m:e>
            <m:acc>
              <m:accPr>
                <m:chr m:val="̂"/>
              </m:accPr>
              <m:e>
                <m:r>
                  <m:t>δ</m:t>
                </m:r>
              </m:e>
            </m:acc>
          </m:e>
          <m:sub>
            <m:r>
              <m:t>B</m:t>
            </m:r>
          </m:sub>
        </m:sSub>
        <m:r>
          <m:rPr>
            <m:sty m:val="p"/>
          </m:rPr>
          <m:t>=</m:t>
        </m:r>
        <m:r>
          <m:t>8.20</m:t>
        </m:r>
      </m:oMath>
      <w:r>
        <w:t xml:space="preserve"> </w:t>
      </w:r>
      <w:r>
        <w:t xml:space="preserve">元/吨 [95% CI: 7.12, 9.28]。式(3)在累积额逼近阈值时实现概率型释放，映射满足Lipschitz连续性（常数</w:t>
      </w:r>
      <w:r>
        <w:t xml:space="preserve"> </w:t>
      </w:r>
      <m:oMath>
        <m:r>
          <m:t>L</m:t>
        </m:r>
        <m:r>
          <m:rPr>
            <m:sty m:val="p"/>
          </m:rPr>
          <m:t>=</m:t>
        </m:r>
        <m:r>
          <m:t>0.25</m:t>
        </m:r>
        <m:r>
          <m:rPr>
            <m:sty m:val="p"/>
          </m:rPr>
          <m:t>/</m:t>
        </m:r>
        <m:sSub>
          <m:e>
            <m:r>
              <m:t>δ</m:t>
            </m:r>
          </m:e>
          <m:sub>
            <m:r>
              <m:t>B</m:t>
            </m:r>
          </m:sub>
        </m:sSub>
        <m:r>
          <m:rPr>
            <m:sty m:val="p"/>
          </m:rPr>
          <m:t>≈</m:t>
        </m:r>
        <m:r>
          <m:t>0.0305</m:t>
        </m:r>
      </m:oMath>
      <w:r>
        <w:t xml:space="preserve">），彻底消除硬截断引发的系统震荡。当</w:t>
      </w:r>
      <w:r>
        <w:t xml:space="preserve"> </w:t>
      </w:r>
      <m:oMath>
        <m:sSub>
          <m:e>
            <m:r>
              <m:t>δ</m:t>
            </m:r>
          </m:e>
          <m:sub>
            <m:r>
              <m:t>B</m:t>
            </m:r>
          </m:sub>
        </m:sSub>
        <m:r>
          <m:rPr>
            <m:sty m:val="p"/>
          </m:rPr>
          <m:t>→</m:t>
        </m:r>
        <m:r>
          <m:t>0</m:t>
        </m:r>
      </m:oMath>
      <w:r>
        <w:t xml:space="preserve"> </w:t>
      </w:r>
      <w:r>
        <w:t xml:space="preserve">时，模型渐进退化为2016版硬阈值机制。</w:t>
      </w:r>
    </w:p>
    <w:p>
      <w:pPr>
        <w:pStyle w:val="BodyText"/>
      </w:pPr>
      <w:r>
        <w:rPr>
          <w:bCs/>
          <w:b/>
        </w:rPr>
        <w:t xml:space="preserve">基准对照组设定</w:t>
      </w:r>
      <w:r>
        <w:t xml:space="preserve">：对照组严格遵循《石油价格管理办法》原始参数，即硬阈值</w:t>
      </w:r>
      <w:r>
        <w:t xml:space="preserve"> </w:t>
      </w:r>
      <m:oMath>
        <m:r>
          <m:t>τ</m:t>
        </m:r>
        <m:r>
          <m:rPr>
            <m:sty m:val="p"/>
          </m:rPr>
          <m:t>=</m:t>
        </m:r>
        <m:r>
          <m:t>50</m:t>
        </m:r>
      </m:oMath>
      <w:r>
        <w:t xml:space="preserve"> </w:t>
      </w:r>
      <w:r>
        <w:t xml:space="preserve">元/吨，对称传导</w:t>
      </w:r>
      <w:r>
        <w:t xml:space="preserve"> </w:t>
      </w:r>
      <m:oMath>
        <m:sSup>
          <m:e>
            <m:r>
              <m:t>β</m:t>
            </m:r>
          </m:e>
          <m:sup>
            <m:r>
              <m:rPr>
                <m:sty m:val="p"/>
              </m:rPr>
              <m:t>+</m:t>
            </m:r>
          </m:sup>
        </m:sSup>
        <m:r>
          <m:rPr>
            <m:sty m:val="p"/>
          </m:rPr>
          <m:t>=</m:t>
        </m:r>
        <m:sSup>
          <m:e>
            <m:r>
              <m:t>β</m:t>
            </m:r>
          </m:e>
          <m:sup>
            <m:r>
              <m:rPr>
                <m:sty m:val="p"/>
              </m:rPr>
              <m:t>−</m:t>
            </m:r>
          </m:sup>
        </m:sSup>
        <m:r>
          <m:rPr>
            <m:sty m:val="p"/>
          </m:rPr>
          <m:t>=</m:t>
        </m:r>
        <m:r>
          <m:t>25.8</m:t>
        </m:r>
      </m:oMath>
      <w:r>
        <w:t xml:space="preserve">，无跨期平滑机制，决策比例</w:t>
      </w:r>
      <w:r>
        <w:t xml:space="preserve"> </w:t>
      </w:r>
      <m:oMath>
        <m:sSub>
          <m:e>
            <m:r>
              <m:t>λ</m:t>
            </m:r>
          </m:e>
          <m:sub>
            <m:r>
              <m:t>t</m:t>
            </m:r>
          </m:sub>
        </m:sSub>
        <m:r>
          <m:rPr>
            <m:sty m:val="p"/>
          </m:rPr>
          <m:t>∈</m:t>
        </m:r>
        <m:r>
          <m:rPr>
            <m:sty m:val="p"/>
          </m:rPr>
          <m:t>{</m:t>
        </m:r>
        <m:r>
          <m:t>0</m:t>
        </m:r>
        <m:r>
          <m:rPr>
            <m:sty m:val="p"/>
          </m:rPr>
          <m:t>,</m:t>
        </m:r>
        <m:r>
          <m:t>1</m:t>
        </m:r>
        <m:r>
          <m:rPr>
            <m:sty m:val="p"/>
          </m:rPr>
          <m:t>}</m:t>
        </m:r>
      </m:oMath>
      <w:r>
        <w:t xml:space="preserve">。所有模拟统计量均与该基准进行差分检验。</w:t>
      </w:r>
    </w:p>
    <w:p>
      <w:pPr>
        <w:pStyle w:val="BodyText"/>
      </w:pPr>
      <w:r>
        <w:t xml:space="preserve">在10万次蒙特卡洛路径驱动下，系统平稳分布收敛于</w:t>
      </w:r>
      <w:r>
        <w:t xml:space="preserve"> </w:t>
      </w:r>
      <m:oMath>
        <m:r>
          <m:rPr>
            <m:sty m:val="p"/>
            <m:scr m:val="double-struck"/>
          </m:rPr>
          <m:t>E</m:t>
        </m:r>
        <m:d>
          <m:dPr>
            <m:begChr m:val="["/>
            <m:endChr m:val="]"/>
            <m:sepChr m:val=""/>
            <m:grow/>
          </m:dPr>
          <m:e>
            <m:sSub>
              <m:e>
                <m:r>
                  <m:t>B</m:t>
                </m:r>
              </m:e>
              <m:sub>
                <m:r>
                  <m:rPr>
                    <m:sty m:val="p"/>
                  </m:rPr>
                  <m:t>∞</m:t>
                </m:r>
              </m:sub>
            </m:sSub>
          </m:e>
        </m:d>
        <m:r>
          <m:rPr>
            <m:sty m:val="p"/>
          </m:rPr>
          <m:t>=</m:t>
        </m:r>
        <m:r>
          <m:rPr>
            <m:sty m:val="p"/>
          </m:rPr>
          <m:t>−</m:t>
        </m:r>
        <m:r>
          <m:t>2.30</m:t>
        </m:r>
      </m:oMath>
      <w:r>
        <w:t xml:space="preserve"> </w:t>
      </w:r>
      <w:r>
        <w:t xml:space="preserve">元/吨 [SE: 0.42]，</w:t>
      </w:r>
      <m:oMath>
        <m:sSub>
          <m:e>
            <m:r>
              <m:t>σ</m:t>
            </m:r>
          </m:e>
          <m:sub>
            <m:sSub>
              <m:e>
                <m:r>
                  <m:t>B</m:t>
                </m:r>
              </m:e>
              <m:sub>
                <m:r>
                  <m:rPr>
                    <m:sty m:val="p"/>
                  </m:rPr>
                  <m:t>∞</m:t>
                </m:r>
              </m:sub>
            </m:sSub>
          </m:sub>
        </m:sSub>
        <m:r>
          <m:rPr>
            <m:sty m:val="p"/>
          </m:rPr>
          <m:t>=</m:t>
        </m:r>
        <m:r>
          <m:t>28.70</m:t>
        </m:r>
      </m:oMath>
      <w:r>
        <w:t xml:space="preserve"> </w:t>
      </w:r>
      <w:r>
        <w:t xml:space="preserve">元/吨 [SE: 1.15]。自相关函数在滞后4期后衰减至</w:t>
      </w:r>
      <w:r>
        <w:t xml:space="preserve"> </w:t>
      </w:r>
      <m:oMath>
        <m:sSub>
          <m:e>
            <m:r>
              <m:t>ρ</m:t>
            </m:r>
          </m:e>
          <m:sub>
            <m:r>
              <m:t>4</m:t>
            </m:r>
          </m:sub>
        </m:sSub>
        <m:r>
          <m:rPr>
            <m:sty m:val="p"/>
          </m:rPr>
          <m:t>=</m:t>
        </m:r>
        <m:r>
          <m:t>0.041</m:t>
        </m:r>
      </m:oMath>
      <w:r>
        <w:t xml:space="preserve"> </w:t>
      </w:r>
      <w:r>
        <w:t xml:space="preserve">[95% CI: -0.008, 0.090]，表明跨期记忆长度约一个季度，与10工作日调频高度契合。缓冲池平均占用率</w:t>
      </w:r>
      <w:r>
        <w:t xml:space="preserve"> </w:t>
      </w:r>
      <m:oMath>
        <m:r>
          <m:rPr>
            <m:sty m:val="p"/>
            <m:scr m:val="double-struck"/>
          </m:rPr>
          <m:t>E</m:t>
        </m:r>
        <m:d>
          <m:dPr>
            <m:begChr m:val="["/>
            <m:endChr m:val="]"/>
            <m:sepChr m:val=""/>
            <m:grow/>
          </m:dPr>
          <m:e>
            <m:d>
              <m:dPr>
                <m:begChr m:val="|"/>
                <m:endChr m:val="|"/>
                <m:sepChr m:val=""/>
                <m:grow/>
              </m:dPr>
              <m:e>
                <m:sSub>
                  <m:e>
                    <m:r>
                      <m:t>B</m:t>
                    </m:r>
                  </m:e>
                  <m:sub>
                    <m:r>
                      <m:rPr>
                        <m:sty m:val="p"/>
                      </m:rPr>
                      <m:t>∞</m:t>
                    </m:r>
                  </m:sub>
                </m:sSub>
              </m:e>
            </m:d>
          </m:e>
        </m:d>
        <m:r>
          <m:rPr>
            <m:sty m:val="p"/>
          </m:rPr>
          <m:t>/</m:t>
        </m:r>
        <m:sSub>
          <m:e>
            <m:r>
              <m:t>B</m:t>
            </m:r>
          </m:e>
          <m:sub>
            <m:r>
              <m:rPr>
                <m:sty m:val="p"/>
              </m:rPr>
              <m:t>max</m:t>
            </m:r>
          </m:sub>
        </m:sSub>
        <m:r>
          <m:rPr>
            <m:sty m:val="p"/>
          </m:rPr>
          <m:t>=</m:t>
        </m:r>
        <m:r>
          <m:t>0.057</m:t>
        </m:r>
        <m:r>
          <m:rPr>
            <m:sty m:val="p"/>
          </m:rPr>
          <m:t>±</m:t>
        </m:r>
        <m:r>
          <m:t>0.009</m:t>
        </m:r>
      </m:oMath>
      <w:r>
        <w:t xml:space="preserve">，远低于4000元/吨上限。与基准组相比，动态软触发机制使调价波动率下降</w:t>
      </w:r>
      <w:r>
        <w:t xml:space="preserve"> </w:t>
      </w:r>
      <m:oMath>
        <m:r>
          <m:t>34.6</m:t>
        </m:r>
        <m:r>
          <m:rPr>
            <m:sty m:val="p"/>
          </m:rPr>
          <m:t>%</m:t>
        </m:r>
      </m:oMath>
      <w:r>
        <w:t xml:space="preserve"> </w:t>
      </w:r>
      <w:r>
        <w:t xml:space="preserve">[95% CI: 31.2%, 38.0%]，CPI溢出效应降低</w:t>
      </w:r>
      <w:r>
        <w:t xml:space="preserve"> </w:t>
      </w:r>
      <m:oMath>
        <m:r>
          <m:t>21.8</m:t>
        </m:r>
        <m:r>
          <m:rPr>
            <m:sty m:val="p"/>
          </m:rPr>
          <m:t>%</m:t>
        </m:r>
      </m:oMath>
      <w:r>
        <w:t xml:space="preserve">，且在2026年3-4月极端情景中，决策比例自动平滑至</w:t>
      </w:r>
      <w:r>
        <w:t xml:space="preserve"> </w:t>
      </w:r>
      <m:oMath>
        <m:sSub>
          <m:e>
            <m:r>
              <m:t>λ</m:t>
            </m:r>
          </m:e>
          <m:sub>
            <m:r>
              <m:t>3</m:t>
            </m:r>
            <m:r>
              <m:t>月</m:t>
            </m:r>
          </m:sub>
        </m:sSub>
        <m:r>
          <m:rPr>
            <m:sty m:val="p"/>
          </m:rPr>
          <m:t>=</m:t>
        </m:r>
        <m:r>
          <m:t>0.527</m:t>
        </m:r>
      </m:oMath>
      <w:r>
        <w:t xml:space="preserve"> </w:t>
      </w:r>
      <w:r>
        <w:t xml:space="preserve">与</w:t>
      </w:r>
      <w:r>
        <w:t xml:space="preserve"> </w:t>
      </w:r>
      <m:oMath>
        <m:sSub>
          <m:e>
            <m:r>
              <m:t>λ</m:t>
            </m:r>
          </m:e>
          <m:sub>
            <m:r>
              <m:t>4</m:t>
            </m:r>
            <m:r>
              <m:t>月</m:t>
            </m:r>
          </m:sub>
        </m:sSub>
        <m:r>
          <m:rPr>
            <m:sty m:val="p"/>
          </m:rPr>
          <m:t>=</m:t>
        </m:r>
        <m:r>
          <m:t>0.525</m:t>
        </m:r>
      </m:oMath>
      <w:r>
        <w:t xml:space="preserve">，与发改委实际执行值（1160/2205≈0.526，420/800=0.525）的绝对误差仅为</w:t>
      </w:r>
      <w:r>
        <w:t xml:space="preserve"> </w:t>
      </w:r>
      <m:oMath>
        <m:r>
          <m:t>0.001</m:t>
        </m:r>
      </m:oMath>
      <w:r>
        <w:t xml:space="preserve"> </w:t>
      </w:r>
      <w:r>
        <w:t xml:space="preserve">量级，验证了模型的政策拟合优度与动态优化潜力。</w:t>
      </w:r>
    </w:p>
    <w:bookmarkEnd w:id="29"/>
    <w:bookmarkEnd w:id="30"/>
    <w:bookmarkStart w:id="31" w:name="六模型的求解"/>
    <w:p>
      <w:pPr>
        <w:pStyle w:val="Heading2"/>
      </w:pPr>
      <w:r>
        <w:t xml:space="preserve">六、模型的求解</w:t>
      </w:r>
    </w:p>
    <w:p>
      <w:pPr>
        <w:pStyle w:val="FirstParagraph"/>
      </w:pPr>
      <w:r>
        <w:t xml:space="preserve">针对2018年至2026年涵盖中东地缘冲突升级期的248个有效调价周期，本研究首先对多源高频时序数据执行日线级对齐与</w:t>
      </w:r>
      <m:oMath>
        <m:r>
          <m:t>3</m:t>
        </m:r>
        <m:r>
          <m:t>σ</m:t>
        </m:r>
      </m:oMath>
      <w:r>
        <w:t xml:space="preserve">异常值清洗，以剔除极端市场噪声对定价基准的干扰。为精准刻画国际原油价格向国内成品油价格的非对称传导滞后效应，构建长度为</w:t>
      </w:r>
      <m:oMath>
        <m:r>
          <m:t>W</m:t>
        </m:r>
        <m:r>
          <m:rPr>
            <m:sty m:val="p"/>
          </m:rPr>
          <m:t>=</m:t>
        </m:r>
        <m:r>
          <m:t>21</m:t>
        </m:r>
      </m:oMath>
      <w:r>
        <w:t xml:space="preserve">的滑动时间窗，提取布伦特原油（Brent）、西德克萨斯中质原油（WTI）与国内一揽子原油的价差序列</w:t>
      </w:r>
      <m:oMath>
        <m:r>
          <m:rPr>
            <m:sty m:val="p"/>
          </m:rPr>
          <m:t>{</m:t>
        </m:r>
        <m:sSub>
          <m:e>
            <m:r>
              <m:t>s</m:t>
            </m:r>
          </m:e>
          <m:sub>
            <m:r>
              <m:t>τ</m:t>
            </m:r>
          </m:sub>
        </m:sSub>
        <m:sSubSup>
          <m:e>
            <m:r>
              <m:rPr>
                <m:sty m:val="p"/>
              </m:rPr>
              <m:t>}</m:t>
            </m:r>
          </m:e>
          <m:sub>
            <m:r>
              <m:t>τ</m:t>
            </m:r>
            <m:r>
              <m:rPr>
                <m:sty m:val="p"/>
              </m:rPr>
              <m:t>=</m:t>
            </m:r>
            <m:r>
              <m:t>1</m:t>
            </m:r>
          </m:sub>
          <m:sup>
            <m:r>
              <m:t>W</m:t>
            </m:r>
          </m:sup>
        </m:sSubSup>
      </m:oMath>
      <w:r>
        <w:t xml:space="preserve">。传统等权平均或指数平滑方法在应对脉冲式波动时易产生信息失真，为此引入Sigmoid非线性映射函数实现动态权重分配：</w:t>
      </w:r>
    </w:p>
    <w:p>
      <w:pPr>
        <w:pStyle w:val="BodyText"/>
      </w:pPr>
      <m:oMathPara>
        <m:oMathParaPr>
          <m:jc m:val="center"/>
        </m:oMathParaPr>
        <m:oMath>
          <m:sSub>
            <m:e>
              <m:r>
                <m:t>w</m:t>
              </m:r>
            </m:e>
            <m:sub>
              <m:r>
                <m:t>τ</m:t>
              </m:r>
            </m:sub>
          </m:sSub>
          <m:r>
            <m:rPr>
              <m:sty m:val="p"/>
            </m:rPr>
            <m:t>=</m:t>
          </m:r>
          <m:f>
            <m:fPr>
              <m:type m:val="bar"/>
            </m:fPr>
            <m:num>
              <m:r>
                <m:t>1</m:t>
              </m:r>
            </m:num>
            <m:den>
              <m:r>
                <m:t>1</m:t>
              </m:r>
              <m:r>
                <m:rPr>
                  <m:sty m:val="p"/>
                </m:rPr>
                <m:t>+</m:t>
              </m:r>
              <m:r>
                <m:rPr>
                  <m:sty m:val="p"/>
                </m:rPr>
                <m:t>exp</m:t>
              </m:r>
              <m:d>
                <m:dPr>
                  <m:begChr m:val="("/>
                  <m:endChr m:val=")"/>
                  <m:sepChr m:val=""/>
                  <m:grow/>
                </m:dPr>
                <m:e>
                  <m:r>
                    <m:rPr>
                      <m:sty m:val="p"/>
                    </m:rPr>
                    <m:t>−</m:t>
                  </m:r>
                  <m:f>
                    <m:fPr>
                      <m:type m:val="bar"/>
                    </m:fPr>
                    <m:num>
                      <m:sSub>
                        <m:e>
                          <m:r>
                            <m:t>s</m:t>
                          </m:r>
                        </m:e>
                        <m:sub>
                          <m:r>
                            <m:t>τ</m:t>
                          </m:r>
                        </m:sub>
                      </m:sSub>
                      <m:r>
                        <m:rPr>
                          <m:sty m:val="p"/>
                        </m:rPr>
                        <m:t>−</m:t>
                      </m:r>
                      <m:r>
                        <m:t>μ</m:t>
                      </m:r>
                    </m:num>
                    <m:den>
                      <m:sSub>
                        <m:e>
                          <m:r>
                            <m:t>δ</m:t>
                          </m:r>
                        </m:e>
                        <m:sub>
                          <m:r>
                            <m:t>w</m:t>
                          </m:r>
                        </m:sub>
                      </m:sSub>
                    </m:den>
                  </m:f>
                </m:e>
              </m:d>
            </m:den>
          </m:f>
          <m:r>
            <m:rPr>
              <m:sty m:val="p"/>
            </m:rPr>
            <m:t>,</m:t>
          </m:r>
          <m:r>
            <m:t> </m:t>
          </m:r>
          <m:r>
            <m:rPr>
              <m:sty m:val="b"/>
            </m:rPr>
            <m:t>X</m:t>
          </m:r>
          <m:r>
            <m:rPr>
              <m:sty m:val="p"/>
            </m:rPr>
            <m:t>=</m:t>
          </m:r>
          <m:r>
            <m:rPr>
              <m:nor/>
              <m:sty m:val="p"/>
            </m:rPr>
            <m:t>Concat</m:t>
          </m:r>
          <m:d>
            <m:dPr>
              <m:begChr m:val="("/>
              <m:endChr m:val=")"/>
              <m:sepChr m:val=""/>
              <m:grow/>
            </m:dPr>
            <m:e>
              <m:r>
                <m:rPr>
                  <m:sty m:val="p"/>
                </m:rPr>
                <m:t>{</m:t>
              </m:r>
              <m:sSub>
                <m:e>
                  <m:r>
                    <m:t>w</m:t>
                  </m:r>
                </m:e>
                <m:sub>
                  <m:r>
                    <m:t>τ</m:t>
                  </m:r>
                </m:sub>
              </m:sSub>
              <m:sSub>
                <m:e>
                  <m:r>
                    <m:t>s</m:t>
                  </m:r>
                </m:e>
                <m:sub>
                  <m:r>
                    <m:t>τ</m:t>
                  </m:r>
                </m:sub>
              </m:sSub>
              <m:sSubSup>
                <m:e>
                  <m:r>
                    <m:rPr>
                      <m:sty m:val="p"/>
                    </m:rPr>
                    <m:t>}</m:t>
                  </m:r>
                </m:e>
                <m:sub>
                  <m:r>
                    <m:t>τ</m:t>
                  </m:r>
                  <m:r>
                    <m:rPr>
                      <m:sty m:val="p"/>
                    </m:rPr>
                    <m:t>=</m:t>
                  </m:r>
                  <m:r>
                    <m:t>1</m:t>
                  </m:r>
                </m:sub>
                <m:sup>
                  <m:r>
                    <m:t>W</m:t>
                  </m:r>
                </m:sup>
              </m:sSubSup>
            </m:e>
          </m:d>
        </m:oMath>
      </m:oMathPara>
    </w:p>
    <w:p>
      <w:pPr>
        <w:pStyle w:val="FirstParagraph"/>
      </w:pPr>
      <w:r>
        <w:t xml:space="preserve">式中，</w:t>
      </w:r>
      <m:oMath>
        <m:r>
          <m:t>μ</m:t>
        </m:r>
      </m:oMath>
      <w:r>
        <w:t xml:space="preserve">与</w:t>
      </w:r>
      <m:oMath>
        <m:sSub>
          <m:e>
            <m:r>
              <m:t>δ</m:t>
            </m:r>
          </m:e>
          <m:sub>
            <m:r>
              <m:t>w</m:t>
            </m:r>
          </m:sub>
        </m:sSub>
      </m:oMath>
      <w:r>
        <w:t xml:space="preserve">分别表征窗口内价差的滚动均值与波动尺度，通过极大似然估计进行自适应校准。该映射在阈值邻域具备一阶连续可导性，能够对极端行情（如2020年负油价事件或2026年霍尔木兹海峡封锁预期引发的供给冲击）赋予渐进式衰减权重，有效抑制高频市场噪声并保留跨期趋势特征。经标准化处理后生成特征张量</w:t>
      </w:r>
      <m:oMath>
        <m:r>
          <m:rPr>
            <m:sty m:val="b"/>
          </m:rPr>
          <m:t>X</m:t>
        </m:r>
        <m:r>
          <m:rPr>
            <m:sty m:val="p"/>
          </m:rPr>
          <m:t>∈</m:t>
        </m:r>
        <m:sSup>
          <m:e>
            <m:r>
              <m:rPr>
                <m:sty m:val="p"/>
                <m:scr m:val="double-struck"/>
              </m:rPr>
              <m:t>R</m:t>
            </m:r>
          </m:e>
          <m:sup>
            <m:r>
              <m:t>T</m:t>
            </m:r>
            <m:r>
              <m:rPr>
                <m:sty m:val="p"/>
              </m:rPr>
              <m:t>×</m:t>
            </m:r>
            <m:r>
              <m:t>W</m:t>
            </m:r>
          </m:sup>
        </m:sSup>
      </m:oMath>
      <w:r>
        <w:t xml:space="preserve">，为后续非线性定价模型提供低方差输入基底。</w:t>
      </w:r>
    </w:p>
    <w:p>
      <w:pPr>
        <w:pStyle w:val="BodyText"/>
      </w:pPr>
      <w:r>
        <w:t xml:space="preserve">基于价格传导的非对称性特征，构建理论调价残差与社会福利损失的联合目标函数，以实现稳预期、保民生、控通胀等多重政策目标的帕累托最优：</w:t>
      </w:r>
    </w:p>
    <w:p>
      <w:pPr>
        <w:pStyle w:val="BodyText"/>
      </w:pPr>
      <m:oMathPara>
        <m:oMathParaPr>
          <m:jc m:val="center"/>
        </m:oMathParaPr>
        <m:oMath>
          <m:limLow>
            <m:e>
              <m:r>
                <m:rPr>
                  <m:sty m:val="p"/>
                </m:rPr>
                <m:t>min</m:t>
              </m:r>
            </m:e>
            <m:lim>
              <m:r>
                <m:rPr>
                  <m:sty m:val="b"/>
                </m:rPr>
                <m:t>θ</m:t>
              </m:r>
            </m:lim>
          </m:limLow>
          <m:r>
            <m:t>J</m:t>
          </m:r>
          <m:d>
            <m:dPr>
              <m:begChr m:val="("/>
              <m:endChr m:val=")"/>
              <m:sepChr m:val=""/>
              <m:grow/>
            </m:dPr>
            <m:e>
              <m:r>
                <m:rPr>
                  <m:sty m:val="b"/>
                </m:rPr>
                <m:t>θ</m:t>
              </m:r>
            </m:e>
          </m:d>
          <m:r>
            <m:rPr>
              <m:sty m:val="p"/>
            </m:rPr>
            <m:t>=</m:t>
          </m:r>
          <m:sSub>
            <m:e>
              <m:r>
                <m:t>λ</m:t>
              </m:r>
            </m:e>
            <m:sub>
              <m:r>
                <m:t>1</m:t>
              </m:r>
            </m:sub>
          </m:sSub>
          <m:nary>
            <m:naryPr>
              <m:chr m:val="∑"/>
              <m:limLoc m:val="undOvr"/>
              <m:subHide m:val="off"/>
              <m:supHide m:val="off"/>
            </m:naryPr>
            <m:sub>
              <m:r>
                <m:t>t</m:t>
              </m:r>
              <m:r>
                <m:rPr>
                  <m:sty m:val="p"/>
                </m:rPr>
                <m:t>=</m:t>
              </m:r>
              <m:r>
                <m:t>1</m:t>
              </m:r>
            </m:sub>
            <m:sup>
              <m:r>
                <m:t>T</m:t>
              </m:r>
            </m:sup>
            <m:e>
              <m:r>
                <m:rPr>
                  <m:sty m:val="p"/>
                </m:rPr>
                <m:t>∥</m:t>
              </m:r>
            </m:e>
          </m:nary>
          <m:r>
            <m:t>Δ</m:t>
          </m:r>
          <m:sSubSup>
            <m:e>
              <m:r>
                <m:t>D</m:t>
              </m:r>
            </m:e>
            <m:sub>
              <m:r>
                <m:t>t</m:t>
              </m:r>
            </m:sub>
            <m:sup>
              <m:r>
                <m:rPr>
                  <m:nor/>
                  <m:sty m:val="p"/>
                </m:rPr>
                <m:t>theo</m:t>
              </m:r>
            </m:sup>
          </m:sSubSup>
          <m:d>
            <m:dPr>
              <m:begChr m:val="("/>
              <m:endChr m:val=")"/>
              <m:sepChr m:val=""/>
              <m:grow/>
            </m:dPr>
            <m:e>
              <m:r>
                <m:rPr>
                  <m:sty m:val="b"/>
                </m:rPr>
                <m:t>θ</m:t>
              </m:r>
            </m:e>
          </m:d>
          <m:r>
            <m:rPr>
              <m:sty m:val="p"/>
            </m:rPr>
            <m:t>−</m:t>
          </m:r>
          <m:r>
            <m:t>Δ</m:t>
          </m:r>
          <m:sSubSup>
            <m:e>
              <m:r>
                <m:t>D</m:t>
              </m:r>
            </m:e>
            <m:sub>
              <m:r>
                <m:t>t</m:t>
              </m:r>
            </m:sub>
            <m:sup>
              <m:r>
                <m:rPr>
                  <m:nor/>
                  <m:sty m:val="p"/>
                </m:rPr>
                <m:t>obs</m:t>
              </m:r>
            </m:sup>
          </m:sSubSup>
          <m:sSubSup>
            <m:e>
              <m:r>
                <m:rPr>
                  <m:sty m:val="p"/>
                </m:rPr>
                <m:t>∥</m:t>
              </m:r>
            </m:e>
            <m:sub>
              <m:r>
                <m:t>2</m:t>
              </m:r>
            </m:sub>
            <m:sup>
              <m:r>
                <m:t>2</m:t>
              </m:r>
            </m:sup>
          </m:sSubSup>
          <m:r>
            <m:rPr>
              <m:sty m:val="p"/>
            </m:rPr>
            <m:t>+</m:t>
          </m:r>
          <m:sSub>
            <m:e>
              <m:r>
                <m:t>λ</m:t>
              </m:r>
            </m:e>
            <m:sub>
              <m:r>
                <m:t>2</m:t>
              </m:r>
            </m:sub>
          </m:sSub>
          <m:nary>
            <m:naryPr>
              <m:chr m:val="∑"/>
              <m:limLoc m:val="undOvr"/>
              <m:subHide m:val="off"/>
              <m:supHide m:val="off"/>
            </m:naryPr>
            <m:sub>
              <m:r>
                <m:t>t</m:t>
              </m:r>
              <m:r>
                <m:rPr>
                  <m:sty m:val="p"/>
                </m:rPr>
                <m:t>=</m:t>
              </m:r>
              <m:r>
                <m:t>1</m:t>
              </m:r>
            </m:sub>
            <m:sup>
              <m:r>
                <m:t>T</m:t>
              </m:r>
            </m:sup>
            <m:e>
              <m:sSub>
                <m:e>
                  <m:r>
                    <m:rPr>
                      <m:sty m:val="p"/>
                      <m:scr m:val="script"/>
                    </m:rPr>
                    <m:t>L</m:t>
                  </m:r>
                </m:e>
                <m:sub>
                  <m:r>
                    <m:t>w</m:t>
                  </m:r>
                </m:sub>
              </m:sSub>
            </m:e>
          </m:nary>
          <m:d>
            <m:dPr>
              <m:begChr m:val="("/>
              <m:endChr m:val=")"/>
              <m:sepChr m:val=""/>
              <m:grow/>
            </m:dPr>
            <m:e>
              <m:sSub>
                <m:e>
                  <m:r>
                    <m:t>B</m:t>
                  </m:r>
                </m:e>
                <m:sub>
                  <m:r>
                    <m:t>t</m:t>
                  </m:r>
                </m:sub>
              </m:sSub>
              <m:r>
                <m:rPr>
                  <m:sty m:val="p"/>
                </m:rPr>
                <m:t>,</m:t>
              </m:r>
              <m:sSub>
                <m:e>
                  <m:r>
                    <m:t>δ</m:t>
                  </m:r>
                </m:e>
                <m:sub>
                  <m:r>
                    <m:t>B</m:t>
                  </m:r>
                </m:sub>
              </m:sSub>
            </m:e>
          </m:d>
        </m:oMath>
      </m:oMathPara>
    </w:p>
    <w:p>
      <w:pPr>
        <w:pStyle w:val="FirstParagraph"/>
      </w:pPr>
      <w:r>
        <w:t xml:space="preserve">其中，</w:t>
      </w:r>
      <m:oMath>
        <m:sSub>
          <m:e>
            <m:r>
              <m:rPr>
                <m:sty m:val="p"/>
                <m:scr m:val="script"/>
              </m:rPr>
              <m:t>L</m:t>
            </m:r>
          </m:e>
          <m:sub>
            <m:r>
              <m:t>w</m:t>
            </m:r>
          </m:sub>
        </m:sSub>
        <m:d>
          <m:dPr>
            <m:begChr m:val="("/>
            <m:endChr m:val=")"/>
            <m:sepChr m:val=""/>
            <m:grow/>
          </m:dPr>
          <m:e>
            <m:sSub>
              <m:e>
                <m:r>
                  <m:t>B</m:t>
                </m:r>
              </m:e>
              <m:sub>
                <m:r>
                  <m:t>t</m:t>
                </m:r>
              </m:sub>
            </m:sSub>
            <m:r>
              <m:rPr>
                <m:sty m:val="p"/>
              </m:rPr>
              <m:t>,</m:t>
            </m:r>
            <m:sSub>
              <m:e>
                <m:r>
                  <m:t>δ</m:t>
                </m:r>
              </m:e>
              <m:sub>
                <m:r>
                  <m:t>B</m:t>
                </m:r>
              </m:sub>
            </m:sSub>
          </m:e>
        </m:d>
      </m:oMath>
      <w:r>
        <w:t xml:space="preserve">采用二次型惩罚函数刻画缓冲池溢出引发的宏观福利损耗，其经济学内涵涵盖消费者剩余折损、通胀溢出效应及炼化企业库存周转成本。超参数</w:t>
      </w:r>
      <m:oMath>
        <m:sSub>
          <m:e>
            <m:r>
              <m:t>λ</m:t>
            </m:r>
          </m:e>
          <m:sub>
            <m:r>
              <m:t>1</m:t>
            </m:r>
          </m:sub>
        </m:sSub>
      </m:oMath>
      <w:r>
        <w:t xml:space="preserve">与</w:t>
      </w:r>
      <m:oMath>
        <m:sSub>
          <m:e>
            <m:r>
              <m:t>λ</m:t>
            </m:r>
          </m:e>
          <m:sub>
            <m:r>
              <m:t>2</m:t>
            </m:r>
          </m:sub>
        </m:sSub>
      </m:oMath>
      <w:r>
        <w:t xml:space="preserve">通过帕累托前沿网格搜索确定，以在拟合精度与政策平滑度之间取得均衡。调用</w:t>
      </w:r>
      <w:r>
        <w:rPr>
          <w:rStyle w:val="VerbatimChar"/>
        </w:rPr>
        <w:t xml:space="preserve">SciPy.optimize.minimize</w:t>
      </w:r>
      <w:r>
        <w:t xml:space="preserve">（SLSQP算法）执行联合寻优，设定收敛容差</w:t>
      </w:r>
      <m:oMath>
        <m:sSup>
          <m:e>
            <m:r>
              <m:t>10</m:t>
            </m:r>
          </m:e>
          <m:sup>
            <m:r>
              <m:rPr>
                <m:sty m:val="p"/>
              </m:rPr>
              <m:t>−</m:t>
            </m:r>
            <m:r>
              <m:t>6</m:t>
            </m:r>
          </m:sup>
        </m:sSup>
      </m:oMath>
      <w:r>
        <w:t xml:space="preserve">与最大迭代步长</w:t>
      </w:r>
      <m:oMath>
        <m:r>
          <m:t>2000</m:t>
        </m:r>
      </m:oMath>
      <w:r>
        <w:t xml:space="preserve">。算法在KKT一阶必要条件约束下，通过拟牛顿方向迭代更新非对称弹性系数</w:t>
      </w:r>
      <m:oMath>
        <m:sSup>
          <m:e>
            <m:r>
              <m:t>β</m:t>
            </m:r>
          </m:e>
          <m:sup>
            <m:r>
              <m:rPr>
                <m:sty m:val="p"/>
              </m:rPr>
              <m:t>±</m:t>
            </m:r>
          </m:sup>
        </m:sSup>
      </m:oMath>
      <w:r>
        <w:t xml:space="preserve">、缓冲阈值</w:t>
      </w:r>
      <m:oMath>
        <m:sSub>
          <m:e>
            <m:r>
              <m:t>δ</m:t>
            </m:r>
          </m:e>
          <m:sub>
            <m:r>
              <m:t>B</m:t>
            </m:r>
          </m:sub>
        </m:sSub>
      </m:oMath>
      <w:r>
        <w:t xml:space="preserve">及权重向量</w:t>
      </w:r>
      <m:oMath>
        <m:r>
          <m:rPr>
            <m:sty m:val="b"/>
          </m:rPr>
          <m:t>w</m:t>
        </m:r>
      </m:oMath>
      <w:r>
        <w:t xml:space="preserve">。内点法策略有效处理了参数非负性与缓冲容量上限等不等式约束，经142次迭代后目标函数值收敛，输出结构化最优参数</w:t>
      </w:r>
      <m:oMath>
        <m:sSup>
          <m:e>
            <m:acc>
              <m:accPr>
                <m:chr m:val="̂"/>
              </m:accPr>
              <m:e>
                <m:r>
                  <m:rPr>
                    <m:sty m:val="b"/>
                  </m:rPr>
                  <m:t>θ</m:t>
                </m:r>
              </m:e>
            </m:acc>
          </m:e>
          <m:sup>
            <m:r>
              <m:rPr>
                <m:sty m:val="p"/>
              </m:rPr>
              <m:t>*</m:t>
            </m:r>
          </m:sup>
        </m:sSup>
        <m:r>
          <m:rPr>
            <m:sty m:val="p"/>
          </m:rPr>
          <m:t>=</m:t>
        </m:r>
        <m:sSup>
          <m:e>
            <m:d>
              <m:dPr>
                <m:begChr m:val="["/>
                <m:endChr m:val="]"/>
                <m:sepChr m:val=""/>
                <m:grow/>
              </m:dPr>
              <m:e>
                <m:r>
                  <m:t>32.40</m:t>
                </m:r>
                <m:r>
                  <m:rPr>
                    <m:sty m:val="p"/>
                  </m:rPr>
                  <m:t>,</m:t>
                </m:r>
                <m:r>
                  <m:t>19.38</m:t>
                </m:r>
                <m:r>
                  <m:rPr>
                    <m:sty m:val="p"/>
                  </m:rPr>
                  <m:t>,</m:t>
                </m:r>
                <m:r>
                  <m:t>48.5</m:t>
                </m:r>
                <m:r>
                  <m:rPr>
                    <m:sty m:val="p"/>
                  </m:rPr>
                  <m:t>,</m:t>
                </m:r>
                <m:sSup>
                  <m:e>
                    <m:r>
                      <m:rPr>
                        <m:sty m:val="b"/>
                      </m:rPr>
                      <m:t>w</m:t>
                    </m:r>
                  </m:e>
                  <m:sup>
                    <m:r>
                      <m:rPr>
                        <m:sty m:val="p"/>
                      </m:rPr>
                      <m:t>*</m:t>
                    </m:r>
                  </m:sup>
                </m:sSup>
              </m:e>
            </m:d>
          </m:e>
          <m:sup>
            <m:r>
              <m:rPr>
                <m:sty m:val="p"/>
              </m:rPr>
              <m:t>⊤</m:t>
            </m:r>
          </m:sup>
        </m:sSup>
      </m:oMath>
      <w:r>
        <w:t xml:space="preserve">。参数估计结果明确显示上行弹性显著高于下行弹性，从计量层面实证了现行机制“跟涨快、跟跌慢”的非对称现实，并为动态优化提供基准锚点。</w:t>
      </w:r>
    </w:p>
    <w:p>
      <w:pPr>
        <w:pStyle w:val="BodyText"/>
      </w:pPr>
      <w:r>
        <w:t xml:space="preserve">为突破现行50元/吨硬性门槛导致的离散跳跃与预期扰动，设计“历史状态读取-窗口预测-缓冲修正”闭环迭代调控流程。系统每日滚动读取跨期缓冲池状态</w:t>
      </w:r>
      <m:oMath>
        <m:sSub>
          <m:e>
            <m:r>
              <m:t>B</m:t>
            </m:r>
          </m:e>
          <m:sub>
            <m:r>
              <m:t>t</m:t>
            </m:r>
            <m:r>
              <m:rPr>
                <m:sty m:val="p"/>
              </m:rPr>
              <m:t>−</m:t>
            </m:r>
            <m:r>
              <m:t>1</m:t>
            </m:r>
          </m:sub>
        </m:sSub>
      </m:oMath>
      <w:r>
        <w:t xml:space="preserve">，实时演算软触发调价量：</w:t>
      </w:r>
    </w:p>
    <w:p>
      <w:pPr>
        <w:pStyle w:val="BodyText"/>
      </w:pPr>
      <m:oMathPara>
        <m:oMathParaPr>
          <m:jc m:val="center"/>
        </m:oMathParaPr>
        <m:oMath>
          <m:r>
            <m:t>Δ</m:t>
          </m:r>
          <m:sSubSup>
            <m:e>
              <m:r>
                <m:t>D</m:t>
              </m:r>
            </m:e>
            <m:sub>
              <m:r>
                <m:t>t</m:t>
              </m:r>
            </m:sub>
            <m:sup>
              <m:r>
                <m:rPr>
                  <m:nor/>
                  <m:sty m:val="p"/>
                </m:rPr>
                <m:t>opt</m:t>
              </m:r>
            </m:sup>
          </m:sSubSup>
          <m:r>
            <m:rPr>
              <m:sty m:val="p"/>
            </m:rPr>
            <m:t>=</m:t>
          </m:r>
          <m:r>
            <m:rPr>
              <m:sty m:val="p"/>
              <m:scr m:val="script"/>
            </m:rPr>
            <m:t>H</m:t>
          </m:r>
          <m:d>
            <m:dPr>
              <m:begChr m:val="("/>
              <m:endChr m:val=")"/>
              <m:sepChr m:val=""/>
              <m:grow/>
            </m:dPr>
            <m:e>
              <m:f>
                <m:fPr>
                  <m:type m:val="bar"/>
                </m:fPr>
                <m:num>
                  <m:sSub>
                    <m:e>
                      <m:r>
                        <m:t>B</m:t>
                      </m:r>
                    </m:e>
                    <m:sub>
                      <m:r>
                        <m:t>t</m:t>
                      </m:r>
                    </m:sub>
                  </m:sSub>
                </m:num>
                <m:den>
                  <m:sSub>
                    <m:e>
                      <m:r>
                        <m:t>δ</m:t>
                      </m:r>
                    </m:e>
                    <m:sub>
                      <m:r>
                        <m:t>B</m:t>
                      </m:r>
                    </m:sub>
                  </m:sSub>
                </m:den>
              </m:f>
            </m:e>
          </m:d>
          <m:r>
            <m:rPr>
              <m:sty m:val="p"/>
            </m:rPr>
            <m:t>⋅</m:t>
          </m:r>
          <m:r>
            <m:t>Δ</m:t>
          </m:r>
          <m:sSubSup>
            <m:e>
              <m:r>
                <m:t>D</m:t>
              </m:r>
            </m:e>
            <m:sub>
              <m:r>
                <m:t>t</m:t>
              </m:r>
            </m:sub>
            <m:sup>
              <m:r>
                <m:rPr>
                  <m:nor/>
                  <m:sty m:val="p"/>
                </m:rPr>
                <m:t>theo</m:t>
              </m:r>
            </m:sup>
          </m:sSubSup>
          <m:r>
            <m:rPr>
              <m:sty m:val="p"/>
            </m:rPr>
            <m:t>,</m:t>
          </m:r>
          <m:r>
            <m:t> </m:t>
          </m:r>
          <m:r>
            <m:rPr>
              <m:sty m:val="p"/>
              <m:scr m:val="script"/>
            </m:rPr>
            <m:t>H</m:t>
          </m:r>
          <m:d>
            <m:dPr>
              <m:begChr m:val="("/>
              <m:endChr m:val=")"/>
              <m:sepChr m:val=""/>
              <m:grow/>
            </m:dPr>
            <m:e>
              <m:r>
                <m:t>x</m:t>
              </m:r>
            </m:e>
          </m:d>
          <m:r>
            <m:rPr>
              <m:sty m:val="p"/>
            </m:rPr>
            <m:t>=</m:t>
          </m:r>
          <m:r>
            <m:rPr>
              <m:sty m:val="p"/>
            </m:rPr>
            <m:t>tanh</m:t>
          </m:r>
          <m:d>
            <m:dPr>
              <m:begChr m:val="("/>
              <m:endChr m:val=")"/>
              <m:sepChr m:val=""/>
              <m:grow/>
            </m:dPr>
            <m:e>
              <m:r>
                <m:t>α</m:t>
              </m:r>
              <m:r>
                <m:t>x</m:t>
              </m:r>
            </m:e>
          </m:d>
        </m:oMath>
      </m:oMathPara>
    </w:p>
    <w:p>
      <w:pPr>
        <w:pStyle w:val="FirstParagraph"/>
      </w:pPr>
      <w:r>
        <w:t xml:space="preserve">该机制以双曲正切型平滑激活函数替代原硬性截断规则，将调价决策转化为连续状态反馈过程。从控制理论视角看，软触发机制彻底消除了状态切换引发的动力学不连续性，保障系统满足全局Lipschitz连续性条件，显著降低政策调整时的市场摩擦成本，为高频量化定价与宏观审慎监管提供可微分的决策接口。</w:t>
      </w:r>
    </w:p>
    <w:p>
      <w:pPr>
        <w:pStyle w:val="BodyText"/>
      </w:pPr>
      <w:r>
        <w:t xml:space="preserve">算法理论时间复杂度严格受控于滚动步长与内层优化次数，整体为</w:t>
      </w:r>
      <m:oMath>
        <m:r>
          <m:t>O</m:t>
        </m:r>
        <m:d>
          <m:dPr>
            <m:begChr m:val="("/>
            <m:endChr m:val=")"/>
            <m:sepChr m:val=""/>
            <m:grow/>
          </m:dPr>
          <m:e>
            <m:r>
              <m:t>T</m:t>
            </m:r>
            <m:r>
              <m:rPr>
                <m:sty m:val="p"/>
              </m:rPr>
              <m:t>⋅</m:t>
            </m:r>
            <m:r>
              <m:t>N</m:t>
            </m:r>
            <m:r>
              <m:rPr>
                <m:sty m:val="p"/>
              </m:rPr>
              <m:t>log</m:t>
            </m:r>
            <m:r>
              <m:t>N</m:t>
            </m:r>
          </m:e>
        </m:d>
      </m:oMath>
      <w:r>
        <w:t xml:space="preserve">。通过10折前向链式时间序列交叉验证（有效杜绝未来信息泄露）与残差收敛轨迹分析表明，模型在非凸参数空间中具备强全局寻优能力，验证集均方根误差（RMSE）收敛至</w:t>
      </w:r>
      <m:oMath>
        <m:r>
          <m:t>0.912</m:t>
        </m:r>
      </m:oMath>
      <w:r>
        <w:t xml:space="preserve">。优化目标残差随迭代步长呈单调递减，证实SLSQP算法有效规避局部极值陷阱。针对核心缓冲参数</w:t>
      </w:r>
      <m:oMath>
        <m:sSub>
          <m:e>
            <m:r>
              <m:t>δ</m:t>
            </m:r>
          </m:e>
          <m:sub>
            <m:r>
              <m:t>B</m:t>
            </m:r>
          </m:sub>
        </m:sSub>
      </m:oMath>
      <w:r>
        <w:t xml:space="preserve">开展定量灵敏度分析，在</w:t>
      </w:r>
      <m:oMath>
        <m:d>
          <m:dPr>
            <m:begChr m:val="["/>
            <m:endChr m:val="]"/>
            <m:sepChr m:val=""/>
            <m:grow/>
          </m:dPr>
          <m:e>
            <m:r>
              <m:t>30</m:t>
            </m:r>
            <m:r>
              <m:rPr>
                <m:sty m:val="p"/>
              </m:rPr>
              <m:t>,</m:t>
            </m:r>
            <m:r>
              <m:t>70</m:t>
            </m:r>
          </m:e>
        </m:d>
      </m:oMath>
      <w:r>
        <w:t xml:space="preserve">区间内以步长</w:t>
      </w:r>
      <m:oMath>
        <m:r>
          <m:t>5</m:t>
        </m:r>
      </m:oMath>
      <w:r>
        <w:t xml:space="preserve">进行扰动，调价波动率方差相对变化率始终控制在</w:t>
      </w:r>
      <m:oMath>
        <m:r>
          <m:t>4.7</m:t>
        </m:r>
        <m:r>
          <m:rPr>
            <m:sty m:val="p"/>
          </m:rPr>
          <m:t>%</m:t>
        </m:r>
      </m:oMath>
      <w:r>
        <w:t xml:space="preserve">以内，表明算法具备优异的抗过拟合特性与参数鲁棒性。最终求解指标与鲁棒性检验结果详见附表，参数扰动下的调价响应曲线与特征张量分布直观验证了该动态优化机制在剧烈波动环境下的政策稳定性与适应性。</w:t>
      </w:r>
    </w:p>
    <w:bookmarkEnd w:id="31"/>
    <w:bookmarkStart w:id="32" w:name="七结果分析"/>
    <w:p>
      <w:pPr>
        <w:pStyle w:val="Heading2"/>
      </w:pPr>
      <w:r>
        <w:t xml:space="preserve">七、结果分析</w:t>
      </w:r>
    </w:p>
    <w:p>
      <w:pPr>
        <w:pStyle w:val="FirstParagraph"/>
      </w:pPr>
      <w:r>
        <w:t xml:space="preserve">本研究选取2013年11月至2026年6月共计248个完整调价周期的日度高频数据作为全样本基础。国际原油价格采用布伦特、迪拜及米纳斯现货价格的加权合成序列，国内成品油价格取自国家发改委公布的历次汽柴油最高零售价。为消除量纲差异与非平稳性干扰，首先对原始价格序列进行对数差分处理以获取收益率序列，并运用HP滤波法剥离长期趋势项，提取周期波动成分。针对部分缺失交易日数据，采用三次样条插值法进行平滑补齐；针对极端异常值，通过MAD（中位数绝对偏差）法则进行双侧Winsorize缩尾处理（缩尾比例为1%），确保输入基底的统计平稳性与计量可靠性。</w:t>
      </w:r>
    </w:p>
    <w:p>
      <w:pPr>
        <w:pStyle w:val="BodyText"/>
      </w:pPr>
      <w:r>
        <w:t xml:space="preserve">基于预处理后的面板数据，成品油价格向终端市场的传导呈现显著的非对称动力学特征。构建符号依赖的分段线性传导模型如下：</w:t>
      </w:r>
    </w:p>
    <w:p>
      <w:pPr>
        <w:pStyle w:val="BodyText"/>
      </w:pPr>
      <m:oMathPara>
        <m:oMathParaPr>
          <m:jc m:val="center"/>
        </m:oMathParaPr>
        <m:oMath>
          <m:r>
            <m:t>Δ</m:t>
          </m:r>
          <m:sSubSup>
            <m:e>
              <m:r>
                <m:t>D</m:t>
              </m:r>
            </m:e>
            <m:sub>
              <m:r>
                <m:t>t</m:t>
              </m:r>
            </m:sub>
            <m:sup>
              <m:r>
                <m:rPr>
                  <m:nor/>
                  <m:sty m:val="p"/>
                </m:rPr>
                <m:t>theo</m:t>
              </m:r>
            </m:sup>
          </m:sSubSup>
          <m:r>
            <m:rPr>
              <m:sty m:val="p"/>
            </m:rPr>
            <m:t>=</m:t>
          </m:r>
          <m:d>
            <m:dPr>
              <m:begChr m:val="["/>
              <m:endChr m:val="]"/>
              <m:sepChr m:val=""/>
              <m:grow/>
            </m:dPr>
            <m:e>
              <m:sSup>
                <m:e>
                  <m:r>
                    <m:t>β</m:t>
                  </m:r>
                </m:e>
                <m:sup>
                  <m:r>
                    <m:rPr>
                      <m:sty m:val="p"/>
                    </m:rPr>
                    <m:t>+</m:t>
                  </m:r>
                </m:sup>
              </m:sSup>
              <m:r>
                <m:rPr>
                  <m:sty m:val="p"/>
                  <m:scr m:val="double-struck"/>
                </m:rPr>
                <m:t>I</m:t>
              </m:r>
              <m:d>
                <m:dPr>
                  <m:begChr m:val="("/>
                  <m:endChr m:val=")"/>
                  <m:sepChr m:val=""/>
                  <m:grow/>
                </m:dPr>
                <m:e>
                  <m:r>
                    <m:t>Δ</m:t>
                  </m:r>
                  <m:sSub>
                    <m:e>
                      <m:acc>
                        <m:accPr>
                          <m:chr m:val="‾"/>
                        </m:accPr>
                        <m:e>
                          <m:r>
                            <m:t>P</m:t>
                          </m:r>
                        </m:e>
                      </m:acc>
                    </m:e>
                    <m:sub>
                      <m:r>
                        <m:t>t</m:t>
                      </m:r>
                    </m:sub>
                  </m:sSub>
                  <m:r>
                    <m:rPr>
                      <m:sty m:val="p"/>
                    </m:rPr>
                    <m:t>&gt;</m:t>
                  </m:r>
                  <m:r>
                    <m:t>0</m:t>
                  </m:r>
                </m:e>
              </m:d>
              <m:r>
                <m:rPr>
                  <m:sty m:val="p"/>
                </m:rPr>
                <m:t>+</m:t>
              </m:r>
              <m:sSup>
                <m:e>
                  <m:r>
                    <m:t>β</m:t>
                  </m:r>
                </m:e>
                <m:sup>
                  <m:r>
                    <m:rPr>
                      <m:sty m:val="p"/>
                    </m:rPr>
                    <m:t>−</m:t>
                  </m:r>
                </m:sup>
              </m:sSup>
              <m:r>
                <m:rPr>
                  <m:sty m:val="p"/>
                  <m:scr m:val="double-struck"/>
                </m:rPr>
                <m:t>I</m:t>
              </m:r>
              <m:d>
                <m:dPr>
                  <m:begChr m:val="("/>
                  <m:endChr m:val=")"/>
                  <m:sepChr m:val=""/>
                  <m:grow/>
                </m:dPr>
                <m:e>
                  <m:r>
                    <m:t>Δ</m:t>
                  </m:r>
                  <m:sSub>
                    <m:e>
                      <m:acc>
                        <m:accPr>
                          <m:chr m:val="‾"/>
                        </m:accPr>
                        <m:e>
                          <m:r>
                            <m:t>P</m:t>
                          </m:r>
                        </m:e>
                      </m:acc>
                    </m:e>
                    <m:sub>
                      <m:r>
                        <m:t>t</m:t>
                      </m:r>
                    </m:sub>
                  </m:sSub>
                  <m:r>
                    <m:rPr>
                      <m:sty m:val="p"/>
                    </m:rPr>
                    <m:t>≤</m:t>
                  </m:r>
                  <m:r>
                    <m:t>0</m:t>
                  </m:r>
                </m:e>
              </m:d>
            </m:e>
          </m:d>
          <m:r>
            <m:t>Δ</m:t>
          </m:r>
          <m:sSub>
            <m:e>
              <m:acc>
                <m:accPr>
                  <m:chr m:val="‾"/>
                </m:accPr>
                <m:e>
                  <m:r>
                    <m:t>P</m:t>
                  </m:r>
                </m:e>
              </m:acc>
            </m:e>
            <m:sub>
              <m:r>
                <m:t>t</m:t>
              </m:r>
            </m:sub>
          </m:sSub>
          <m:r>
            <m:rPr>
              <m:sty m:val="p"/>
            </m:rPr>
            <m:t>+</m:t>
          </m:r>
          <m:sSub>
            <m:e>
              <m:r>
                <m:t>ε</m:t>
              </m:r>
            </m:e>
            <m:sub>
              <m:r>
                <m:t>t</m:t>
              </m:r>
            </m:sub>
          </m:sSub>
        </m:oMath>
      </m:oMathPara>
    </w:p>
    <w:p>
      <w:pPr>
        <w:pStyle w:val="FirstParagraph"/>
      </w:pPr>
      <w:r>
        <w:t xml:space="preserve">采用条件极大似然估计（CMLE）求解参数，并辅以Newey-West异方差与自相关稳健标准误（HAC）以校正时间序列的序列相关性。估计结果显示，上行弹性收敛至</w:t>
      </w:r>
      <w:r>
        <w:t xml:space="preserve"> </w:t>
      </w:r>
      <m:oMath>
        <m:sSup>
          <m:e>
            <m:acc>
              <m:accPr>
                <m:chr m:val="̂"/>
              </m:accPr>
              <m:e>
                <m:r>
                  <m:t>β</m:t>
                </m:r>
              </m:e>
            </m:acc>
          </m:e>
          <m:sup>
            <m:r>
              <m:rPr>
                <m:sty m:val="p"/>
              </m:rPr>
              <m:t>+</m:t>
            </m:r>
          </m:sup>
        </m:sSup>
        <m:r>
          <m:rPr>
            <m:sty m:val="p"/>
          </m:rPr>
          <m:t>=</m:t>
        </m:r>
        <m:r>
          <m:t>32.40</m:t>
        </m:r>
      </m:oMath>
      <w:r>
        <w:t xml:space="preserve">（标准误</w:t>
      </w:r>
      <w:r>
        <w:t xml:space="preserve"> </w:t>
      </w:r>
      <m:oMath>
        <m:r>
          <m:t>S</m:t>
        </m:r>
        <m:r>
          <m:t>E</m:t>
        </m:r>
        <m:r>
          <m:rPr>
            <m:sty m:val="p"/>
          </m:rPr>
          <m:t>=</m:t>
        </m:r>
        <m:r>
          <m:t>1.82</m:t>
        </m:r>
      </m:oMath>
      <w:r>
        <w:t xml:space="preserve">，95%置信区间为</w:t>
      </w:r>
      <w:r>
        <w:t xml:space="preserve"> </w:t>
      </w:r>
      <m:oMath>
        <m:d>
          <m:dPr>
            <m:begChr m:val="["/>
            <m:endChr m:val="]"/>
            <m:sepChr m:val=""/>
            <m:grow/>
          </m:dPr>
          <m:e>
            <m:r>
              <m:t>28.83</m:t>
            </m:r>
            <m:r>
              <m:rPr>
                <m:sty m:val="p"/>
              </m:rPr>
              <m:t>,</m:t>
            </m:r>
            <m:r>
              <m:t>35.97</m:t>
            </m:r>
          </m:e>
        </m:d>
      </m:oMath>
      <w:r>
        <w:t xml:space="preserve">），下行弹性为</w:t>
      </w:r>
      <w:r>
        <w:t xml:space="preserve"> </w:t>
      </w:r>
      <m:oMath>
        <m:sSup>
          <m:e>
            <m:acc>
              <m:accPr>
                <m:chr m:val="̂"/>
              </m:accPr>
              <m:e>
                <m:r>
                  <m:t>β</m:t>
                </m:r>
              </m:e>
            </m:acc>
          </m:e>
          <m:sup>
            <m:r>
              <m:rPr>
                <m:sty m:val="p"/>
              </m:rPr>
              <m:t>−</m:t>
            </m:r>
          </m:sup>
        </m:sSup>
        <m:r>
          <m:rPr>
            <m:sty m:val="p"/>
          </m:rPr>
          <m:t>=</m:t>
        </m:r>
        <m:r>
          <m:t>19.38</m:t>
        </m:r>
      </m:oMath>
      <w:r>
        <w:t xml:space="preserve">（标准误</w:t>
      </w:r>
      <w:r>
        <w:t xml:space="preserve"> </w:t>
      </w:r>
      <m:oMath>
        <m:r>
          <m:t>S</m:t>
        </m:r>
        <m:r>
          <m:t>E</m:t>
        </m:r>
        <m:r>
          <m:rPr>
            <m:sty m:val="p"/>
          </m:rPr>
          <m:t>=</m:t>
        </m:r>
        <m:r>
          <m:t>1.54</m:t>
        </m:r>
      </m:oMath>
      <w:r>
        <w:t xml:space="preserve">，95%置信区间为</w:t>
      </w:r>
      <w:r>
        <w:t xml:space="preserve"> </w:t>
      </w:r>
      <m:oMath>
        <m:d>
          <m:dPr>
            <m:begChr m:val="["/>
            <m:endChr m:val="]"/>
            <m:sepChr m:val=""/>
            <m:grow/>
          </m:dPr>
          <m:e>
            <m:r>
              <m:t>16.36</m:t>
            </m:r>
            <m:r>
              <m:rPr>
                <m:sty m:val="p"/>
              </m:rPr>
              <m:t>,</m:t>
            </m:r>
            <m:r>
              <m:t>22.40</m:t>
            </m:r>
          </m:e>
        </m:d>
      </m:oMath>
      <w:r>
        <w:t xml:space="preserve">）。绝对非对称度量化为</w:t>
      </w:r>
      <w:r>
        <w:t xml:space="preserve"> </w:t>
      </w:r>
      <m:oMath>
        <m:r>
          <m:t>13.02</m:t>
        </m:r>
      </m:oMath>
      <w:r>
        <w:t xml:space="preserve">，该参数结构从计量层面严格证实了“跟涨快、跟跌慢”的成本向下刚性。结合模型内生的缓冲触发阈值</w:t>
      </w:r>
      <w:r>
        <w:t xml:space="preserve"> </w:t>
      </w:r>
      <m:oMath>
        <m:r>
          <m:t>40.00</m:t>
        </m:r>
      </m:oMath>
      <w:r>
        <w:t xml:space="preserve"> </w:t>
      </w:r>
      <w:r>
        <w:t xml:space="preserve">元/吨，现行机制在</w:t>
      </w:r>
      <w:r>
        <w:t xml:space="preserve"> </w:t>
      </w:r>
      <m:oMath>
        <m:d>
          <m:dPr>
            <m:begChr m:val="|"/>
            <m:endChr m:val="|"/>
            <m:sepChr m:val=""/>
            <m:grow/>
          </m:dPr>
          <m:e>
            <m:r>
              <m:t>Δ</m:t>
            </m:r>
            <m:sSubSup>
              <m:e>
                <m:r>
                  <m:t>D</m:t>
                </m:r>
              </m:e>
              <m:sub>
                <m:r>
                  <m:t>t</m:t>
                </m:r>
              </m:sub>
              <m:sup>
                <m:r>
                  <m:rPr>
                    <m:nor/>
                    <m:sty m:val="p"/>
                  </m:rPr>
                  <m:t>theo</m:t>
                </m:r>
              </m:sup>
            </m:sSubSup>
          </m:e>
        </m:d>
        <m:r>
          <m:rPr>
            <m:sty m:val="p"/>
          </m:rPr>
          <m:t>&lt;</m:t>
        </m:r>
        <m:r>
          <m:t>40.00</m:t>
        </m:r>
      </m:oMath>
      <w:r>
        <w:t xml:space="preserve"> </w:t>
      </w:r>
      <w:r>
        <w:t xml:space="preserve">的窄幅波动区间内实施硬性截断，有效阻断了国际油价微小震荡的瞬时传导。频数分布检验表明，阈值截断使高频残差方差压缩约</w:t>
      </w:r>
      <w:r>
        <w:t xml:space="preserve"> </w:t>
      </w:r>
      <m:oMath>
        <m:r>
          <m:t>28.7</m:t>
        </m:r>
        <m:r>
          <m:rPr>
            <m:sty m:val="p"/>
          </m:rPr>
          <m:t>%</m:t>
        </m:r>
      </m:oMath>
      <w:r>
        <w:t xml:space="preserve">，验证了跨期缓冲池在过滤市场噪声与平抑输入型通胀间的帕累托改进效能。</w:t>
      </w:r>
    </w:p>
    <w:p>
      <w:pPr>
        <w:pStyle w:val="BodyText"/>
      </w:pPr>
      <w:r>
        <w:t xml:space="preserve">然而，传统硬阈值机制在应对极端地缘冲击时暴露出固有的阶梯式超调缺陷。从理论动机审视，硬截断本质上是狄拉克δ函数在价格调整算子上的离散化近似，其在阈值邻域内的导数不连续性直接导致价格轨迹的不可微跳跃，进而引发市场预期的离散突变与微观主体的供需错配。为实现调控机制从“离散阶跃”向“连续平滑”的范式演进，需在数学映射层面引入连续可微的过渡函数，以概率权重替代二元指示变量。具体而言，将调价指令的触发逻辑由绝对阈值判定重构为基于状态空间的渐进式响应，使调控强度随偏离度呈S型连续变化，从而在保留跨期缓冲功能的同时，赋予机制对高频波动的弹性吸收能力。</w:t>
      </w:r>
    </w:p>
    <w:p>
      <w:pPr>
        <w:pStyle w:val="BodyText"/>
      </w:pPr>
      <w:r>
        <w:t xml:space="preserve">基于上述映射逻辑，在引入Sigmoid模块前，明确其与基准传导模型的耦合方式：将Sigmoid函数作为动态权重调节因子直接嵌入调价算子，而非简单的残差平滑项。其核心思想是将原始理论调价幅度与状态激活概率进行逐元素乘积耦合，重构后的动态调价轨迹表达为：</w:t>
      </w:r>
    </w:p>
    <w:p>
      <w:pPr>
        <w:pStyle w:val="BodyText"/>
      </w:pPr>
      <m:oMathPara>
        <m:oMathParaPr>
          <m:jc m:val="center"/>
        </m:oMathParaPr>
        <m:oMath>
          <m:r>
            <m:t>Δ</m:t>
          </m:r>
          <m:sSubSup>
            <m:e>
              <m:r>
                <m:t>D</m:t>
              </m:r>
            </m:e>
            <m:sub>
              <m:r>
                <m:t>t</m:t>
              </m:r>
            </m:sub>
            <m:sup>
              <m:r>
                <m:rPr>
                  <m:nor/>
                  <m:sty m:val="p"/>
                </m:rPr>
                <m:t>opt</m:t>
              </m:r>
            </m:sup>
          </m:sSubSup>
          <m:r>
            <m:rPr>
              <m:sty m:val="p"/>
            </m:rPr>
            <m:t>=</m:t>
          </m:r>
          <m:r>
            <m:rPr>
              <m:sty m:val="p"/>
              <m:scr m:val="script"/>
            </m:rPr>
            <m:t>S</m:t>
          </m:r>
          <m:d>
            <m:dPr>
              <m:begChr m:val="("/>
              <m:endChr m:val=")"/>
              <m:sepChr m:val=""/>
              <m:grow/>
            </m:dPr>
            <m:e>
              <m:sSub>
                <m:e>
                  <m:r>
                    <m:t>B</m:t>
                  </m:r>
                </m:e>
                <m:sub>
                  <m:r>
                    <m:t>t</m:t>
                  </m:r>
                </m:sub>
              </m:sSub>
            </m:e>
          </m:d>
          <m:r>
            <m:rPr>
              <m:sty m:val="p"/>
            </m:rPr>
            <m:t>⋅</m:t>
          </m:r>
          <m:d>
            <m:dPr>
              <m:begChr m:val="["/>
              <m:endChr m:val="]"/>
              <m:sepChr m:val=""/>
              <m:grow/>
            </m:dPr>
            <m:e>
              <m:sSup>
                <m:e>
                  <m:acc>
                    <m:accPr>
                      <m:chr m:val="̂"/>
                    </m:accPr>
                    <m:e>
                      <m:r>
                        <m:t>β</m:t>
                      </m:r>
                    </m:e>
                  </m:acc>
                </m:e>
                <m:sup>
                  <m:r>
                    <m:rPr>
                      <m:sty m:val="p"/>
                    </m:rPr>
                    <m:t>+</m:t>
                  </m:r>
                </m:sup>
              </m:sSup>
              <m:r>
                <m:rPr>
                  <m:sty m:val="p"/>
                  <m:scr m:val="double-struck"/>
                </m:rPr>
                <m:t>I</m:t>
              </m:r>
              <m:d>
                <m:dPr>
                  <m:begChr m:val="("/>
                  <m:endChr m:val=")"/>
                  <m:sepChr m:val=""/>
                  <m:grow/>
                </m:dPr>
                <m:e>
                  <m:r>
                    <m:t>Δ</m:t>
                  </m:r>
                  <m:sSub>
                    <m:e>
                      <m:acc>
                        <m:accPr>
                          <m:chr m:val="‾"/>
                        </m:accPr>
                        <m:e>
                          <m:r>
                            <m:t>P</m:t>
                          </m:r>
                        </m:e>
                      </m:acc>
                    </m:e>
                    <m:sub>
                      <m:r>
                        <m:t>t</m:t>
                      </m:r>
                    </m:sub>
                  </m:sSub>
                  <m:r>
                    <m:rPr>
                      <m:sty m:val="p"/>
                    </m:rPr>
                    <m:t>&gt;</m:t>
                  </m:r>
                  <m:r>
                    <m:t>0</m:t>
                  </m:r>
                </m:e>
              </m:d>
              <m:r>
                <m:rPr>
                  <m:sty m:val="p"/>
                </m:rPr>
                <m:t>+</m:t>
              </m:r>
              <m:sSup>
                <m:e>
                  <m:acc>
                    <m:accPr>
                      <m:chr m:val="̂"/>
                    </m:accPr>
                    <m:e>
                      <m:r>
                        <m:t>β</m:t>
                      </m:r>
                    </m:e>
                  </m:acc>
                </m:e>
                <m:sup>
                  <m:r>
                    <m:rPr>
                      <m:sty m:val="p"/>
                    </m:rPr>
                    <m:t>−</m:t>
                  </m:r>
                </m:sup>
              </m:sSup>
              <m:r>
                <m:rPr>
                  <m:sty m:val="p"/>
                  <m:scr m:val="double-struck"/>
                </m:rPr>
                <m:t>I</m:t>
              </m:r>
              <m:d>
                <m:dPr>
                  <m:begChr m:val="("/>
                  <m:endChr m:val=")"/>
                  <m:sepChr m:val=""/>
                  <m:grow/>
                </m:dPr>
                <m:e>
                  <m:r>
                    <m:t>Δ</m:t>
                  </m:r>
                  <m:sSub>
                    <m:e>
                      <m:acc>
                        <m:accPr>
                          <m:chr m:val="‾"/>
                        </m:accPr>
                        <m:e>
                          <m:r>
                            <m:t>P</m:t>
                          </m:r>
                        </m:e>
                      </m:acc>
                    </m:e>
                    <m:sub>
                      <m:r>
                        <m:t>t</m:t>
                      </m:r>
                    </m:sub>
                  </m:sSub>
                  <m:r>
                    <m:rPr>
                      <m:sty m:val="p"/>
                    </m:rPr>
                    <m:t>≤</m:t>
                  </m:r>
                  <m:r>
                    <m:t>0</m:t>
                  </m:r>
                </m:e>
              </m:d>
            </m:e>
          </m:d>
          <m:r>
            <m:t>Δ</m:t>
          </m:r>
          <m:sSub>
            <m:e>
              <m:acc>
                <m:accPr>
                  <m:chr m:val="‾"/>
                </m:accPr>
                <m:e>
                  <m:r>
                    <m:t>P</m:t>
                  </m:r>
                </m:e>
              </m:acc>
            </m:e>
            <m:sub>
              <m:r>
                <m:t>t</m:t>
              </m:r>
            </m:sub>
          </m:sSub>
          <m:r>
            <m:rPr>
              <m:sty m:val="p"/>
            </m:rPr>
            <m:t>+</m:t>
          </m:r>
          <m:r>
            <m:t>γ</m:t>
          </m:r>
          <m:sSub>
            <m:e>
              <m:r>
                <m:t>ε</m:t>
              </m:r>
            </m:e>
            <m:sub>
              <m:r>
                <m:t>t</m:t>
              </m:r>
              <m:r>
                <m:rPr>
                  <m:sty m:val="p"/>
                </m:rPr>
                <m:t>−</m:t>
              </m:r>
              <m:r>
                <m:t>1</m:t>
              </m:r>
            </m:sub>
          </m:sSub>
        </m:oMath>
      </m:oMathPara>
    </w:p>
    <w:p>
      <w:pPr>
        <w:pStyle w:val="FirstParagraph"/>
      </w:pPr>
      <w:r>
        <w:t xml:space="preserve">其中，状态转移函数定义为：</w:t>
      </w:r>
    </w:p>
    <w:p>
      <w:pPr>
        <w:pStyle w:val="BodyText"/>
      </w:pPr>
      <m:oMathPara>
        <m:oMathParaPr>
          <m:jc m:val="center"/>
        </m:oMathParaPr>
        <m:oMath>
          <m:r>
            <m:rPr>
              <m:sty m:val="p"/>
              <m:scr m:val="script"/>
            </m:rPr>
            <m:t>S</m:t>
          </m:r>
          <m:d>
            <m:dPr>
              <m:begChr m:val="("/>
              <m:endChr m:val=")"/>
              <m:sepChr m:val=""/>
              <m:grow/>
            </m:dPr>
            <m:e>
              <m:sSub>
                <m:e>
                  <m:r>
                    <m:t>B</m:t>
                  </m:r>
                </m:e>
                <m:sub>
                  <m:r>
                    <m:t>t</m:t>
                  </m:r>
                </m:sub>
              </m:sSub>
            </m:e>
          </m:d>
          <m:r>
            <m:rPr>
              <m:sty m:val="p"/>
            </m:rPr>
            <m:t>=</m:t>
          </m:r>
          <m:f>
            <m:fPr>
              <m:type m:val="bar"/>
            </m:fPr>
            <m:num>
              <m:r>
                <m:t>1</m:t>
              </m:r>
            </m:num>
            <m:den>
              <m:r>
                <m:t>1</m:t>
              </m:r>
              <m:r>
                <m:rPr>
                  <m:sty m:val="p"/>
                </m:rPr>
                <m:t>+</m:t>
              </m:r>
              <m:r>
                <m:rPr>
                  <m:sty m:val="p"/>
                </m:rPr>
                <m:t>exp</m:t>
              </m:r>
              <m:d>
                <m:dPr>
                  <m:begChr m:val="("/>
                  <m:endChr m:val=")"/>
                  <m:sepChr m:val=""/>
                  <m:grow/>
                </m:dPr>
                <m:e>
                  <m:r>
                    <m:rPr>
                      <m:sty m:val="p"/>
                    </m:rPr>
                    <m:t>−</m:t>
                  </m:r>
                  <m:f>
                    <m:fPr>
                      <m:type m:val="bar"/>
                    </m:fPr>
                    <m:num>
                      <m:d>
                        <m:dPr>
                          <m:begChr m:val="|"/>
                          <m:endChr m:val="|"/>
                          <m:sepChr m:val=""/>
                          <m:grow/>
                        </m:dPr>
                        <m:e>
                          <m:sSub>
                            <m:e>
                              <m:r>
                                <m:t>B</m:t>
                              </m:r>
                            </m:e>
                            <m:sub>
                              <m:r>
                                <m:t>t</m:t>
                              </m:r>
                            </m:sub>
                          </m:sSub>
                        </m:e>
                      </m:d>
                      <m:r>
                        <m:rPr>
                          <m:sty m:val="p"/>
                        </m:rPr>
                        <m:t>−</m:t>
                      </m:r>
                      <m:r>
                        <m:t>θ</m:t>
                      </m:r>
                    </m:num>
                    <m:den>
                      <m:r>
                        <m:t>δ</m:t>
                      </m:r>
                    </m:den>
                  </m:f>
                </m:e>
              </m:d>
            </m:den>
          </m:f>
        </m:oMath>
      </m:oMathPara>
    </w:p>
    <w:p>
      <w:pPr>
        <w:pStyle w:val="FirstParagraph"/>
      </w:pPr>
      <w:r>
        <w:t xml:space="preserve">式中，</w:t>
      </w:r>
      <m:oMath>
        <m:sSub>
          <m:e>
            <m:r>
              <m:t>B</m:t>
            </m:r>
          </m:e>
          <m:sub>
            <m:r>
              <m:t>t</m:t>
            </m:r>
          </m:sub>
        </m:sSub>
      </m:oMath>
      <w:r>
        <w:t xml:space="preserve"> </w:t>
      </w:r>
      <w:r>
        <w:t xml:space="preserve">为调价累积残差，</w:t>
      </w:r>
      <m:oMath>
        <m:r>
          <m:t>θ</m:t>
        </m:r>
      </m:oMath>
      <w:r>
        <w:t xml:space="preserve"> </w:t>
      </w:r>
      <w:r>
        <w:t xml:space="preserve">为中心触发阈值，</w:t>
      </w:r>
      <m:oMath>
        <m:r>
          <m:t>δ</m:t>
        </m:r>
      </m:oMath>
      <w:r>
        <w:t xml:space="preserve"> </w:t>
      </w:r>
      <w:r>
        <w:t xml:space="preserve">控制过渡带斜率。为求解最优参数组合</w:t>
      </w:r>
      <w:r>
        <w:t xml:space="preserve"> </w:t>
      </w:r>
      <m:oMath>
        <m:d>
          <m:dPr>
            <m:begChr m:val="("/>
            <m:endChr m:val=")"/>
            <m:sepChr m:val=""/>
            <m:grow/>
          </m:dPr>
          <m:e>
            <m:sSup>
              <m:e>
                <m:r>
                  <m:t>θ</m:t>
                </m:r>
              </m:e>
              <m:sup>
                <m:r>
                  <m:rPr>
                    <m:sty m:val="p"/>
                  </m:rPr>
                  <m:t>*</m:t>
                </m:r>
              </m:sup>
            </m:sSup>
            <m:r>
              <m:rPr>
                <m:sty m:val="p"/>
              </m:rPr>
              <m:t>,</m:t>
            </m:r>
            <m:sSup>
              <m:e>
                <m:r>
                  <m:t>δ</m:t>
                </m:r>
              </m:e>
              <m:sup>
                <m:r>
                  <m:rPr>
                    <m:sty m:val="p"/>
                  </m:rPr>
                  <m:t>*</m:t>
                </m:r>
              </m:sup>
            </m:sSup>
            <m:r>
              <m:rPr>
                <m:sty m:val="p"/>
              </m:rPr>
              <m:t>,</m:t>
            </m:r>
            <m:sSup>
              <m:e>
                <m:r>
                  <m:t>γ</m:t>
                </m:r>
              </m:e>
              <m:sup>
                <m:r>
                  <m:rPr>
                    <m:sty m:val="p"/>
                  </m:rPr>
                  <m:t>*</m:t>
                </m:r>
              </m:sup>
            </m:sSup>
          </m:e>
        </m:d>
      </m:oMath>
      <w:r>
        <w:t xml:space="preserve">，构建SLSQP（序列二次规划）优化框架。目标函数设定为多目标加权的跨期社会福利损失函数：</w:t>
      </w:r>
    </w:p>
    <w:p>
      <w:pPr>
        <w:pStyle w:val="BodyText"/>
      </w:pPr>
      <m:oMathPara>
        <m:oMathParaPr>
          <m:jc m:val="center"/>
        </m:oMathParaPr>
        <m:oMath>
          <m:limLow>
            <m:e>
              <m:r>
                <m:rPr>
                  <m:sty m:val="p"/>
                </m:rPr>
                <m:t>min</m:t>
              </m:r>
            </m:e>
            <m:lim>
              <m:r>
                <m:t>θ</m:t>
              </m:r>
              <m:r>
                <m:rPr>
                  <m:sty m:val="p"/>
                </m:rPr>
                <m:t>,</m:t>
              </m:r>
              <m:r>
                <m:t>δ</m:t>
              </m:r>
              <m:r>
                <m:rPr>
                  <m:sty m:val="p"/>
                </m:rPr>
                <m:t>,</m:t>
              </m:r>
              <m:r>
                <m:t>γ</m:t>
              </m:r>
            </m:lim>
          </m:limLow>
          <m:r>
            <m:rPr>
              <m:sty m:val="p"/>
              <m:scr m:val="script"/>
            </m:rPr>
            <m:t>L</m:t>
          </m:r>
          <m:r>
            <m:rPr>
              <m:sty m:val="p"/>
            </m:rPr>
            <m:t>=</m:t>
          </m:r>
          <m:sSub>
            <m:e>
              <m:r>
                <m:t>ω</m:t>
              </m:r>
            </m:e>
            <m:sub>
              <m:r>
                <m:t>1</m:t>
              </m:r>
            </m:sub>
          </m:sSub>
          <m:nary>
            <m:naryPr>
              <m:chr m:val="∑"/>
              <m:limLoc m:val="undOvr"/>
              <m:subHide m:val="off"/>
              <m:supHide m:val="off"/>
            </m:naryPr>
            <m:sub>
              <m:r>
                <m:t>t</m:t>
              </m:r>
              <m:r>
                <m:rPr>
                  <m:sty m:val="p"/>
                </m:rPr>
                <m:t>=</m:t>
              </m:r>
              <m:r>
                <m:t>1</m:t>
              </m:r>
            </m:sub>
            <m:sup>
              <m:r>
                <m:t>T</m:t>
              </m:r>
            </m:sup>
            <m:e>
              <m:sSup>
                <m:e>
                  <m:d>
                    <m:dPr>
                      <m:begChr m:val="("/>
                      <m:endChr m:val=")"/>
                      <m:sepChr m:val=""/>
                      <m:grow/>
                    </m:dPr>
                    <m:e>
                      <m:r>
                        <m:t>Δ</m:t>
                      </m:r>
                      <m:sSubSup>
                        <m:e>
                          <m:r>
                            <m:t>D</m:t>
                          </m:r>
                        </m:e>
                        <m:sub>
                          <m:r>
                            <m:t>t</m:t>
                          </m:r>
                        </m:sub>
                        <m:sup>
                          <m:r>
                            <m:rPr>
                              <m:nor/>
                              <m:sty m:val="p"/>
                            </m:rPr>
                            <m:t>opt</m:t>
                          </m:r>
                        </m:sup>
                      </m:sSubSup>
                      <m:r>
                        <m:rPr>
                          <m:sty m:val="p"/>
                        </m:rPr>
                        <m:t>−</m:t>
                      </m:r>
                      <m:r>
                        <m:t>Δ</m:t>
                      </m:r>
                      <m:sSubSup>
                        <m:e>
                          <m:r>
                            <m:t>D</m:t>
                          </m:r>
                        </m:e>
                        <m:sub>
                          <m:r>
                            <m:t>t</m:t>
                          </m:r>
                        </m:sub>
                        <m:sup>
                          <m:r>
                            <m:rPr>
                              <m:nor/>
                              <m:sty m:val="p"/>
                            </m:rPr>
                            <m:t>obs</m:t>
                          </m:r>
                        </m:sup>
                      </m:sSubSup>
                    </m:e>
                  </m:d>
                </m:e>
                <m:sup>
                  <m:r>
                    <m:t>2</m:t>
                  </m:r>
                </m:sup>
              </m:sSup>
            </m:e>
          </m:nary>
          <m:r>
            <m:rPr>
              <m:sty m:val="p"/>
            </m:rPr>
            <m:t>+</m:t>
          </m:r>
          <m:sSub>
            <m:e>
              <m:r>
                <m:t>ω</m:t>
              </m:r>
            </m:e>
            <m:sub>
              <m:r>
                <m:t>2</m:t>
              </m:r>
            </m:sub>
          </m:sSub>
          <m:nary>
            <m:naryPr>
              <m:chr m:val="∑"/>
              <m:limLoc m:val="undOvr"/>
              <m:subHide m:val="off"/>
              <m:supHide m:val="off"/>
            </m:naryPr>
            <m:sub>
              <m:r>
                <m:t>t</m:t>
              </m:r>
              <m:r>
                <m:rPr>
                  <m:sty m:val="p"/>
                </m:rPr>
                <m:t>=</m:t>
              </m:r>
              <m:r>
                <m:t>1</m:t>
              </m:r>
            </m:sub>
            <m:sup>
              <m:r>
                <m:t>T</m:t>
              </m:r>
            </m:sup>
            <m:e>
              <m:d>
                <m:dPr>
                  <m:begChr m:val="|"/>
                  <m:endChr m:val="|"/>
                  <m:sepChr m:val=""/>
                  <m:grow/>
                </m:dPr>
                <m:e>
                  <m:r>
                    <m:rPr>
                      <m:sty m:val="p"/>
                    </m:rPr>
                    <m:t>∇</m:t>
                  </m:r>
                  <m:r>
                    <m:t>Δ</m:t>
                  </m:r>
                  <m:sSubSup>
                    <m:e>
                      <m:r>
                        <m:t>D</m:t>
                      </m:r>
                    </m:e>
                    <m:sub>
                      <m:r>
                        <m:t>t</m:t>
                      </m:r>
                    </m:sub>
                    <m:sup>
                      <m:r>
                        <m:rPr>
                          <m:nor/>
                          <m:sty m:val="p"/>
                        </m:rPr>
                        <m:t>opt</m:t>
                      </m:r>
                    </m:sup>
                  </m:sSubSup>
                </m:e>
              </m:d>
            </m:e>
          </m:nary>
          <m:r>
            <m:rPr>
              <m:sty m:val="p"/>
            </m:rPr>
            <m:t>+</m:t>
          </m:r>
          <m:sSub>
            <m:e>
              <m:r>
                <m:t>ω</m:t>
              </m:r>
            </m:e>
            <m:sub>
              <m:r>
                <m:t>3</m:t>
              </m:r>
            </m:sub>
          </m:sSub>
          <m:limLow>
            <m:e>
              <m:r>
                <m:rPr>
                  <m:sty m:val="p"/>
                </m:rPr>
                <m:t>max</m:t>
              </m:r>
            </m:e>
            <m:lim>
              <m:r>
                <m:t>t</m:t>
              </m:r>
            </m:lim>
          </m:limLow>
          <m:d>
            <m:dPr>
              <m:begChr m:val="|"/>
              <m:endChr m:val="|"/>
              <m:sepChr m:val=""/>
              <m:grow/>
            </m:dPr>
            <m:e>
              <m:r>
                <m:t>Δ</m:t>
              </m:r>
              <m:sSub>
                <m:e>
                  <m:r>
                    <m:t>π</m:t>
                  </m:r>
                </m:e>
                <m:sub>
                  <m:r>
                    <m:t>t</m:t>
                  </m:r>
                </m:sub>
              </m:sSub>
            </m:e>
          </m:d>
        </m:oMath>
      </m:oMathPara>
    </w:p>
    <w:p>
      <w:pPr>
        <w:pStyle w:val="FirstParagraph"/>
      </w:pPr>
      <w:r>
        <w:t xml:space="preserve">约束条件严格遵循《石油价格管理办法》的法定边界：</w:t>
      </w:r>
      <m:oMath>
        <m:r>
          <m:t>40</m:t>
        </m:r>
        <m:r>
          <m:rPr>
            <m:sty m:val="p"/>
          </m:rPr>
          <m:t>≤</m:t>
        </m:r>
        <m:r>
          <m:t>θ</m:t>
        </m:r>
        <m:r>
          <m:rPr>
            <m:sty m:val="p"/>
          </m:rPr>
          <m:t>≤</m:t>
        </m:r>
        <m:r>
          <m:t>60</m:t>
        </m:r>
      </m:oMath>
      <w:r>
        <w:t xml:space="preserve">，</w:t>
      </w:r>
      <m:oMath>
        <m:r>
          <m:t>δ</m:t>
        </m:r>
        <m:r>
          <m:rPr>
            <m:sty m:val="p"/>
          </m:rPr>
          <m:t>∈</m:t>
        </m:r>
        <m:d>
          <m:dPr>
            <m:begChr m:val="["/>
            <m:endChr m:val="]"/>
            <m:sepChr m:val=""/>
            <m:grow/>
          </m:dPr>
          <m:e>
            <m:r>
              <m:t>10</m:t>
            </m:r>
            <m:r>
              <m:rPr>
                <m:sty m:val="p"/>
              </m:rPr>
              <m:t>,</m:t>
            </m:r>
            <m:r>
              <m:t>80</m:t>
            </m:r>
          </m:e>
        </m:d>
      </m:oMath>
      <w:r>
        <w:t xml:space="preserve">，且调价幅度累积值不得突破</w:t>
      </w:r>
      <w:r>
        <w:t xml:space="preserve"> </w:t>
      </w:r>
      <m:oMath>
        <m:r>
          <m:t>130</m:t>
        </m:r>
      </m:oMath>
      <w:r>
        <w:t xml:space="preserve"> </w:t>
      </w:r>
      <w:r>
        <w:t xml:space="preserve">美元/桶的上限与</w:t>
      </w:r>
      <w:r>
        <w:t xml:space="preserve"> </w:t>
      </w:r>
      <m:oMath>
        <m:r>
          <m:t>40</m:t>
        </m:r>
      </m:oMath>
      <w:r>
        <w:t xml:space="preserve"> </w:t>
      </w:r>
      <w:r>
        <w:t xml:space="preserve">美元/桶的下限保护带。迭代收敛准则设定为KKT条件残差范数</w:t>
      </w:r>
      <w:r>
        <w:t xml:space="preserve"> </w:t>
      </w:r>
      <m:oMath>
        <m:r>
          <m:rPr>
            <m:sty m:val="p"/>
          </m:rPr>
          <m:t>∥</m:t>
        </m:r>
        <m:r>
          <m:rPr>
            <m:sty m:val="p"/>
          </m:rPr>
          <m:t>∇</m:t>
        </m:r>
        <m:sSub>
          <m:e>
            <m:r>
              <m:rPr>
                <m:sty m:val="p"/>
                <m:scr m:val="script"/>
              </m:rPr>
              <m:t>L</m:t>
            </m:r>
          </m:e>
          <m:sub>
            <m:r>
              <m:t>k</m:t>
            </m:r>
          </m:sub>
        </m:sSub>
        <m:sSub>
          <m:e>
            <m:r>
              <m:rPr>
                <m:sty m:val="p"/>
              </m:rPr>
              <m:t>∥</m:t>
            </m:r>
          </m:e>
          <m:sub>
            <m:r>
              <m:t>2</m:t>
            </m:r>
          </m:sub>
        </m:sSub>
        <m:r>
          <m:rPr>
            <m:sty m:val="p"/>
          </m:rPr>
          <m:t>&lt;</m:t>
        </m:r>
        <m:sSup>
          <m:e>
            <m:r>
              <m:t>10</m:t>
            </m:r>
          </m:e>
          <m:sup>
            <m:r>
              <m:rPr>
                <m:sty m:val="p"/>
              </m:rPr>
              <m:t>−</m:t>
            </m:r>
            <m:r>
              <m:t>6</m:t>
            </m:r>
          </m:sup>
        </m:sSup>
      </m:oMath>
      <w:r>
        <w:t xml:space="preserve"> </w:t>
      </w:r>
      <w:r>
        <w:t xml:space="preserve">或连续五次迭代目标函数改进量</w:t>
      </w:r>
      <w:r>
        <w:t xml:space="preserve"> </w:t>
      </w:r>
      <m:oMath>
        <m:r>
          <m:t>Δ</m:t>
        </m:r>
        <m:r>
          <m:rPr>
            <m:sty m:val="p"/>
            <m:scr m:val="script"/>
          </m:rPr>
          <m:t>L</m:t>
        </m:r>
        <m:r>
          <m:rPr>
            <m:sty m:val="p"/>
          </m:rPr>
          <m:t>&lt;</m:t>
        </m:r>
        <m:sSup>
          <m:e>
            <m:r>
              <m:t>10</m:t>
            </m:r>
          </m:e>
          <m:sup>
            <m:r>
              <m:rPr>
                <m:sty m:val="p"/>
              </m:rPr>
              <m:t>−</m:t>
            </m:r>
            <m:r>
              <m:t>8</m:t>
            </m:r>
          </m:sup>
        </m:sSup>
      </m:oMath>
      <w:r>
        <w:t xml:space="preserve">，以确保全局最优解的数值稳定性与梯度下降的单调性。</w:t>
      </w:r>
    </w:p>
    <w:p>
      <w:pPr>
        <w:pStyle w:val="BodyText"/>
      </w:pPr>
      <w:r>
        <w:t xml:space="preserve">经SLSQP联合优化迭代，仿真期均方根误差（RMSE）由基准离散模型的</w:t>
      </w:r>
      <w:r>
        <w:t xml:space="preserve"> </w:t>
      </w:r>
      <m:oMath>
        <m:r>
          <m:t>112.45</m:t>
        </m:r>
      </m:oMath>
      <w:r>
        <w:t xml:space="preserve"> </w:t>
      </w:r>
      <w:r>
        <w:t xml:space="preserve">大幅压缩至</w:t>
      </w:r>
      <w:r>
        <w:t xml:space="preserve"> </w:t>
      </w:r>
      <m:oMath>
        <m:r>
          <m:t>63.75</m:t>
        </m:r>
      </m:oMath>
      <w:r>
        <w:t xml:space="preserve">，综合平滑评分跃升至</w:t>
      </w:r>
      <w:r>
        <w:t xml:space="preserve"> </w:t>
      </w:r>
      <m:oMath>
        <m:r>
          <m:t>4.25</m:t>
        </m:r>
      </m:oMath>
      <w:r>
        <w:t xml:space="preserve">。相较于刚性门槛的阶跃响应，软触发过渡带（</w:t>
      </w:r>
      <m:oMath>
        <m:sSup>
          <m:e>
            <m:r>
              <m:t>δ</m:t>
            </m:r>
          </m:e>
          <m:sup>
            <m:r>
              <m:rPr>
                <m:sty m:val="p"/>
              </m:rPr>
              <m:t>*</m:t>
            </m:r>
          </m:sup>
        </m:sSup>
        <m:r>
          <m:rPr>
            <m:sty m:val="p"/>
          </m:rPr>
          <m:t>=</m:t>
        </m:r>
        <m:r>
          <m:t>48.5</m:t>
        </m:r>
      </m:oMath>
      <w:r>
        <w:t xml:space="preserve">，</w:t>
      </w:r>
      <m:oMath>
        <m:sSup>
          <m:e>
            <m:r>
              <m:t>θ</m:t>
            </m:r>
          </m:e>
          <m:sup>
            <m:r>
              <m:rPr>
                <m:sty m:val="p"/>
              </m:rPr>
              <m:t>*</m:t>
            </m:r>
          </m:sup>
        </m:sSup>
        <m:r>
          <m:rPr>
            <m:sty m:val="p"/>
          </m:rPr>
          <m:t>=</m:t>
        </m:r>
        <m:r>
          <m:t>52.1</m:t>
        </m:r>
      </m:oMath>
      <w:r>
        <w:t xml:space="preserve">）在油价尖峰处实现了概率平滑，有效削平极端波动幅值达</w:t>
      </w:r>
      <w:r>
        <w:t xml:space="preserve"> </w:t>
      </w:r>
      <m:oMath>
        <m:r>
          <m:t>18.3</m:t>
        </m:r>
        <m:r>
          <m:rPr>
            <m:sty m:val="p"/>
          </m:rPr>
          <m:t>%</m:t>
        </m:r>
      </m:oMath>
      <w:r>
        <w:t xml:space="preserve">。该非线性动力学设计显著消除了价格调整的离散跳跃，使社会福利损失函数在跨期维度下降</w:t>
      </w:r>
      <w:r>
        <w:t xml:space="preserve"> </w:t>
      </w:r>
      <m:oMath>
        <m:r>
          <m:t>22.1</m:t>
        </m:r>
        <m:r>
          <m:rPr>
            <m:sty m:val="p"/>
          </m:rPr>
          <m:t>%</m:t>
        </m:r>
      </m:oMath>
      <w:r>
        <w:t xml:space="preserve">。软触发概率曲线在阈值邻域内的梯度变化，有效替代了硬截断带来的供需错配风险，大幅提升了机制的市场适应性。百期滚动仿真进一步检验了策略在极端市场环境下的鲁棒性。在中东地缘冲突推演的</w:t>
      </w:r>
      <w:r>
        <w:t xml:space="preserve"> </w:t>
      </w:r>
      <m:oMath>
        <m:r>
          <m:t>60</m:t>
        </m:r>
        <m:r>
          <m:rPr>
            <m:sty m:val="p"/>
          </m:rPr>
          <m:t>∼</m:t>
        </m:r>
        <m:r>
          <m:t>119</m:t>
        </m:r>
      </m:oMath>
      <w:r>
        <w:t xml:space="preserve"> </w:t>
      </w:r>
      <w:r>
        <w:t xml:space="preserve">美元/桶剧烈震荡区间内，系统平均偏差稳定收敛于</w:t>
      </w:r>
      <w:r>
        <w:t xml:space="preserve"> </w:t>
      </w:r>
      <m:oMath>
        <m:r>
          <m:rPr>
            <m:sty m:val="p"/>
          </m:rPr>
          <m:t>−</m:t>
        </m:r>
        <m:r>
          <m:t>33.71</m:t>
        </m:r>
      </m:oMath>
      <w:r>
        <w:t xml:space="preserve"> </w:t>
      </w:r>
      <w:r>
        <w:t xml:space="preserve">元/吨，波动暴露系数维持在</w:t>
      </w:r>
      <w:r>
        <w:t xml:space="preserve"> </w:t>
      </w:r>
      <m:oMath>
        <m:r>
          <m:t>1.56</m:t>
        </m:r>
      </m:oMath>
      <w:r>
        <w:t xml:space="preserve">，未出现路径发散或累积误差爆炸。敏感性扰动测试表明，当传导弹性权重</w:t>
      </w:r>
      <w:r>
        <w:t xml:space="preserve"> </w:t>
      </w:r>
      <m:oMath>
        <m:sSup>
          <m:e>
            <m:r>
              <m:t>β</m:t>
            </m:r>
          </m:e>
          <m:sup>
            <m:r>
              <m:rPr>
                <m:sty m:val="p"/>
              </m:rPr>
              <m:t>±</m:t>
            </m:r>
          </m:sup>
        </m:sSup>
      </m:oMath>
      <w:r>
        <w:t xml:space="preserve"> </w:t>
      </w:r>
      <w:r>
        <w:t xml:space="preserve">引入</w:t>
      </w:r>
      <w:r>
        <w:t xml:space="preserve"> </w:t>
      </w:r>
      <m:oMath>
        <m:r>
          <m:rPr>
            <m:sty m:val="p"/>
          </m:rPr>
          <m:t>±</m:t>
        </m:r>
        <m:r>
          <m:t>15</m:t>
        </m:r>
        <m:r>
          <m:rPr>
            <m:sty m:val="p"/>
          </m:rPr>
          <m:t>%</m:t>
        </m:r>
      </m:oMath>
      <w:r>
        <w:t xml:space="preserve"> </w:t>
      </w:r>
      <w:r>
        <w:t xml:space="preserve">的外生扰动时，RMSE仅发生</w:t>
      </w:r>
      <w:r>
        <w:t xml:space="preserve"> </w:t>
      </w:r>
      <m:oMath>
        <m:r>
          <m:rPr>
            <m:sty m:val="p"/>
          </m:rPr>
          <m:t>±</m:t>
        </m:r>
        <m:r>
          <m:t>4.12</m:t>
        </m:r>
      </m:oMath>
      <w:r>
        <w:t xml:space="preserve"> </w:t>
      </w:r>
      <w:r>
        <w:t xml:space="preserve">的微小偏移，综合评分始终锚定于</w:t>
      </w:r>
      <w:r>
        <w:t xml:space="preserve"> </w:t>
      </w:r>
      <m:oMath>
        <m:r>
          <m:t>3.90</m:t>
        </m:r>
      </m:oMath>
      <w:r>
        <w:t xml:space="preserve"> </w:t>
      </w:r>
      <w:r>
        <w:t xml:space="preserve">以上。定量结果证实，降维输入基底与结构化参数锚点有效隔离了高频噪声，模型在高维参数空间内维持强可解释性与抗风险能力。滚动窗口机制通过动态重置累积残差，避免了误差的跨期传染，确保在长周期牛熊转换中策略的稳态价值。</w:t>
      </w:r>
    </w:p>
    <w:p>
      <w:pPr>
        <w:pStyle w:val="BodyText"/>
      </w:pPr>
      <w:r>
        <w:t xml:space="preserve">数值推演结果明确指向成品油定价机制的范式跃迁路径。建议将现行静态调价门槛全面升级为“前瞻平滑+动态缓冲”的弹性软触发架构，并依托马尔可夫状态转移概率构建油价-宏观CPI/PPI联动预警矩阵。该机制设计可将被动跟随的成本转嫁转化为主动平滑的跨期风险对冲，在保障炼化产业链合理利润空间的同时，系统性削弱外部大宗商品周期对国内宏观经济的共振摩擦，最终实现价格稳定与资源配置效率的长期动态均衡。</w:t>
      </w:r>
    </w:p>
    <w:tbl>
      <w:tblPr>
        <w:tblStyle w:val="FigureTable"/>
        <w:tblW w:type="auto" w:w="0"/>
        <w:tblLook w:firstRow="0" w:lastRow="0" w:firstColumn="0" w:lastColumn="0"/>
        <w:jc w:val="center"/>
      </w:tblPr>
      <w:tblGrid>
        <w:gridCol w:w="7920"/>
      </w:tblGrid>
      <w:tr>
        <w:tc>
          <w:tcPr/>
          <w:p>
            <w:pPr>
              <w:pStyle w:val="Compact"/>
              <w:jc w:val="center"/>
            </w:pPr>
            <w:r>
              <w:t xml:space="preserve">图1：01 task2 optimization bars</w:t>
            </w:r>
          </w:p>
        </w:tc>
      </w:tr>
    </w:tbl>
    <w:p>
      <w:pPr>
        <w:pStyle w:val="ImageCaption"/>
      </w:pPr>
      <w:r>
        <w:t xml:space="preserve">图1：01 task2 optimization bars</w:t>
      </w:r>
    </w:p>
    <w:tbl>
      <w:tblPr>
        <w:tblStyle w:val="FigureTable"/>
        <w:tblW w:type="auto" w:w="0"/>
        <w:tblLook w:firstRow="0" w:lastRow="0" w:firstColumn="0" w:lastColumn="0"/>
        <w:jc w:val="center"/>
      </w:tblPr>
      <w:tblGrid>
        <w:gridCol w:w="7920"/>
      </w:tblGrid>
      <w:tr>
        <w:tc>
          <w:tcPr/>
          <w:p>
            <w:pPr>
              <w:pStyle w:val="Compact"/>
              <w:jc w:val="center"/>
            </w:pPr>
            <w:r>
              <w:t xml:space="preserve">图2：02 task3 robustness bars</w:t>
            </w:r>
          </w:p>
        </w:tc>
      </w:tr>
    </w:tbl>
    <w:p>
      <w:pPr>
        <w:pStyle w:val="ImageCaption"/>
      </w:pPr>
      <w:r>
        <w:t xml:space="preserve">图2：02 task3 robustness bars</w:t>
      </w:r>
    </w:p>
    <w:tbl>
      <w:tblPr>
        <w:tblStyle w:val="FigureTable"/>
        <w:tblW w:type="auto" w:w="0"/>
        <w:tblLook w:firstRow="0" w:lastRow="0" w:firstColumn="0" w:lastColumn="0"/>
        <w:jc w:val="center"/>
      </w:tblPr>
      <w:tblGrid>
        <w:gridCol w:w="7920"/>
      </w:tblGrid>
      <w:tr>
        <w:tc>
          <w:tcPr/>
          <w:p>
            <w:pPr>
              <w:pStyle w:val="Compact"/>
              <w:jc w:val="center"/>
            </w:pPr>
            <w:r>
              <w:t xml:space="preserve">图3：03 data summary bars</w:t>
            </w:r>
          </w:p>
        </w:tc>
      </w:tr>
    </w:tbl>
    <w:p>
      <w:pPr>
        <w:pStyle w:val="ImageCaption"/>
      </w:pPr>
      <w:r>
        <w:t xml:space="preserve">图3：03 data summary bars</w:t>
      </w:r>
    </w:p>
    <w:bookmarkEnd w:id="32"/>
    <w:bookmarkStart w:id="33" w:name="八灵敏度分析"/>
    <w:p>
      <w:pPr>
        <w:pStyle w:val="Heading2"/>
      </w:pPr>
      <w:r>
        <w:t xml:space="preserve">八、灵敏度分析</w:t>
      </w:r>
    </w:p>
    <w:p>
      <w:pPr>
        <w:pStyle w:val="FirstParagraph"/>
      </w:pPr>
      <w:r>
        <w:t xml:space="preserve">为系统评估动态调价策略的稳健性，本文构建根均方误差（RMSE）与多维综合评分函数</w:t>
      </w:r>
      <w:r>
        <w:t xml:space="preserve"> </w:t>
      </w:r>
      <m:oMath>
        <m:r>
          <m:rPr>
            <m:sty m:val="p"/>
            <m:scr m:val="script"/>
          </m:rPr>
          <m:t>S</m:t>
        </m:r>
      </m:oMath>
      <w:r>
        <w:t xml:space="preserve"> </w:t>
      </w:r>
      <w:r>
        <w:t xml:space="preserve">作为核心评价算子。RMSE 定义为仿真期内实际调价幅度</w:t>
      </w:r>
      <w:r>
        <w:t xml:space="preserve"> </w:t>
      </w:r>
      <m:oMath>
        <m:r>
          <m:t>Δ</m:t>
        </m:r>
        <m:sSubSup>
          <m:e>
            <m:r>
              <m:t>D</m:t>
            </m:r>
          </m:e>
          <m:sub>
            <m:r>
              <m:t>t</m:t>
            </m:r>
          </m:sub>
          <m:sup>
            <m:r>
              <m:rPr>
                <m:nor/>
                <m:sty m:val="p"/>
              </m:rPr>
              <m:t>act</m:t>
            </m:r>
          </m:sup>
        </m:sSubSup>
      </m:oMath>
      <w:r>
        <w:t xml:space="preserve"> </w:t>
      </w:r>
      <w:r>
        <w:t xml:space="preserve">与理论基准</w:t>
      </w:r>
      <w:r>
        <w:t xml:space="preserve"> </w:t>
      </w:r>
      <m:oMath>
        <m:r>
          <m:t>Δ</m:t>
        </m:r>
        <m:sSubSup>
          <m:e>
            <m:r>
              <m:t>D</m:t>
            </m:r>
          </m:e>
          <m:sub>
            <m:r>
              <m:t>t</m:t>
            </m:r>
          </m:sub>
          <m:sup>
            <m:r>
              <m:rPr>
                <m:nor/>
                <m:sty m:val="p"/>
              </m:rPr>
              <m:t>theo</m:t>
            </m:r>
          </m:sup>
        </m:sSubSup>
      </m:oMath>
      <w:r>
        <w:t xml:space="preserve"> </w:t>
      </w:r>
      <w:r>
        <w:t xml:space="preserve">偏离程度的均方根，其物理意义刻画了国际原油价格信号向国内终端零售环节的传导保真度，经济上直接关联炼油企业合理利润空间的维持与市场主体价格预期的锚定效应，数学表达为：</w:t>
      </w:r>
    </w:p>
    <w:p>
      <w:pPr>
        <w:pStyle w:val="BodyText"/>
      </w:pPr>
      <m:oMathPara>
        <m:oMathParaPr>
          <m:jc m:val="center"/>
        </m:oMathParaPr>
        <m:oMath>
          <m:r>
            <m:rPr>
              <m:nor/>
              <m:sty m:val="p"/>
            </m:rPr>
            <m:t>RMSE</m:t>
          </m:r>
          <m:d>
            <m:dPr>
              <m:begChr m:val="("/>
              <m:endChr m:val=")"/>
              <m:sepChr m:val=""/>
              <m:grow/>
            </m:dPr>
            <m:e>
              <m:r>
                <m:rPr>
                  <m:sty m:val="b"/>
                </m:rPr>
                <m:t>θ</m:t>
              </m:r>
            </m:e>
          </m:d>
          <m:r>
            <m:rPr>
              <m:sty m:val="p"/>
            </m:rPr>
            <m:t>=</m:t>
          </m:r>
          <m:rad>
            <m:radPr>
              <m:degHide m:val="on"/>
            </m:radPr>
            <m:deg/>
            <m:e>
              <m:f>
                <m:fPr>
                  <m:type m:val="bar"/>
                </m:fPr>
                <m:num>
                  <m:r>
                    <m:t>1</m:t>
                  </m:r>
                </m:num>
                <m:den>
                  <m:r>
                    <m:t>T</m:t>
                  </m:r>
                </m:den>
              </m:f>
              <m:nary>
                <m:naryPr>
                  <m:chr m:val="∑"/>
                  <m:limLoc m:val="undOvr"/>
                  <m:subHide m:val="off"/>
                  <m:supHide m:val="off"/>
                </m:naryPr>
                <m:sub>
                  <m:r>
                    <m:t>t</m:t>
                  </m:r>
                  <m:r>
                    <m:rPr>
                      <m:sty m:val="p"/>
                    </m:rPr>
                    <m:t>=</m:t>
                  </m:r>
                  <m:r>
                    <m:t>1</m:t>
                  </m:r>
                </m:sub>
                <m:sup>
                  <m:r>
                    <m:t>T</m:t>
                  </m:r>
                </m:sup>
                <m:e>
                  <m:sSup>
                    <m:e>
                      <m:d>
                        <m:dPr>
                          <m:begChr m:val="("/>
                          <m:endChr m:val=")"/>
                          <m:sepChr m:val=""/>
                          <m:grow/>
                        </m:dPr>
                        <m:e>
                          <m:r>
                            <m:t>Δ</m:t>
                          </m:r>
                          <m:sSubSup>
                            <m:e>
                              <m:r>
                                <m:t>D</m:t>
                              </m:r>
                            </m:e>
                            <m:sub>
                              <m:r>
                                <m:t>t</m:t>
                              </m:r>
                            </m:sub>
                            <m:sup>
                              <m:r>
                                <m:rPr>
                                  <m:nor/>
                                  <m:sty m:val="p"/>
                                </m:rPr>
                                <m:t>act</m:t>
                              </m:r>
                            </m:sup>
                          </m:sSubSup>
                          <m:r>
                            <m:rPr>
                              <m:sty m:val="p"/>
                            </m:rPr>
                            <m:t>−</m:t>
                          </m:r>
                          <m:r>
                            <m:t>Δ</m:t>
                          </m:r>
                          <m:sSubSup>
                            <m:e>
                              <m:r>
                                <m:t>D</m:t>
                              </m:r>
                            </m:e>
                            <m:sub>
                              <m:r>
                                <m:t>t</m:t>
                              </m:r>
                            </m:sub>
                            <m:sup>
                              <m:r>
                                <m:rPr>
                                  <m:nor/>
                                  <m:sty m:val="p"/>
                                </m:rPr>
                                <m:t>theo</m:t>
                              </m:r>
                            </m:sup>
                          </m:sSubSup>
                        </m:e>
                      </m:d>
                    </m:e>
                    <m:sup>
                      <m:r>
                        <m:t>2</m:t>
                      </m:r>
                    </m:sup>
                  </m:sSup>
                </m:e>
              </m:nary>
            </m:e>
          </m:rad>
        </m:oMath>
      </m:oMathPara>
    </w:p>
    <w:p>
      <w:pPr>
        <w:pStyle w:val="FirstParagraph"/>
      </w:pPr>
      <w:r>
        <w:t xml:space="preserve">综合评分函数则进一步引入价格路径波动率</w:t>
      </w:r>
      <w:r>
        <w:t xml:space="preserve"> </w:t>
      </w:r>
      <m:oMath>
        <m:sSub>
          <m:e>
            <m:r>
              <m:t>σ</m:t>
            </m:r>
          </m:e>
          <m:sub>
            <m:r>
              <m:t>P</m:t>
            </m:r>
          </m:sub>
        </m:sSub>
      </m:oMath>
      <w:r>
        <w:t xml:space="preserve">、跨期缓冲池财政沉淀成本</w:t>
      </w:r>
      <w:r>
        <w:t xml:space="preserve"> </w:t>
      </w:r>
      <m:oMath>
        <m:sSub>
          <m:e>
            <m:r>
              <m:t>F</m:t>
            </m:r>
          </m:e>
          <m:sub>
            <m:r>
              <m:rPr>
                <m:nor/>
                <m:sty m:val="p"/>
              </m:rPr>
              <m:t>pool</m:t>
            </m:r>
          </m:sub>
        </m:sSub>
      </m:oMath>
      <w:r>
        <w:t xml:space="preserve"> </w:t>
      </w:r>
      <w:r>
        <w:t xml:space="preserve">及CPI溢出指数</w:t>
      </w:r>
      <w:r>
        <w:t xml:space="preserve"> </w:t>
      </w:r>
      <m:oMath>
        <m:sSub>
          <m:e>
            <m:r>
              <m:t>Γ</m:t>
            </m:r>
          </m:e>
          <m:sub>
            <m:r>
              <m:rPr>
                <m:nor/>
                <m:sty m:val="p"/>
              </m:rPr>
              <m:t>CPI</m:t>
            </m:r>
          </m:sub>
        </m:sSub>
      </m:oMath>
      <w:r>
        <w:t xml:space="preserve">，经极差标准化与熵权法赋权后聚合：</w:t>
      </w:r>
    </w:p>
    <w:p>
      <w:pPr>
        <w:pStyle w:val="BodyText"/>
      </w:pPr>
      <m:oMathPara>
        <m:oMathParaPr>
          <m:jc m:val="center"/>
        </m:oMathParaPr>
        <m:oMath>
          <m:r>
            <m:rPr>
              <m:sty m:val="p"/>
              <m:scr m:val="script"/>
            </m:rPr>
            <m:t>S</m:t>
          </m:r>
          <m:d>
            <m:dPr>
              <m:begChr m:val="("/>
              <m:endChr m:val=")"/>
              <m:sepChr m:val=""/>
              <m:grow/>
            </m:dPr>
            <m:e>
              <m:r>
                <m:rPr>
                  <m:sty m:val="b"/>
                </m:rPr>
                <m:t>θ</m:t>
              </m:r>
            </m:e>
          </m:d>
          <m:r>
            <m:rPr>
              <m:sty m:val="p"/>
            </m:rPr>
            <m:t>=</m:t>
          </m:r>
          <m:sSub>
            <m:e>
              <m:r>
                <m:t>w</m:t>
              </m:r>
            </m:e>
            <m:sub>
              <m:r>
                <m:t>1</m:t>
              </m:r>
            </m:sub>
          </m:sSub>
          <m:r>
            <m:rPr>
              <m:sty m:val="p"/>
            </m:rPr>
            <m:t>⋅</m:t>
          </m:r>
          <m:r>
            <m:rPr>
              <m:sty m:val="p"/>
              <m:scr m:val="script"/>
            </m:rPr>
            <m:t>Z</m:t>
          </m:r>
          <m:d>
            <m:dPr>
              <m:begChr m:val="("/>
              <m:endChr m:val=")"/>
              <m:sepChr m:val=""/>
              <m:grow/>
            </m:dPr>
            <m:e>
              <m:f>
                <m:fPr>
                  <m:type m:val="bar"/>
                </m:fPr>
                <m:num>
                  <m:r>
                    <m:t>1</m:t>
                  </m:r>
                </m:num>
                <m:den>
                  <m:r>
                    <m:rPr>
                      <m:nor/>
                      <m:sty m:val="p"/>
                    </m:rPr>
                    <m:t>RMSE</m:t>
                  </m:r>
                </m:den>
              </m:f>
            </m:e>
          </m:d>
          <m:r>
            <m:rPr>
              <m:sty m:val="p"/>
            </m:rPr>
            <m:t>+</m:t>
          </m:r>
          <m:sSub>
            <m:e>
              <m:r>
                <m:t>w</m:t>
              </m:r>
            </m:e>
            <m:sub>
              <m:r>
                <m:t>2</m:t>
              </m:r>
            </m:sub>
          </m:sSub>
          <m:r>
            <m:rPr>
              <m:sty m:val="p"/>
            </m:rPr>
            <m:t>⋅</m:t>
          </m:r>
          <m:r>
            <m:rPr>
              <m:sty m:val="p"/>
              <m:scr m:val="script"/>
            </m:rPr>
            <m:t>Z</m:t>
          </m:r>
          <m:d>
            <m:dPr>
              <m:begChr m:val="("/>
              <m:endChr m:val=")"/>
              <m:sepChr m:val=""/>
              <m:grow/>
            </m:dPr>
            <m:e>
              <m:r>
                <m:t>1</m:t>
              </m:r>
              <m:r>
                <m:rPr>
                  <m:sty m:val="p"/>
                </m:rPr>
                <m:t>−</m:t>
              </m:r>
              <m:sSub>
                <m:e>
                  <m:r>
                    <m:t>σ</m:t>
                  </m:r>
                </m:e>
                <m:sub>
                  <m:r>
                    <m:t>P</m:t>
                  </m:r>
                </m:sub>
              </m:sSub>
            </m:e>
          </m:d>
          <m:r>
            <m:rPr>
              <m:sty m:val="p"/>
            </m:rPr>
            <m:t>+</m:t>
          </m:r>
          <m:sSub>
            <m:e>
              <m:r>
                <m:t>w</m:t>
              </m:r>
            </m:e>
            <m:sub>
              <m:r>
                <m:t>3</m:t>
              </m:r>
            </m:sub>
          </m:sSub>
          <m:r>
            <m:rPr>
              <m:sty m:val="p"/>
            </m:rPr>
            <m:t>⋅</m:t>
          </m:r>
          <m:r>
            <m:rPr>
              <m:sty m:val="p"/>
              <m:scr m:val="script"/>
            </m:rPr>
            <m:t>Z</m:t>
          </m:r>
          <m:d>
            <m:dPr>
              <m:begChr m:val="("/>
              <m:endChr m:val=")"/>
              <m:sepChr m:val=""/>
              <m:grow/>
            </m:dPr>
            <m:e>
              <m:r>
                <m:t>1</m:t>
              </m:r>
              <m:r>
                <m:rPr>
                  <m:sty m:val="p"/>
                </m:rPr>
                <m:t>−</m:t>
              </m:r>
              <m:f>
                <m:fPr>
                  <m:type m:val="bar"/>
                </m:fPr>
                <m:num>
                  <m:sSub>
                    <m:e>
                      <m:r>
                        <m:t>F</m:t>
                      </m:r>
                    </m:e>
                    <m:sub>
                      <m:r>
                        <m:rPr>
                          <m:nor/>
                          <m:sty m:val="p"/>
                        </m:rPr>
                        <m:t>pool</m:t>
                      </m:r>
                    </m:sub>
                  </m:sSub>
                </m:num>
                <m:den>
                  <m:sSub>
                    <m:e>
                      <m:r>
                        <m:t>F</m:t>
                      </m:r>
                    </m:e>
                    <m:sub>
                      <m:r>
                        <m:rPr>
                          <m:sty m:val="p"/>
                        </m:rPr>
                        <m:t>max</m:t>
                      </m:r>
                    </m:sub>
                  </m:sSub>
                </m:den>
              </m:f>
            </m:e>
          </m:d>
          <m:r>
            <m:rPr>
              <m:sty m:val="p"/>
            </m:rPr>
            <m:t>+</m:t>
          </m:r>
          <m:sSub>
            <m:e>
              <m:r>
                <m:t>w</m:t>
              </m:r>
            </m:e>
            <m:sub>
              <m:r>
                <m:t>4</m:t>
              </m:r>
            </m:sub>
          </m:sSub>
          <m:r>
            <m:rPr>
              <m:sty m:val="p"/>
            </m:rPr>
            <m:t>⋅</m:t>
          </m:r>
          <m:r>
            <m:rPr>
              <m:sty m:val="p"/>
              <m:scr m:val="script"/>
            </m:rPr>
            <m:t>Z</m:t>
          </m:r>
          <m:d>
            <m:dPr>
              <m:begChr m:val="("/>
              <m:endChr m:val=")"/>
              <m:sepChr m:val=""/>
              <m:grow/>
            </m:dPr>
            <m:e>
              <m:r>
                <m:t>1</m:t>
              </m:r>
              <m:r>
                <m:rPr>
                  <m:sty m:val="p"/>
                </m:rPr>
                <m:t>−</m:t>
              </m:r>
              <m:sSub>
                <m:e>
                  <m:r>
                    <m:t>Γ</m:t>
                  </m:r>
                </m:e>
                <m:sub>
                  <m:r>
                    <m:rPr>
                      <m:nor/>
                      <m:sty m:val="p"/>
                    </m:rPr>
                    <m:t>CPI</m:t>
                  </m:r>
                </m:sub>
              </m:sSub>
            </m:e>
          </m:d>
        </m:oMath>
      </m:oMathPara>
    </w:p>
    <w:p>
      <w:pPr>
        <w:pStyle w:val="FirstParagraph"/>
      </w:pPr>
      <w:r>
        <w:t xml:space="preserve">其中</w:t>
      </w:r>
      <w:r>
        <w:t xml:space="preserve"> </w:t>
      </w:r>
      <m:oMath>
        <m:r>
          <m:rPr>
            <m:sty m:val="p"/>
            <m:scr m:val="script"/>
          </m:rPr>
          <m:t>Z</m:t>
        </m:r>
        <m:d>
          <m:dPr>
            <m:begChr m:val="("/>
            <m:endChr m:val=")"/>
            <m:sepChr m:val=""/>
            <m:grow/>
          </m:dPr>
          <m:e>
            <m:r>
              <m:rPr>
                <m:sty m:val="p"/>
              </m:rPr>
              <m:t>⋅</m:t>
            </m:r>
          </m:e>
        </m:d>
      </m:oMath>
      <w:r>
        <w:t xml:space="preserve"> </w:t>
      </w:r>
      <w:r>
        <w:t xml:space="preserve">为</w:t>
      </w:r>
      <w:r>
        <w:t xml:space="preserve"> </w:t>
      </w:r>
      <m:oMath>
        <m:d>
          <m:dPr>
            <m:begChr m:val="["/>
            <m:endChr m:val="]"/>
            <m:sepChr m:val=""/>
            <m:grow/>
          </m:dPr>
          <m:e>
            <m:r>
              <m:t>0</m:t>
            </m:r>
            <m:r>
              <m:rPr>
                <m:sty m:val="p"/>
              </m:rPr>
              <m:t>,</m:t>
            </m:r>
            <m:r>
              <m:t>1</m:t>
            </m:r>
          </m:e>
        </m:d>
      </m:oMath>
      <w:r>
        <w:t xml:space="preserve"> </w:t>
      </w:r>
      <w:r>
        <w:t xml:space="preserve">标准化映射，</w:t>
      </w:r>
      <m:oMath>
        <m:sSub>
          <m:e>
            <m:r>
              <m:t>w</m:t>
            </m:r>
          </m:e>
          <m:sub>
            <m:r>
              <m:t>j</m:t>
            </m:r>
          </m:sub>
        </m:sSub>
      </m:oMath>
      <w:r>
        <w:t xml:space="preserve"> </w:t>
      </w:r>
      <w:r>
        <w:t xml:space="preserve">为各维度政策优先级权重，</w:t>
      </w:r>
      <m:oMath>
        <m:r>
          <m:rPr>
            <m:sty m:val="b"/>
          </m:rPr>
          <m:t>θ</m:t>
        </m:r>
      </m:oMath>
      <w:r>
        <w:t xml:space="preserve"> </w:t>
      </w:r>
      <w:r>
        <w:t xml:space="preserve">为待优化参数向量。选取价格传导弹性系数、调控触发阈值、Sigmoid映射参数及宏观目标权重进行梯度扰动，其实验设计的理论依据在于：上述参数分别对应微观成本转嫁效率、中观行政干预频次、算法抗噪平滑能力及宏观社会福利偏好结构，严格遵循“微观市场传导→中观规则触发→算法映射降维→宏观福利统筹”的递进逻辑。该指标体系的构建为后续敏感性实验提供了可量化基准，其校准结果将直接决定各层级参数寻优的初始域与约束边界。</w:t>
      </w:r>
    </w:p>
    <w:p>
      <w:pPr>
        <w:pStyle w:val="BodyText"/>
      </w:pPr>
      <w:r>
        <w:t xml:space="preserve">针对微观价格传导弹性系数，将基准值（上行</w:t>
      </w:r>
      <w:r>
        <w:t xml:space="preserve"> </w:t>
      </w:r>
      <m:oMath>
        <m:sSup>
          <m:e>
            <m:r>
              <m:t>β</m:t>
            </m:r>
          </m:e>
          <m:sup>
            <m:r>
              <m:rPr>
                <m:sty m:val="p"/>
              </m:rPr>
              <m:t>+</m:t>
            </m:r>
          </m:sup>
        </m:sSup>
        <m:r>
          <m:rPr>
            <m:sty m:val="p"/>
          </m:rPr>
          <m:t>=</m:t>
        </m:r>
        <m:r>
          <m:t>32.40</m:t>
        </m:r>
      </m:oMath>
      <w:r>
        <w:t xml:space="preserve">，下行</w:t>
      </w:r>
      <w:r>
        <w:t xml:space="preserve"> </w:t>
      </w:r>
      <m:oMath>
        <m:sSup>
          <m:e>
            <m:r>
              <m:t>β</m:t>
            </m:r>
          </m:e>
          <m:sup>
            <m:r>
              <m:rPr>
                <m:sty m:val="p"/>
              </m:rPr>
              <m:t>−</m:t>
            </m:r>
          </m:sup>
        </m:sSup>
        <m:r>
          <m:rPr>
            <m:sty m:val="p"/>
          </m:rPr>
          <m:t>=</m:t>
        </m:r>
        <m:r>
          <m:t>19.38</m:t>
        </m:r>
      </m:oMath>
      <w:r>
        <w:t xml:space="preserve">）代入调价核心算子：</w:t>
      </w:r>
    </w:p>
    <w:p>
      <w:pPr>
        <w:pStyle w:val="BodyText"/>
      </w:pPr>
      <m:oMathPara>
        <m:oMathParaPr>
          <m:jc m:val="center"/>
        </m:oMathParaPr>
        <m:oMath>
          <m:r>
            <m:t>Δ</m:t>
          </m:r>
          <m:sSubSup>
            <m:e>
              <m:r>
                <m:t>D</m:t>
              </m:r>
            </m:e>
            <m:sub>
              <m:r>
                <m:t>t</m:t>
              </m:r>
            </m:sub>
            <m:sup>
              <m:r>
                <m:rPr>
                  <m:nor/>
                  <m:sty m:val="p"/>
                </m:rPr>
                <m:t>theo</m:t>
              </m:r>
            </m:sup>
          </m:sSubSup>
          <m:r>
            <m:rPr>
              <m:sty m:val="p"/>
            </m:rPr>
            <m:t>=</m:t>
          </m:r>
          <m:sSup>
            <m:e>
              <m:r>
                <m:t>β</m:t>
              </m:r>
            </m:e>
            <m:sup>
              <m:r>
                <m:rPr>
                  <m:sty m:val="p"/>
                </m:rPr>
                <m:t>±</m:t>
              </m:r>
            </m:sup>
          </m:sSup>
          <m:r>
            <m:t>Δ</m:t>
          </m:r>
          <m:sSub>
            <m:e>
              <m:acc>
                <m:accPr>
                  <m:chr m:val="‾"/>
                </m:accPr>
                <m:e>
                  <m:r>
                    <m:t>P</m:t>
                  </m:r>
                </m:e>
              </m:acc>
            </m:e>
            <m:sub>
              <m:r>
                <m:t>t</m:t>
              </m:r>
            </m:sub>
          </m:sSub>
          <m:r>
            <m:rPr>
              <m:sty m:val="p"/>
            </m:rPr>
            <m:t>+</m:t>
          </m:r>
          <m:sSub>
            <m:e>
              <m:r>
                <m:t>ε</m:t>
              </m:r>
            </m:e>
            <m:sub>
              <m:r>
                <m:t>t</m:t>
              </m:r>
            </m:sub>
          </m:sSub>
        </m:oMath>
      </m:oMathPara>
    </w:p>
    <w:p>
      <w:pPr>
        <w:pStyle w:val="FirstParagraph"/>
      </w:pPr>
      <w:r>
        <w:t xml:space="preserve">施加</w:t>
      </w:r>
      <w:r>
        <w:t xml:space="preserve"> </w:t>
      </w:r>
      <m:oMath>
        <m:r>
          <m:rPr>
            <m:sty m:val="p"/>
          </m:rPr>
          <m:t>±</m:t>
        </m:r>
        <m:r>
          <m:t>5</m:t>
        </m:r>
        <m:r>
          <m:rPr>
            <m:sty m:val="p"/>
          </m:rPr>
          <m:t>%</m:t>
        </m:r>
      </m:oMath>
      <w:r>
        <w:t xml:space="preserve">、</w:t>
      </w:r>
      <m:oMath>
        <m:r>
          <m:rPr>
            <m:sty m:val="p"/>
          </m:rPr>
          <m:t>±</m:t>
        </m:r>
        <m:r>
          <m:t>10</m:t>
        </m:r>
        <m:r>
          <m:rPr>
            <m:sty m:val="p"/>
          </m:rPr>
          <m:t>%</m:t>
        </m:r>
      </m:oMath>
      <w:r>
        <w:t xml:space="preserve">、</w:t>
      </w:r>
      <m:oMath>
        <m:r>
          <m:rPr>
            <m:sty m:val="p"/>
          </m:rPr>
          <m:t>±</m:t>
        </m:r>
        <m:r>
          <m:t>20</m:t>
        </m:r>
        <m:r>
          <m:rPr>
            <m:sty m:val="p"/>
          </m:rPr>
          <m:t>%</m:t>
        </m:r>
      </m:oMath>
      <w:r>
        <w:t xml:space="preserve"> </w:t>
      </w:r>
      <w:r>
        <w:t xml:space="preserve">梯度单变量扰动，量化其对仿真期 RMSE（基准</w:t>
      </w:r>
      <w:r>
        <w:t xml:space="preserve"> </w:t>
      </w:r>
      <m:oMath>
        <m:r>
          <m:t>63.75</m:t>
        </m:r>
      </m:oMath>
      <w:r>
        <w:t xml:space="preserve">）的边际影响。</w:t>
      </w:r>
      <m:oMath>
        <m:sSup>
          <m:e>
            <m:r>
              <m:t>β</m:t>
            </m:r>
          </m:e>
          <m:sup>
            <m:r>
              <m:rPr>
                <m:sty m:val="p"/>
              </m:rPr>
              <m:t>+</m:t>
            </m:r>
          </m:sup>
        </m:sSup>
      </m:oMath>
      <w:r>
        <w:t xml:space="preserve"> </w:t>
      </w:r>
      <w:r>
        <w:t xml:space="preserve">下调</w:t>
      </w:r>
      <w:r>
        <w:t xml:space="preserve"> </w:t>
      </w:r>
      <m:oMath>
        <m:r>
          <m:t>10</m:t>
        </m:r>
        <m:r>
          <m:rPr>
            <m:sty m:val="p"/>
          </m:rPr>
          <m:t>%</m:t>
        </m:r>
      </m:oMath>
      <w:r>
        <w:t xml:space="preserve"> </w:t>
      </w:r>
      <w:r>
        <w:t xml:space="preserve">至</w:t>
      </w:r>
      <w:r>
        <w:t xml:space="preserve"> </w:t>
      </w:r>
      <m:oMath>
        <m:r>
          <m:t>29.16</m:t>
        </m:r>
      </m:oMath>
      <w:r>
        <w:t xml:space="preserve"> </w:t>
      </w:r>
      <w:r>
        <w:t xml:space="preserve">时，RMSE 攀升至</w:t>
      </w:r>
      <w:r>
        <w:t xml:space="preserve"> </w:t>
      </w:r>
      <m:oMath>
        <m:r>
          <m:t>71.28</m:t>
        </m:r>
      </m:oMath>
      <w:r>
        <w:t xml:space="preserve">（</w:t>
      </w:r>
      <m:oMath>
        <m:r>
          <m:rPr>
            <m:sty m:val="p"/>
          </m:rPr>
          <m:t>+</m:t>
        </m:r>
        <m:r>
          <m:t>11.81</m:t>
        </m:r>
        <m:r>
          <m:rPr>
            <m:sty m:val="p"/>
          </m:rPr>
          <m:t>%</m:t>
        </m:r>
      </m:oMath>
      <w:r>
        <w:t xml:space="preserve">）；而</w:t>
      </w:r>
      <w:r>
        <w:t xml:space="preserve"> </w:t>
      </w:r>
      <m:oMath>
        <m:sSup>
          <m:e>
            <m:r>
              <m:t>β</m:t>
            </m:r>
          </m:e>
          <m:sup>
            <m:r>
              <m:rPr>
                <m:sty m:val="p"/>
              </m:rPr>
              <m:t>−</m:t>
            </m:r>
          </m:sup>
        </m:sSup>
      </m:oMath>
      <w:r>
        <w:t xml:space="preserve"> </w:t>
      </w:r>
      <w:r>
        <w:t xml:space="preserve">上调同等幅度仅使 RMSE 增至</w:t>
      </w:r>
      <w:r>
        <w:t xml:space="preserve"> </w:t>
      </w:r>
      <m:oMath>
        <m:r>
          <m:t>65.94</m:t>
        </m:r>
      </m:oMath>
      <w:r>
        <w:t xml:space="preserve">（</w:t>
      </w:r>
      <m:oMath>
        <m:r>
          <m:rPr>
            <m:sty m:val="p"/>
          </m:rPr>
          <m:t>+</m:t>
        </m:r>
        <m:r>
          <m:t>3.43</m:t>
        </m:r>
        <m:r>
          <m:rPr>
            <m:sty m:val="p"/>
          </m:rPr>
          <m:t>%</m:t>
        </m:r>
      </m:oMath>
      <w:r>
        <w:t xml:space="preserve">）。该非对称敏感性分布严格验证了“成本向下刚性”假设的数值稳健性，表明定价系统对正向输入冲击的传导路径具备更高弹性敏感度，负向参数漂移未引发模型失稳。弹性系数的边界识别不仅修正了理论调价算子的线性假设偏差，其输出的非对称传导速率约束将直接作为中观缓冲池累积方程的输入参数，确保后续阈值设定与市场实际摩擦成本相匹配。</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w:r>
              <w:t xml:space="preserve">扰动幅度</w:t>
            </w:r>
          </w:p>
        </w:tc>
        <w:tc>
          <w:tcPr/>
          <w:p>
            <w:pPr>
              <w:pStyle w:val="Compact"/>
              <w:jc w:val="center"/>
            </w:pPr>
            <m:oMath>
              <m:sSup>
                <m:e>
                  <m:r>
                    <m:t>β</m:t>
                  </m:r>
                </m:e>
                <m:sup>
                  <m:r>
                    <m:rPr>
                      <m:sty m:val="p"/>
                    </m:rPr>
                    <m:t>+</m:t>
                  </m:r>
                </m:sup>
              </m:sSup>
            </m:oMath>
            <w:r>
              <w:t xml:space="preserve">扰动后值</w:t>
            </w:r>
          </w:p>
        </w:tc>
        <w:tc>
          <w:tcPr/>
          <w:p>
            <w:pPr>
              <w:pStyle w:val="Compact"/>
              <w:jc w:val="center"/>
            </w:pPr>
            <w:r>
              <w:t xml:space="preserve">RMSE</w:t>
            </w:r>
          </w:p>
        </w:tc>
        <w:tc>
          <w:tcPr/>
          <w:p>
            <w:pPr>
              <w:pStyle w:val="Compact"/>
              <w:jc w:val="center"/>
            </w:pPr>
            <w:r>
              <w:t xml:space="preserve">扰动幅度</w:t>
            </w:r>
          </w:p>
        </w:tc>
        <w:tc>
          <w:tcPr/>
          <w:p>
            <w:pPr>
              <w:pStyle w:val="Compact"/>
              <w:jc w:val="center"/>
            </w:pPr>
            <m:oMath>
              <m:sSup>
                <m:e>
                  <m:r>
                    <m:t>β</m:t>
                  </m:r>
                </m:e>
                <m:sup>
                  <m:r>
                    <m:rPr>
                      <m:sty m:val="p"/>
                    </m:rPr>
                    <m:t>−</m:t>
                  </m:r>
                </m:sup>
              </m:sSup>
            </m:oMath>
            <w:r>
              <w:t xml:space="preserve">扰动后值</w:t>
            </w:r>
          </w:p>
        </w:tc>
        <w:tc>
          <w:tcPr/>
          <w:p>
            <w:pPr>
              <w:pStyle w:val="Compact"/>
              <w:jc w:val="center"/>
            </w:pPr>
            <w:r>
              <w:t xml:space="preserve">RMSE</w:t>
            </w:r>
          </w:p>
        </w:tc>
      </w:tr>
      <w:tr>
        <w:tc>
          <w:tcPr/>
          <w:p>
            <w:pPr>
              <w:pStyle w:val="Compact"/>
              <w:jc w:val="center"/>
            </w:pPr>
            <w:r>
              <w:t xml:space="preserve">-20%</w:t>
            </w:r>
          </w:p>
        </w:tc>
        <w:tc>
          <w:tcPr/>
          <w:p>
            <w:pPr>
              <w:pStyle w:val="Compact"/>
              <w:jc w:val="center"/>
            </w:pPr>
            <w:r>
              <w:t xml:space="preserve">25.92</w:t>
            </w:r>
          </w:p>
        </w:tc>
        <w:tc>
          <w:tcPr/>
          <w:p>
            <w:pPr>
              <w:pStyle w:val="Compact"/>
              <w:jc w:val="center"/>
            </w:pPr>
            <w:r>
              <w:t xml:space="preserve">78.41</w:t>
            </w:r>
          </w:p>
        </w:tc>
        <w:tc>
          <w:tcPr/>
          <w:p>
            <w:pPr>
              <w:pStyle w:val="Compact"/>
              <w:jc w:val="center"/>
            </w:pPr>
            <w:r>
              <w:t xml:space="preserve">+20%</w:t>
            </w:r>
          </w:p>
        </w:tc>
        <w:tc>
          <w:tcPr/>
          <w:p>
            <w:pPr>
              <w:pStyle w:val="Compact"/>
              <w:jc w:val="center"/>
            </w:pPr>
            <w:r>
              <w:t xml:space="preserve">23.26</w:t>
            </w:r>
          </w:p>
        </w:tc>
        <w:tc>
          <w:tcPr/>
          <w:p>
            <w:pPr>
              <w:pStyle w:val="Compact"/>
              <w:jc w:val="center"/>
            </w:pPr>
            <w:r>
              <w:t xml:space="preserve">68.12</w:t>
            </w:r>
          </w:p>
        </w:tc>
      </w:tr>
      <w:tr>
        <w:tc>
          <w:tcPr/>
          <w:p>
            <w:pPr>
              <w:pStyle w:val="Compact"/>
              <w:jc w:val="center"/>
            </w:pPr>
            <w:r>
              <w:t xml:space="preserve">-10%</w:t>
            </w:r>
          </w:p>
        </w:tc>
        <w:tc>
          <w:tcPr/>
          <w:p>
            <w:pPr>
              <w:pStyle w:val="Compact"/>
              <w:jc w:val="center"/>
            </w:pPr>
            <w:r>
              <w:t xml:space="preserve">29.16</w:t>
            </w:r>
          </w:p>
        </w:tc>
        <w:tc>
          <w:tcPr/>
          <w:p>
            <w:pPr>
              <w:pStyle w:val="Compact"/>
              <w:jc w:val="center"/>
            </w:pPr>
            <w:r>
              <w:t xml:space="preserve">71.28</w:t>
            </w:r>
          </w:p>
        </w:tc>
        <w:tc>
          <w:tcPr/>
          <w:p>
            <w:pPr>
              <w:pStyle w:val="Compact"/>
              <w:jc w:val="center"/>
            </w:pPr>
            <w:r>
              <w:t xml:space="preserve">+10%</w:t>
            </w:r>
          </w:p>
        </w:tc>
        <w:tc>
          <w:tcPr/>
          <w:p>
            <w:pPr>
              <w:pStyle w:val="Compact"/>
              <w:jc w:val="center"/>
            </w:pPr>
            <w:r>
              <w:t xml:space="preserve">21.32</w:t>
            </w:r>
          </w:p>
        </w:tc>
        <w:tc>
          <w:tcPr/>
          <w:p>
            <w:pPr>
              <w:pStyle w:val="Compact"/>
              <w:jc w:val="center"/>
            </w:pPr>
            <w:r>
              <w:t xml:space="preserve">65.94</w:t>
            </w:r>
          </w:p>
        </w:tc>
      </w:tr>
      <w:tr>
        <w:tc>
          <w:tcPr/>
          <w:p>
            <w:pPr>
              <w:pStyle w:val="Compact"/>
              <w:jc w:val="center"/>
            </w:pPr>
            <w:r>
              <w:t xml:space="preserve">-5%</w:t>
            </w:r>
          </w:p>
        </w:tc>
        <w:tc>
          <w:tcPr/>
          <w:p>
            <w:pPr>
              <w:pStyle w:val="Compact"/>
              <w:jc w:val="center"/>
            </w:pPr>
            <w:r>
              <w:t xml:space="preserve">30.78</w:t>
            </w:r>
          </w:p>
        </w:tc>
        <w:tc>
          <w:tcPr/>
          <w:p>
            <w:pPr>
              <w:pStyle w:val="Compact"/>
              <w:jc w:val="center"/>
            </w:pPr>
            <w:r>
              <w:t xml:space="preserve">67.52</w:t>
            </w:r>
          </w:p>
        </w:tc>
        <w:tc>
          <w:tcPr/>
          <w:p>
            <w:pPr>
              <w:pStyle w:val="Compact"/>
              <w:jc w:val="center"/>
            </w:pPr>
            <w:r>
              <w:t xml:space="preserve">+5%</w:t>
            </w:r>
          </w:p>
        </w:tc>
        <w:tc>
          <w:tcPr/>
          <w:p>
            <w:pPr>
              <w:pStyle w:val="Compact"/>
              <w:jc w:val="center"/>
            </w:pPr>
            <w:r>
              <w:t xml:space="preserve">20.35</w:t>
            </w:r>
          </w:p>
        </w:tc>
        <w:tc>
          <w:tcPr/>
          <w:p>
            <w:pPr>
              <w:pStyle w:val="Compact"/>
              <w:jc w:val="center"/>
            </w:pPr>
            <w:r>
              <w:t xml:space="preserve">64.89</w:t>
            </w:r>
          </w:p>
        </w:tc>
      </w:tr>
      <w:tr>
        <w:tc>
          <w:tcPr/>
          <w:p>
            <w:pPr>
              <w:pStyle w:val="Compact"/>
              <w:jc w:val="center"/>
            </w:pPr>
            <w:r>
              <w:t xml:space="preserve">+5%</w:t>
            </w:r>
          </w:p>
        </w:tc>
        <w:tc>
          <w:tcPr/>
          <w:p>
            <w:pPr>
              <w:pStyle w:val="Compact"/>
              <w:jc w:val="center"/>
            </w:pPr>
            <w:r>
              <w:t xml:space="preserve">34.02</w:t>
            </w:r>
          </w:p>
        </w:tc>
        <w:tc>
          <w:tcPr/>
          <w:p>
            <w:pPr>
              <w:pStyle w:val="Compact"/>
              <w:jc w:val="center"/>
            </w:pPr>
            <w:r>
              <w:t xml:space="preserve">66.84</w:t>
            </w:r>
          </w:p>
        </w:tc>
        <w:tc>
          <w:tcPr/>
          <w:p>
            <w:pPr>
              <w:pStyle w:val="Compact"/>
              <w:jc w:val="center"/>
            </w:pPr>
            <w:r>
              <w:t xml:space="preserve">-5%</w:t>
            </w:r>
          </w:p>
        </w:tc>
        <w:tc>
          <w:tcPr/>
          <w:p>
            <w:pPr>
              <w:pStyle w:val="Compact"/>
              <w:jc w:val="center"/>
            </w:pPr>
            <w:r>
              <w:t xml:space="preserve">18.41</w:t>
            </w:r>
          </w:p>
        </w:tc>
        <w:tc>
          <w:tcPr/>
          <w:p>
            <w:pPr>
              <w:pStyle w:val="Compact"/>
              <w:jc w:val="center"/>
            </w:pPr>
            <w:r>
              <w:t xml:space="preserve">64.11</w:t>
            </w:r>
          </w:p>
        </w:tc>
      </w:tr>
      <w:tr>
        <w:tc>
          <w:tcPr/>
          <w:p>
            <w:pPr>
              <w:pStyle w:val="Compact"/>
              <w:jc w:val="center"/>
            </w:pPr>
            <w:r>
              <w:t xml:space="preserve">+10%</w:t>
            </w:r>
          </w:p>
        </w:tc>
        <w:tc>
          <w:tcPr/>
          <w:p>
            <w:pPr>
              <w:pStyle w:val="Compact"/>
              <w:jc w:val="center"/>
            </w:pPr>
            <w:r>
              <w:t xml:space="preserve">35.64</w:t>
            </w:r>
          </w:p>
        </w:tc>
        <w:tc>
          <w:tcPr/>
          <w:p>
            <w:pPr>
              <w:pStyle w:val="Compact"/>
              <w:jc w:val="center"/>
            </w:pPr>
            <w:r>
              <w:t xml:space="preserve">70.15</w:t>
            </w:r>
          </w:p>
        </w:tc>
        <w:tc>
          <w:tcPr/>
          <w:p>
            <w:pPr>
              <w:pStyle w:val="Compact"/>
              <w:jc w:val="center"/>
            </w:pPr>
            <w:r>
              <w:t xml:space="preserve">-10%</w:t>
            </w:r>
          </w:p>
        </w:tc>
        <w:tc>
          <w:tcPr/>
          <w:p>
            <w:pPr>
              <w:pStyle w:val="Compact"/>
              <w:jc w:val="center"/>
            </w:pPr>
            <w:r>
              <w:t xml:space="preserve">17.44</w:t>
            </w:r>
          </w:p>
        </w:tc>
        <w:tc>
          <w:tcPr/>
          <w:p>
            <w:pPr>
              <w:pStyle w:val="Compact"/>
              <w:jc w:val="center"/>
            </w:pPr>
            <w:r>
              <w:t xml:space="preserve">65.03</w:t>
            </w:r>
          </w:p>
        </w:tc>
      </w:tr>
      <w:tr>
        <w:tc>
          <w:tcPr/>
          <w:p>
            <w:pPr>
              <w:pStyle w:val="Compact"/>
              <w:jc w:val="center"/>
            </w:pPr>
            <w:r>
              <w:t xml:space="preserve">+20%</w:t>
            </w:r>
          </w:p>
        </w:tc>
        <w:tc>
          <w:tcPr/>
          <w:p>
            <w:pPr>
              <w:pStyle w:val="Compact"/>
              <w:jc w:val="center"/>
            </w:pPr>
            <w:r>
              <w:t xml:space="preserve">38.88</w:t>
            </w:r>
          </w:p>
        </w:tc>
        <w:tc>
          <w:tcPr/>
          <w:p>
            <w:pPr>
              <w:pStyle w:val="Compact"/>
              <w:jc w:val="center"/>
            </w:pPr>
            <w:r>
              <w:t xml:space="preserve">76.33</w:t>
            </w:r>
          </w:p>
        </w:tc>
        <w:tc>
          <w:tcPr/>
          <w:p>
            <w:pPr>
              <w:pStyle w:val="Compact"/>
              <w:jc w:val="center"/>
            </w:pPr>
            <w:r>
              <w:t xml:space="preserve">-20%</w:t>
            </w:r>
          </w:p>
        </w:tc>
        <w:tc>
          <w:tcPr/>
          <w:p>
            <w:pPr>
              <w:pStyle w:val="Compact"/>
              <w:jc w:val="center"/>
            </w:pPr>
            <w:r>
              <w:t xml:space="preserve">15.50</w:t>
            </w:r>
          </w:p>
        </w:tc>
        <w:tc>
          <w:tcPr/>
          <w:p>
            <w:pPr>
              <w:pStyle w:val="Compact"/>
              <w:jc w:val="center"/>
            </w:pPr>
            <w:r>
              <w:t xml:space="preserve">67.88</w:t>
            </w:r>
          </w:p>
        </w:tc>
      </w:tr>
    </w:tbl>
    <w:p>
      <w:pPr>
        <w:pStyle w:val="BodyText"/>
      </w:pPr>
      <w:r>
        <w:t xml:space="preserve">基于微观传导速率的校准，分析逻辑自然递进至中观调控阈值的寻优。依据缓冲池动态累积状态方程</w:t>
      </w:r>
      <w:r>
        <w:t xml:space="preserve"> </w:t>
      </w:r>
      <m:oMath>
        <m:sSub>
          <m:e>
            <m:r>
              <m:t>B</m:t>
            </m:r>
          </m:e>
          <m:sub>
            <m:r>
              <m:t>t</m:t>
            </m:r>
          </m:sub>
        </m:sSub>
        <m:r>
          <m:rPr>
            <m:sty m:val="p"/>
          </m:rPr>
          <m:t>=</m:t>
        </m:r>
        <m:sSub>
          <m:e>
            <m:r>
              <m:t>B</m:t>
            </m:r>
          </m:e>
          <m:sub>
            <m:r>
              <m:t>t</m:t>
            </m:r>
            <m:r>
              <m:rPr>
                <m:sty m:val="p"/>
              </m:rPr>
              <m:t>−</m:t>
            </m:r>
            <m:r>
              <m:t>1</m:t>
            </m:r>
          </m:sub>
        </m:sSub>
        <m:r>
          <m:rPr>
            <m:sty m:val="p"/>
          </m:rPr>
          <m:t>+</m:t>
        </m:r>
        <m:r>
          <m:t>Δ</m:t>
        </m:r>
        <m:sSubSup>
          <m:e>
            <m:r>
              <m:t>D</m:t>
            </m:r>
          </m:e>
          <m:sub>
            <m:r>
              <m:t>t</m:t>
            </m:r>
          </m:sub>
          <m:sup>
            <m:r>
              <m:rPr>
                <m:nor/>
                <m:sty m:val="p"/>
              </m:rPr>
              <m:t>theo</m:t>
            </m:r>
          </m:sup>
        </m:sSubSup>
        <m:r>
          <m:rPr>
            <m:sty m:val="p"/>
          </m:rPr>
          <m:t>−</m:t>
        </m:r>
        <m:r>
          <m:t>Δ</m:t>
        </m:r>
        <m:sSubSup>
          <m:e>
            <m:r>
              <m:t>D</m:t>
            </m:r>
          </m:e>
          <m:sub>
            <m:r>
              <m:t>t</m:t>
            </m:r>
          </m:sub>
          <m:sup>
            <m:r>
              <m:rPr>
                <m:nor/>
                <m:sty m:val="p"/>
              </m:rPr>
              <m:t>act</m:t>
            </m:r>
          </m:sup>
        </m:sSubSup>
      </m:oMath>
      <w:r>
        <w:t xml:space="preserve"> </w:t>
      </w:r>
      <w:r>
        <w:t xml:space="preserve">(4)，对触发阈值开展步长扫描。综合评分（基准</w:t>
      </w:r>
      <w:r>
        <w:t xml:space="preserve"> </w:t>
      </w:r>
      <m:oMath>
        <m:r>
          <m:t>4.25</m:t>
        </m:r>
      </m:oMath>
      <w:r>
        <w:t xml:space="preserve">）随阈值变动呈现非单调响应：阈值压缩至</w:t>
      </w:r>
      <w:r>
        <w:t xml:space="preserve"> </w:t>
      </w:r>
      <m:oMath>
        <m:r>
          <m:t>30</m:t>
        </m:r>
      </m:oMath>
      <w:r>
        <w:t xml:space="preserve"> </w:t>
      </w:r>
      <w:r>
        <w:t xml:space="preserve">元/吨时，高频调价导致跨期财政补贴压力指数级放大，评分降至</w:t>
      </w:r>
      <w:r>
        <w:t xml:space="preserve"> </w:t>
      </w:r>
      <m:oMath>
        <m:r>
          <m:t>3.82</m:t>
        </m:r>
      </m:oMath>
      <w:r>
        <w:t xml:space="preserve">；阈值放宽至</w:t>
      </w:r>
      <w:r>
        <w:t xml:space="preserve"> </w:t>
      </w:r>
      <m:oMath>
        <m:r>
          <m:t>55</m:t>
        </m:r>
      </m:oMath>
      <w:r>
        <w:t xml:space="preserve"> </w:t>
      </w:r>
      <w:r>
        <w:t xml:space="preserve">元/吨时，价格轨迹平滑度恶化引发通胀预期脱锚，评分滑落至</w:t>
      </w:r>
      <w:r>
        <w:t xml:space="preserve"> </w:t>
      </w:r>
      <m:oMath>
        <m:r>
          <m:t>3.91</m:t>
        </m:r>
      </m:oMath>
      <w:r>
        <w:t xml:space="preserve">。需严谨指出，原始窄域扫描（</w:t>
      </w:r>
      <m:oMath>
        <m:r>
          <m:t>35</m:t>
        </m:r>
        <m:r>
          <m:rPr>
            <m:sty m:val="p"/>
          </m:rPr>
          <m:t>∼</m:t>
        </m:r>
        <m:r>
          <m:t>45</m:t>
        </m:r>
      </m:oMath>
      <w:r>
        <w:t xml:space="preserve">）内评分波动仅</w:t>
      </w:r>
      <w:r>
        <w:t xml:space="preserve"> </w:t>
      </w:r>
      <m:oMath>
        <m:r>
          <m:t>0.13</m:t>
        </m:r>
      </m:oMath>
      <w:r>
        <w:t xml:space="preserve">，定性为“显著倒U型”易产生量级误判。为此，本文扩展扫描区间至</w:t>
      </w:r>
      <w:r>
        <w:t xml:space="preserve"> </w:t>
      </w:r>
      <m:oMath>
        <m:d>
          <m:dPr>
            <m:begChr m:val="["/>
            <m:endChr m:val="]"/>
            <m:sepChr m:val=""/>
            <m:grow/>
          </m:dPr>
          <m:e>
            <m:r>
              <m:t>20</m:t>
            </m:r>
            <m:r>
              <m:rPr>
                <m:sty m:val="p"/>
              </m:rPr>
              <m:t>,</m:t>
            </m:r>
            <m:r>
              <m:t>70</m:t>
            </m:r>
          </m:e>
        </m:d>
      </m:oMath>
      <w:r>
        <w:t xml:space="preserve"> </w:t>
      </w:r>
      <w:r>
        <w:t xml:space="preserve">元/吨，结合二次样条插值拟合后确认，全局极值点精确收敛于</w:t>
      </w:r>
      <w:r>
        <w:t xml:space="preserve"> </w:t>
      </w:r>
      <m:oMath>
        <m:r>
          <m:t>38.5</m:t>
        </m:r>
      </m:oMath>
      <w:r>
        <w:t xml:space="preserve"> </w:t>
      </w:r>
      <w:r>
        <w:t xml:space="preserve">元/吨，峰值评分为</w:t>
      </w:r>
      <w:r>
        <w:t xml:space="preserve"> </w:t>
      </w:r>
      <m:oMath>
        <m:r>
          <m:t>4.31</m:t>
        </m:r>
      </m:oMath>
      <w:r>
        <w:t xml:space="preserve">，且在</w:t>
      </w:r>
      <w:r>
        <w:t xml:space="preserve"> </w:t>
      </w:r>
      <m:oMath>
        <m:d>
          <m:dPr>
            <m:begChr m:val="["/>
            <m:endChr m:val="]"/>
            <m:sepChr m:val=""/>
            <m:grow/>
          </m:dPr>
          <m:e>
            <m:r>
              <m:t>34</m:t>
            </m:r>
            <m:r>
              <m:rPr>
                <m:sty m:val="p"/>
              </m:rPr>
              <m:t>,</m:t>
            </m:r>
            <m:r>
              <m:t>44</m:t>
            </m:r>
          </m:e>
        </m:d>
      </m:oMath>
      <w:r>
        <w:t xml:space="preserve"> </w:t>
      </w:r>
      <w:r>
        <w:t xml:space="preserve">区间内评分稳定维持在</w:t>
      </w:r>
      <w:r>
        <w:t xml:space="preserve"> </w:t>
      </w:r>
      <m:oMath>
        <m:r>
          <m:t>4.20</m:t>
        </m:r>
      </m:oMath>
      <w:r>
        <w:t xml:space="preserve"> </w:t>
      </w:r>
      <w:r>
        <w:t xml:space="preserve">以上，呈现典型的平顶缓降型（Plateau-U）结构。该区间实现了调价平滑度与跨期财政负担的帕累托均衡，其边界值将直接作为Sigmoid软触发机制的中心偏置参数</w:t>
      </w:r>
      <w:r>
        <w:t xml:space="preserve"> </w:t>
      </w:r>
      <m:oMath>
        <m:sSub>
          <m:e>
            <m:r>
              <m:t>x</m:t>
            </m:r>
          </m:e>
          <m:sub>
            <m:r>
              <m:t>0</m:t>
            </m:r>
          </m:sub>
        </m:sSub>
      </m:oMath>
      <w:r>
        <w:t xml:space="preserve">，完成中观行政规则向连续算法逻辑的无缝映射。</w:t>
      </w:r>
    </w:p>
    <w:p>
      <w:pPr>
        <w:pStyle w:val="BodyText"/>
      </w:pPr>
      <w:r>
        <w:t xml:space="preserve">中观阈值的确定进一步引导分析向算法层面的参数耦合延伸。针对Sigmoid软触发映射</w:t>
      </w:r>
      <w:r>
        <w:t xml:space="preserve"> </w:t>
      </w:r>
      <m:oMath>
        <m:r>
          <m:t>σ</m:t>
        </m:r>
        <m:d>
          <m:dPr>
            <m:begChr m:val="("/>
            <m:endChr m:val=")"/>
            <m:sepChr m:val=""/>
            <m:grow/>
          </m:dPr>
          <m:e>
            <m:r>
              <m:t>x</m:t>
            </m:r>
          </m:e>
        </m:d>
        <m:r>
          <m:rPr>
            <m:sty m:val="p"/>
          </m:rPr>
          <m:t>=</m:t>
        </m:r>
        <m:f>
          <m:fPr>
            <m:type m:val="bar"/>
          </m:fPr>
          <m:num>
            <m:r>
              <m:t>1</m:t>
            </m:r>
          </m:num>
          <m:den>
            <m:r>
              <m:t>1</m:t>
            </m:r>
            <m:r>
              <m:rPr>
                <m:sty m:val="p"/>
              </m:rPr>
              <m:t>+</m:t>
            </m:r>
            <m:sSup>
              <m:e>
                <m:r>
                  <m:t>e</m:t>
                </m:r>
              </m:e>
              <m:sup>
                <m:r>
                  <m:rPr>
                    <m:sty m:val="p"/>
                  </m:rPr>
                  <m:t>−</m:t>
                </m:r>
                <m:r>
                  <m:t>k</m:t>
                </m:r>
                <m:d>
                  <m:dPr>
                    <m:begChr m:val="("/>
                    <m:endChr m:val=")"/>
                    <m:sepChr m:val=""/>
                    <m:grow/>
                  </m:dPr>
                  <m:e>
                    <m:r>
                      <m:t>x</m:t>
                    </m:r>
                    <m:r>
                      <m:rPr>
                        <m:sty m:val="p"/>
                      </m:rPr>
                      <m:t>−</m:t>
                    </m:r>
                    <m:sSub>
                      <m:e>
                        <m:r>
                          <m:t>x</m:t>
                        </m:r>
                      </m:e>
                      <m:sub>
                        <m:r>
                          <m:t>0</m:t>
                        </m:r>
                      </m:sub>
                    </m:sSub>
                  </m:e>
                </m:d>
              </m:sup>
            </m:sSup>
          </m:den>
        </m:f>
      </m:oMath>
      <w:r>
        <w:t xml:space="preserve"> </w:t>
      </w:r>
      <w:r>
        <w:t xml:space="preserve">(5)，联合测试陡峭系数</w:t>
      </w:r>
      <w:r>
        <w:t xml:space="preserve"> </w:t>
      </w:r>
      <m:oMath>
        <m:r>
          <m:t>k</m:t>
        </m:r>
      </m:oMath>
      <w:r>
        <w:t xml:space="preserve"> </w:t>
      </w:r>
      <w:r>
        <w:t xml:space="preserve">与滚动窗口跨度</w:t>
      </w:r>
      <w:r>
        <w:t xml:space="preserve"> </w:t>
      </w:r>
      <m:oMath>
        <m:r>
          <m:t>W</m:t>
        </m:r>
      </m:oMath>
      <w:r>
        <w:t xml:space="preserve">。百期滚动仿真平均偏差（基准</w:t>
      </w:r>
      <w:r>
        <w:t xml:space="preserve"> </w:t>
      </w:r>
      <m:oMath>
        <m:r>
          <m:rPr>
            <m:sty m:val="p"/>
          </m:rPr>
          <m:t>−</m:t>
        </m:r>
        <m:r>
          <m:t>33.71</m:t>
        </m:r>
      </m:oMath>
      <w:r>
        <w:t xml:space="preserve">）的漂移轨迹如表2所示。当</w:t>
      </w:r>
      <w:r>
        <w:t xml:space="preserve"> </w:t>
      </w:r>
      <m:oMath>
        <m:r>
          <m:t>k</m:t>
        </m:r>
        <m:r>
          <m:rPr>
            <m:sty m:val="p"/>
          </m:rPr>
          <m:t>&gt;</m:t>
        </m:r>
        <m:r>
          <m:t>0.20</m:t>
        </m:r>
      </m:oMath>
      <w:r>
        <w:t xml:space="preserve"> </w:t>
      </w:r>
      <w:r>
        <w:t xml:space="preserve">且</w:t>
      </w:r>
      <w:r>
        <w:t xml:space="preserve"> </w:t>
      </w:r>
      <m:oMath>
        <m:r>
          <m:t>W</m:t>
        </m:r>
        <m:r>
          <m:rPr>
            <m:sty m:val="p"/>
          </m:rPr>
          <m:t>&lt;</m:t>
        </m:r>
        <m:r>
          <m:t>18</m:t>
        </m:r>
      </m:oMath>
      <w:r>
        <w:t xml:space="preserve"> </w:t>
      </w:r>
      <w:r>
        <w:t xml:space="preserve">时，偏差绝对值骤增至</w:t>
      </w:r>
      <w:r>
        <w:t xml:space="preserve"> </w:t>
      </w:r>
      <m:oMath>
        <m:r>
          <m:rPr>
            <m:sty m:val="p"/>
          </m:rPr>
          <m:t>−</m:t>
        </m:r>
        <m:r>
          <m:t>41.33</m:t>
        </m:r>
      </m:oMath>
      <w:r>
        <w:t xml:space="preserve">，策略对历史噪声过度响应，呈现典型过拟合；而</w:t>
      </w:r>
      <w:r>
        <w:t xml:space="preserve"> </w:t>
      </w:r>
      <m:oMath>
        <m:r>
          <m:t>k</m:t>
        </m:r>
        <m:r>
          <m:rPr>
            <m:sty m:val="p"/>
          </m:rPr>
          <m:t>∈</m:t>
        </m:r>
        <m:d>
          <m:dPr>
            <m:begChr m:val="["/>
            <m:endChr m:val="]"/>
            <m:sepChr m:val=""/>
            <m:grow/>
          </m:dPr>
          <m:e>
            <m:r>
              <m:t>0.10</m:t>
            </m:r>
            <m:r>
              <m:rPr>
                <m:sty m:val="p"/>
              </m:rPr>
              <m:t>,</m:t>
            </m:r>
            <m:r>
              <m:t>0.15</m:t>
            </m:r>
          </m:e>
        </m:d>
      </m:oMath>
      <w:r>
        <w:t xml:space="preserve"> </w:t>
      </w:r>
      <w:r>
        <w:t xml:space="preserve">配合基准窗口</w:t>
      </w:r>
      <w:r>
        <w:t xml:space="preserve"> </w:t>
      </w:r>
      <m:oMath>
        <m:r>
          <m:t>W</m:t>
        </m:r>
        <m:r>
          <m:rPr>
            <m:sty m:val="p"/>
          </m:rPr>
          <m:t>=</m:t>
        </m:r>
        <m:r>
          <m:t>21</m:t>
        </m:r>
      </m:oMath>
      <w:r>
        <w:t xml:space="preserve"> </w:t>
      </w:r>
      <w:r>
        <w:t xml:space="preserve">时，尾部极端油价冲击下的策略衰减率严格控制在</w:t>
      </w:r>
      <w:r>
        <w:t xml:space="preserve"> </w:t>
      </w:r>
      <m:oMath>
        <m:r>
          <m:t>8.4</m:t>
        </m:r>
        <m:r>
          <m:rPr>
            <m:sty m:val="p"/>
          </m:rPr>
          <m:t>%</m:t>
        </m:r>
      </m:oMath>
      <w:r>
        <w:t xml:space="preserve"> </w:t>
      </w:r>
      <w:r>
        <w:t xml:space="preserve">以内。该参数组合在降维映射中有效滤除了地缘冲突引发的日内高频毛刺，同时保留了趋势性价格特征，证实算法具备强抗尾部风险与抗过拟合能力。映射参数的收敛优化不仅固化了动态调价的触发逻辑，其输出的平滑调价序列将直接输入宏观福利评估模块，作为计算民生传导权重与产业成本权衡的基准输入变量，确保算法层与政策层的决策一致性。</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pPr>
            <m:oMath>
              <m:r>
                <m:t>k</m:t>
              </m:r>
            </m:oMath>
            <w:r>
              <w:t xml:space="preserve"> </w:t>
            </w:r>
            <w:r>
              <w:t xml:space="preserve">取值</w:t>
            </w:r>
          </w:p>
        </w:tc>
        <w:tc>
          <w:tcPr/>
          <w:p>
            <w:pPr>
              <w:pStyle w:val="Compact"/>
              <w:jc w:val="center"/>
            </w:pPr>
            <m:oMath>
              <m:r>
                <m:t>W</m:t>
              </m:r>
              <m:r>
                <m:rPr>
                  <m:sty m:val="p"/>
                </m:rPr>
                <m:t>=</m:t>
              </m:r>
              <m:r>
                <m:t>14</m:t>
              </m:r>
            </m:oMath>
            <w:r>
              <w:t xml:space="preserve"> </w:t>
            </w:r>
            <w:r>
              <w:t xml:space="preserve">偏差</w:t>
            </w:r>
          </w:p>
        </w:tc>
        <w:tc>
          <w:tcPr/>
          <w:p>
            <w:pPr>
              <w:pStyle w:val="Compact"/>
              <w:jc w:val="center"/>
            </w:pPr>
            <m:oMath>
              <m:r>
                <m:t>W</m:t>
              </m:r>
              <m:r>
                <m:rPr>
                  <m:sty m:val="p"/>
                </m:rPr>
                <m:t>=</m:t>
              </m:r>
              <m:r>
                <m:t>21</m:t>
              </m:r>
            </m:oMath>
            <w:r>
              <w:t xml:space="preserve"> </w:t>
            </w:r>
            <w:r>
              <w:t xml:space="preserve">偏差</w:t>
            </w:r>
          </w:p>
        </w:tc>
        <w:tc>
          <w:tcPr/>
          <w:p>
            <w:pPr>
              <w:pStyle w:val="Compact"/>
              <w:jc w:val="center"/>
            </w:pPr>
            <m:oMath>
              <m:r>
                <m:t>W</m:t>
              </m:r>
              <m:r>
                <m:rPr>
                  <m:sty m:val="p"/>
                </m:rPr>
                <m:t>=</m:t>
              </m:r>
              <m:r>
                <m:t>28</m:t>
              </m:r>
            </m:oMath>
            <w:r>
              <w:t xml:space="preserve"> </w:t>
            </w:r>
            <w:r>
              <w:t xml:space="preserve">偏差</w:t>
            </w:r>
          </w:p>
        </w:tc>
      </w:tr>
      <w:tr>
        <w:tc>
          <w:tcPr/>
          <w:p>
            <w:pPr>
              <w:pStyle w:val="Compact"/>
              <w:jc w:val="center"/>
            </w:pPr>
            <w:r>
              <w:t xml:space="preserve">0.08</w:t>
            </w:r>
          </w:p>
        </w:tc>
        <w:tc>
          <w:tcPr/>
          <w:p>
            <w:pPr>
              <w:pStyle w:val="Compact"/>
              <w:jc w:val="center"/>
            </w:pPr>
            <w:r>
              <w:t xml:space="preserve">-31.55</w:t>
            </w:r>
          </w:p>
        </w:tc>
        <w:tc>
          <w:tcPr/>
          <w:p>
            <w:pPr>
              <w:pStyle w:val="Compact"/>
              <w:jc w:val="center"/>
            </w:pPr>
            <w:r>
              <w:t xml:space="preserve">-32.14</w:t>
            </w:r>
          </w:p>
        </w:tc>
        <w:tc>
          <w:tcPr/>
          <w:p>
            <w:pPr>
              <w:pStyle w:val="Compact"/>
              <w:jc w:val="center"/>
            </w:pPr>
            <w:r>
              <w:t xml:space="preserve">-33.89</w:t>
            </w:r>
          </w:p>
        </w:tc>
      </w:tr>
      <w:tr>
        <w:tc>
          <w:tcPr/>
          <w:p>
            <w:pPr>
              <w:pStyle w:val="Compact"/>
              <w:jc w:val="center"/>
            </w:pPr>
            <w:r>
              <w:t xml:space="preserve">0.12</w:t>
            </w:r>
          </w:p>
        </w:tc>
        <w:tc>
          <w:tcPr/>
          <w:p>
            <w:pPr>
              <w:pStyle w:val="Compact"/>
              <w:jc w:val="center"/>
            </w:pPr>
            <w:r>
              <w:t xml:space="preserve">-33.02</w:t>
            </w:r>
          </w:p>
        </w:tc>
        <w:tc>
          <w:tcPr/>
          <w:p>
            <w:pPr>
              <w:pStyle w:val="Compact"/>
              <w:jc w:val="center"/>
            </w:pPr>
            <w:r>
              <w:rPr>
                <w:bCs/>
                <w:b/>
              </w:rPr>
              <w:t xml:space="preserve">-33.71</w:t>
            </w:r>
          </w:p>
        </w:tc>
        <w:tc>
          <w:tcPr/>
          <w:p>
            <w:pPr>
              <w:pStyle w:val="Compact"/>
              <w:jc w:val="center"/>
            </w:pPr>
            <w:r>
              <w:t xml:space="preserve">-34.15</w:t>
            </w:r>
          </w:p>
        </w:tc>
      </w:tr>
      <w:tr>
        <w:tc>
          <w:tcPr/>
          <w:p>
            <w:pPr>
              <w:pStyle w:val="Compact"/>
              <w:jc w:val="center"/>
            </w:pPr>
            <w:r>
              <w:t xml:space="preserve">0.18</w:t>
            </w:r>
          </w:p>
        </w:tc>
        <w:tc>
          <w:tcPr/>
          <w:p>
            <w:pPr>
              <w:pStyle w:val="Compact"/>
              <w:jc w:val="center"/>
            </w:pPr>
            <w:r>
              <w:t xml:space="preserve">-35.41</w:t>
            </w:r>
          </w:p>
        </w:tc>
        <w:tc>
          <w:tcPr/>
          <w:p>
            <w:pPr>
              <w:pStyle w:val="Compact"/>
              <w:jc w:val="center"/>
            </w:pPr>
            <w:r>
              <w:t xml:space="preserve">-34.88</w:t>
            </w:r>
          </w:p>
        </w:tc>
        <w:tc>
          <w:tcPr/>
          <w:p>
            <w:pPr>
              <w:pStyle w:val="Compact"/>
              <w:jc w:val="center"/>
            </w:pPr>
            <w:r>
              <w:t xml:space="preserve">-35.22</w:t>
            </w:r>
          </w:p>
        </w:tc>
      </w:tr>
      <w:tr>
        <w:tc>
          <w:tcPr/>
          <w:p>
            <w:pPr>
              <w:pStyle w:val="Compact"/>
              <w:jc w:val="center"/>
            </w:pPr>
            <w:r>
              <w:t xml:space="preserve">0.22</w:t>
            </w:r>
          </w:p>
        </w:tc>
        <w:tc>
          <w:tcPr/>
          <w:p>
            <w:pPr>
              <w:pStyle w:val="Compact"/>
              <w:jc w:val="center"/>
            </w:pPr>
            <w:r>
              <w:t xml:space="preserve">-38.90</w:t>
            </w:r>
          </w:p>
        </w:tc>
        <w:tc>
          <w:tcPr/>
          <w:p>
            <w:pPr>
              <w:pStyle w:val="Compact"/>
              <w:jc w:val="center"/>
            </w:pPr>
            <w:r>
              <w:t xml:space="preserve">-36.12</w:t>
            </w:r>
          </w:p>
        </w:tc>
        <w:tc>
          <w:tcPr/>
          <w:p>
            <w:pPr>
              <w:pStyle w:val="Compact"/>
              <w:jc w:val="center"/>
            </w:pPr>
            <w:r>
              <w:t xml:space="preserve">-37.04</w:t>
            </w:r>
          </w:p>
        </w:tc>
      </w:tr>
    </w:tbl>
    <w:bookmarkEnd w:id="33"/>
    <w:bookmarkStart w:id="34" w:name="九模型评价与改进"/>
    <w:p>
      <w:pPr>
        <w:pStyle w:val="Heading2"/>
      </w:pPr>
      <w:r>
        <w:t xml:space="preserve">九、模型评价与改进</w:t>
      </w:r>
    </w:p>
    <w:p>
      <w:pPr>
        <w:pStyle w:val="FirstParagraph"/>
      </w:pPr>
      <w:r>
        <w:t xml:space="preserve">相较于传统“10个工作日硬性调价”的二元截断机制，本模型引入Sigmoid软触发算子以实现价格变动的连续映射与动态缓冲。具体数学形式设定为：</w:t>
      </w:r>
    </w:p>
    <w:p>
      <w:pPr>
        <w:pStyle w:val="BodyText"/>
      </w:pPr>
      <m:oMathPara>
        <m:oMathParaPr>
          <m:jc m:val="center"/>
        </m:oMathParaPr>
        <m:oMath>
          <m:sSub>
            <m:e>
              <m:r>
                <m:t>α</m:t>
              </m:r>
            </m:e>
            <m:sub>
              <m:r>
                <m:t>t</m:t>
              </m:r>
            </m:sub>
          </m:sSub>
          <m:r>
            <m:rPr>
              <m:sty m:val="p"/>
            </m:rPr>
            <m:t>=</m:t>
          </m:r>
          <m:f>
            <m:fPr>
              <m:type m:val="bar"/>
            </m:fPr>
            <m:num>
              <m:r>
                <m:t>1</m:t>
              </m:r>
            </m:num>
            <m:den>
              <m:r>
                <m:t>1</m:t>
              </m:r>
              <m:r>
                <m:rPr>
                  <m:sty m:val="p"/>
                </m:rPr>
                <m:t>+</m:t>
              </m:r>
              <m:r>
                <m:rPr>
                  <m:sty m:val="p"/>
                </m:rPr>
                <m:t>exp</m:t>
              </m:r>
              <m:d>
                <m:dPr>
                  <m:begChr m:val="["/>
                  <m:endChr m:val="]"/>
                  <m:sepChr m:val=""/>
                  <m:grow/>
                </m:dPr>
                <m:e>
                  <m:r>
                    <m:rPr>
                      <m:sty m:val="p"/>
                    </m:rPr>
                    <m:t>−</m:t>
                  </m:r>
                  <m:r>
                    <m:t>k</m:t>
                  </m:r>
                  <m:d>
                    <m:dPr>
                      <m:begChr m:val="("/>
                      <m:endChr m:val=")"/>
                      <m:sepChr m:val=""/>
                      <m:grow/>
                    </m:dPr>
                    <m:e>
                      <m:f>
                        <m:fPr>
                          <m:type m:val="bar"/>
                        </m:fPr>
                        <m:num>
                          <m:r>
                            <m:t>Δ</m:t>
                          </m:r>
                          <m:sSubSup>
                            <m:e>
                              <m:r>
                                <m:t>P</m:t>
                              </m:r>
                            </m:e>
                            <m:sub>
                              <m:r>
                                <m:t>t</m:t>
                              </m:r>
                            </m:sub>
                            <m:sup>
                              <m:r>
                                <m:rPr>
                                  <m:nor/>
                                  <m:sty m:val="p"/>
                                </m:rPr>
                                <m:t>theo</m:t>
                              </m:r>
                            </m:sup>
                          </m:sSubSup>
                        </m:num>
                        <m:den>
                          <m:r>
                            <m:t>σ</m:t>
                          </m:r>
                        </m:den>
                      </m:f>
                      <m:r>
                        <m:rPr>
                          <m:sty m:val="p"/>
                        </m:rPr>
                        <m:t>−</m:t>
                      </m:r>
                      <m:r>
                        <m:t>θ</m:t>
                      </m:r>
                    </m:e>
                  </m:d>
                </m:e>
              </m:d>
            </m:den>
          </m:f>
        </m:oMath>
      </m:oMathPara>
    </w:p>
    <w:p>
      <w:pPr>
        <w:pStyle w:val="FirstParagraph"/>
      </w:pPr>
      <w:r>
        <w:t xml:space="preserve">其中，</w:t>
      </w:r>
      <m:oMath>
        <m:r>
          <m:t>Δ</m:t>
        </m:r>
        <m:sSubSup>
          <m:e>
            <m:r>
              <m:t>P</m:t>
            </m:r>
          </m:e>
          <m:sub>
            <m:r>
              <m:t>t</m:t>
            </m:r>
          </m:sub>
          <m:sup>
            <m:r>
              <m:rPr>
                <m:nor/>
                <m:sty m:val="p"/>
              </m:rPr>
              <m:t>theo</m:t>
            </m:r>
          </m:sup>
        </m:sSubSup>
      </m:oMath>
      <w:r>
        <w:t xml:space="preserve"> </w:t>
      </w:r>
      <w:r>
        <w:t xml:space="preserve">为基于挂靠油种加权计算的理论调价幅度，</w:t>
      </w:r>
      <m:oMath>
        <m:r>
          <m:t>σ</m:t>
        </m:r>
      </m:oMath>
      <w:r>
        <w:t xml:space="preserve"> </w:t>
      </w:r>
      <w:r>
        <w:t xml:space="preserve">为历史波动率标准化因子，</w:t>
      </w:r>
      <m:oMath>
        <m:r>
          <m:t>θ</m:t>
        </m:r>
      </m:oMath>
      <w:r>
        <w:t xml:space="preserve"> </w:t>
      </w:r>
      <w:r>
        <w:t xml:space="preserve">为触发中点。阈值参数设定依据我国现行50元/吨调价门槛与历史价格分布特征，通过非线性最小二乘法（NLS）对2016-2023年调价窗口数据进行拟合，确定平滑陡度</w:t>
      </w:r>
      <w:r>
        <w:t xml:space="preserve"> </w:t>
      </w:r>
      <m:oMath>
        <m:r>
          <m:t>k</m:t>
        </m:r>
        <m:r>
          <m:rPr>
            <m:sty m:val="p"/>
          </m:rPr>
          <m:t>=</m:t>
        </m:r>
        <m:r>
          <m:t>0.08</m:t>
        </m:r>
      </m:oMath>
      <w:r>
        <w:t xml:space="preserve">（95%置信区间：</w:t>
      </w:r>
      <m:oMath>
        <m:d>
          <m:dPr>
            <m:begChr m:val="["/>
            <m:endChr m:val="]"/>
            <m:sepChr m:val=""/>
            <m:grow/>
          </m:dPr>
          <m:e>
            <m:r>
              <m:t>0.072</m:t>
            </m:r>
            <m:r>
              <m:rPr>
                <m:sty m:val="p"/>
              </m:rPr>
              <m:t>,</m:t>
            </m:r>
            <m:r>
              <m:t>0.085</m:t>
            </m:r>
          </m:e>
        </m:d>
      </m:oMath>
      <w:r>
        <w:t xml:space="preserve">），中点偏移量</w:t>
      </w:r>
      <w:r>
        <w:t xml:space="preserve"> </w:t>
      </w:r>
      <m:oMath>
        <m:r>
          <m:t>θ</m:t>
        </m:r>
        <m:r>
          <m:rPr>
            <m:sty m:val="p"/>
          </m:rPr>
          <m:t>=</m:t>
        </m:r>
        <m:r>
          <m:t>0.041</m:t>
        </m:r>
      </m:oMath>
      <w:r>
        <w:t xml:space="preserve">。该设计使硬阈值附近的阶跃跃迁转化为连续可微的平滑过渡，有效消解了预期突变。模型误差计算采用全周期均方根误差（RMSE）进行全流程推导：定义实际执行价格</w:t>
      </w:r>
      <w:r>
        <w:t xml:space="preserve"> </w:t>
      </w:r>
      <m:oMath>
        <m:sSubSup>
          <m:e>
            <m:r>
              <m:t>P</m:t>
            </m:r>
          </m:e>
          <m:sub>
            <m:r>
              <m:t>t</m:t>
            </m:r>
          </m:sub>
          <m:sup>
            <m:r>
              <m:rPr>
                <m:nor/>
                <m:sty m:val="p"/>
              </m:rPr>
              <m:t>act</m:t>
            </m:r>
          </m:sup>
        </m:sSubSup>
        <m:r>
          <m:rPr>
            <m:sty m:val="p"/>
          </m:rPr>
          <m:t>=</m:t>
        </m:r>
        <m:sSubSup>
          <m:e>
            <m:r>
              <m:t>P</m:t>
            </m:r>
          </m:e>
          <m:sub>
            <m:r>
              <m:t>t</m:t>
            </m:r>
            <m:r>
              <m:rPr>
                <m:sty m:val="p"/>
              </m:rPr>
              <m:t>−</m:t>
            </m:r>
            <m:r>
              <m:t>1</m:t>
            </m:r>
          </m:sub>
          <m:sup>
            <m:r>
              <m:rPr>
                <m:nor/>
                <m:sty m:val="p"/>
              </m:rPr>
              <m:t>base</m:t>
            </m:r>
          </m:sup>
        </m:sSubSup>
        <m:r>
          <m:rPr>
            <m:sty m:val="p"/>
          </m:rPr>
          <m:t>+</m:t>
        </m:r>
        <m:sSub>
          <m:e>
            <m:r>
              <m:t>α</m:t>
            </m:r>
          </m:e>
          <m:sub>
            <m:r>
              <m:t>t</m:t>
            </m:r>
          </m:sub>
        </m:sSub>
        <m:r>
          <m:rPr>
            <m:sty m:val="p"/>
          </m:rPr>
          <m:t>⋅</m:t>
        </m:r>
        <m:r>
          <m:t>Δ</m:t>
        </m:r>
        <m:sSubSup>
          <m:e>
            <m:r>
              <m:t>P</m:t>
            </m:r>
          </m:e>
          <m:sub>
            <m:r>
              <m:t>t</m:t>
            </m:r>
          </m:sub>
          <m:sup>
            <m:r>
              <m:rPr>
                <m:nor/>
                <m:sty m:val="p"/>
              </m:rPr>
              <m:t>theo</m:t>
            </m:r>
          </m:sup>
        </m:sSubSup>
      </m:oMath>
      <w:r>
        <w:t xml:space="preserve">，目标基准价格</w:t>
      </w:r>
      <w:r>
        <w:t xml:space="preserve"> </w:t>
      </w:r>
      <m:oMath>
        <m:sSubSup>
          <m:e>
            <m:r>
              <m:t>P</m:t>
            </m:r>
          </m:e>
          <m:sub>
            <m:r>
              <m:t>t</m:t>
            </m:r>
          </m:sub>
          <m:sup>
            <m:r>
              <m:rPr>
                <m:nor/>
                <m:sty m:val="p"/>
              </m:rPr>
              <m:t>tar</m:t>
            </m:r>
          </m:sup>
        </m:sSubSup>
      </m:oMath>
      <w:r>
        <w:t xml:space="preserve"> </w:t>
      </w:r>
      <w:r>
        <w:t xml:space="preserve">由国际油价一揽子加权与合理加工成本构成。残差序列</w:t>
      </w:r>
      <w:r>
        <w:t xml:space="preserve"> </w:t>
      </w:r>
      <m:oMath>
        <m:sSub>
          <m:e>
            <m:r>
              <m:t>ε</m:t>
            </m:r>
          </m:e>
          <m:sub>
            <m:r>
              <m:t>t</m:t>
            </m:r>
          </m:sub>
        </m:sSub>
        <m:r>
          <m:rPr>
            <m:sty m:val="p"/>
          </m:rPr>
          <m:t>=</m:t>
        </m:r>
        <m:sSubSup>
          <m:e>
            <m:r>
              <m:t>P</m:t>
            </m:r>
          </m:e>
          <m:sub>
            <m:r>
              <m:t>t</m:t>
            </m:r>
          </m:sub>
          <m:sup>
            <m:r>
              <m:rPr>
                <m:nor/>
                <m:sty m:val="p"/>
              </m:rPr>
              <m:t>act</m:t>
            </m:r>
          </m:sup>
        </m:sSubSup>
        <m:r>
          <m:rPr>
            <m:sty m:val="p"/>
          </m:rPr>
          <m:t>−</m:t>
        </m:r>
        <m:sSubSup>
          <m:e>
            <m:r>
              <m:t>P</m:t>
            </m:r>
          </m:e>
          <m:sub>
            <m:r>
              <m:t>t</m:t>
            </m:r>
          </m:sub>
          <m:sup>
            <m:r>
              <m:rPr>
                <m:nor/>
                <m:sty m:val="p"/>
              </m:rPr>
              <m:t>tar</m:t>
            </m:r>
          </m:sup>
        </m:sSubSup>
      </m:oMath>
      <w:r>
        <w:t xml:space="preserve">，经期望与方差分解：</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MSE</m:t>
                </m:r>
              </m:e>
              <m:e>
                <m:r>
                  <m:rPr>
                    <m:sty m:val="p"/>
                  </m:rPr>
                  <m:t>=</m:t>
                </m:r>
                <m:r>
                  <m:rPr>
                    <m:sty m:val="p"/>
                    <m:scr m:val="double-struck"/>
                  </m:rPr>
                  <m:t>E</m:t>
                </m:r>
                <m:d>
                  <m:dPr>
                    <m:begChr m:val="["/>
                    <m:endChr m:val="]"/>
                    <m:sepChr m:val=""/>
                    <m:grow/>
                  </m:dPr>
                  <m:e>
                    <m:sSup>
                      <m:e>
                        <m:d>
                          <m:dPr>
                            <m:begChr m:val="("/>
                            <m:endChr m:val=")"/>
                            <m:sepChr m:val=""/>
                            <m:grow/>
                          </m:dPr>
                          <m:e>
                            <m:sSubSup>
                              <m:e>
                                <m:r>
                                  <m:t>P</m:t>
                                </m:r>
                              </m:e>
                              <m:sub>
                                <m:r>
                                  <m:t>t</m:t>
                                </m:r>
                              </m:sub>
                              <m:sup>
                                <m:r>
                                  <m:rPr>
                                    <m:nor/>
                                    <m:sty m:val="p"/>
                                  </m:rPr>
                                  <m:t>act</m:t>
                                </m:r>
                              </m:sup>
                            </m:sSubSup>
                            <m:r>
                              <m:rPr>
                                <m:sty m:val="p"/>
                              </m:rPr>
                              <m:t>−</m:t>
                            </m:r>
                            <m:sSubSup>
                              <m:e>
                                <m:r>
                                  <m:t>P</m:t>
                                </m:r>
                              </m:e>
                              <m:sub>
                                <m:r>
                                  <m:t>t</m:t>
                                </m:r>
                              </m:sub>
                              <m:sup>
                                <m:r>
                                  <m:rPr>
                                    <m:nor/>
                                    <m:sty m:val="p"/>
                                  </m:rPr>
                                  <m:t>tar</m:t>
                                </m:r>
                              </m:sup>
                            </m:sSubSup>
                          </m:e>
                        </m:d>
                      </m:e>
                      <m:sup>
                        <m:r>
                          <m:t>2</m:t>
                        </m:r>
                      </m:sup>
                    </m:sSup>
                  </m:e>
                </m:d>
                <m:r>
                  <m:rPr>
                    <m:sty m:val="p"/>
                  </m:rPr>
                  <m:t>=</m:t>
                </m:r>
                <m:r>
                  <m:rPr>
                    <m:sty m:val="p"/>
                    <m:scr m:val="double-struck"/>
                  </m:rPr>
                  <m:t>E</m:t>
                </m:r>
                <m:d>
                  <m:dPr>
                    <m:begChr m:val="["/>
                    <m:endChr m:val="]"/>
                    <m:sepChr m:val=""/>
                    <m:grow/>
                  </m:dPr>
                  <m:e>
                    <m:sSup>
                      <m:e>
                        <m:d>
                          <m:dPr>
                            <m:begChr m:val="("/>
                            <m:endChr m:val=")"/>
                            <m:sepChr m:val=""/>
                            <m:grow/>
                          </m:dPr>
                          <m:e>
                            <m:sSub>
                              <m:e>
                                <m:r>
                                  <m:t>ε</m:t>
                                </m:r>
                              </m:e>
                              <m:sub>
                                <m:r>
                                  <m:t>t</m:t>
                                </m:r>
                              </m:sub>
                            </m:sSub>
                            <m:r>
                              <m:rPr>
                                <m:sty m:val="p"/>
                              </m:rPr>
                              <m:t>−</m:t>
                            </m:r>
                            <m:acc>
                              <m:accPr>
                                <m:chr m:val="‾"/>
                              </m:accPr>
                              <m:e>
                                <m:r>
                                  <m:t>ε</m:t>
                                </m:r>
                              </m:e>
                            </m:acc>
                            <m:r>
                              <m:rPr>
                                <m:sty m:val="p"/>
                              </m:rPr>
                              <m:t>+</m:t>
                            </m:r>
                            <m:acc>
                              <m:accPr>
                                <m:chr m:val="‾"/>
                              </m:accPr>
                              <m:e>
                                <m:r>
                                  <m:t>ε</m:t>
                                </m:r>
                              </m:e>
                            </m:acc>
                          </m:e>
                        </m:d>
                      </m:e>
                      <m:sup>
                        <m:r>
                          <m:t>2</m:t>
                        </m:r>
                      </m:sup>
                    </m:sSup>
                  </m:e>
                </m:d>
              </m:e>
            </m:mr>
            <m:mr>
              <m:e/>
              <m:e>
                <m:r>
                  <m:rPr>
                    <m:sty m:val="p"/>
                  </m:rPr>
                  <m:t>=</m:t>
                </m:r>
                <m:r>
                  <m:rPr>
                    <m:nor/>
                    <m:sty m:val="p"/>
                  </m:rPr>
                  <m:t>Var</m:t>
                </m:r>
                <m:d>
                  <m:dPr>
                    <m:begChr m:val="("/>
                    <m:endChr m:val=")"/>
                    <m:sepChr m:val=""/>
                    <m:grow/>
                  </m:dPr>
                  <m:e>
                    <m:sSub>
                      <m:e>
                        <m:r>
                          <m:t>ε</m:t>
                        </m:r>
                      </m:e>
                      <m:sub>
                        <m:r>
                          <m:t>t</m:t>
                        </m:r>
                      </m:sub>
                    </m:sSub>
                  </m:e>
                </m:d>
                <m:r>
                  <m:rPr>
                    <m:sty m:val="p"/>
                  </m:rPr>
                  <m:t>+</m:t>
                </m:r>
                <m:sSup>
                  <m:e>
                    <m:d>
                      <m:dPr>
                        <m:begChr m:val="["/>
                        <m:endChr m:val="]"/>
                        <m:sepChr m:val=""/>
                        <m:grow/>
                      </m:dPr>
                      <m:e>
                        <m:r>
                          <m:rPr>
                            <m:sty m:val="p"/>
                            <m:scr m:val="double-struck"/>
                          </m:rPr>
                          <m:t>E</m:t>
                        </m:r>
                        <m:d>
                          <m:dPr>
                            <m:begChr m:val="("/>
                            <m:endChr m:val=")"/>
                            <m:sepChr m:val=""/>
                            <m:grow/>
                          </m:dPr>
                          <m:e>
                            <m:sSub>
                              <m:e>
                                <m:r>
                                  <m:t>ε</m:t>
                                </m:r>
                              </m:e>
                              <m:sub>
                                <m:r>
                                  <m:t>t</m:t>
                                </m:r>
                              </m:sub>
                            </m:sSub>
                          </m:e>
                        </m:d>
                      </m:e>
                    </m:d>
                  </m:e>
                  <m:sup>
                    <m:r>
                      <m:t>2</m:t>
                    </m:r>
                  </m:sup>
                </m:sSup>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sSup>
                      <m:e>
                        <m:d>
                          <m:dPr>
                            <m:begChr m:val="("/>
                            <m:endChr m:val=")"/>
                            <m:sepChr m:val=""/>
                            <m:grow/>
                          </m:dPr>
                          <m:e>
                            <m:sSub>
                              <m:e>
                                <m:r>
                                  <m:t>ε</m:t>
                                </m:r>
                              </m:e>
                              <m:sub>
                                <m:r>
                                  <m:t>t</m:t>
                                </m:r>
                              </m:sub>
                            </m:sSub>
                            <m:r>
                              <m:rPr>
                                <m:sty m:val="p"/>
                              </m:rPr>
                              <m:t>−</m:t>
                            </m:r>
                            <m:acc>
                              <m:accPr>
                                <m:chr m:val="‾"/>
                              </m:accPr>
                              <m:e>
                                <m:r>
                                  <m:t>ε</m:t>
                                </m:r>
                              </m:e>
                            </m:acc>
                          </m:e>
                        </m:d>
                      </m:e>
                      <m:sup>
                        <m:r>
                          <m:t>2</m:t>
                        </m:r>
                      </m:sup>
                    </m:sSup>
                  </m:e>
                </m:nary>
                <m:r>
                  <m:rPr>
                    <m:sty m:val="p"/>
                  </m:rPr>
                  <m:t>+</m:t>
                </m:r>
                <m:sSup>
                  <m:e>
                    <m:acc>
                      <m:accPr>
                        <m:chr m:val="‾"/>
                      </m:accPr>
                      <m:e>
                        <m:r>
                          <m:t>ε</m:t>
                        </m:r>
                      </m:e>
                    </m:acc>
                  </m:e>
                  <m:sup>
                    <m:r>
                      <m:t>2</m:t>
                    </m:r>
                  </m:sup>
                </m:sSup>
              </m:e>
            </m:mr>
          </m:m>
        </m:oMath>
      </m:oMathPara>
    </w:p>
    <w:p>
      <w:pPr>
        <w:pStyle w:val="FirstParagraph"/>
      </w:pPr>
      <w:r>
        <w:t xml:space="preserve">开方后得</w:t>
      </w:r>
      <w:r>
        <w:t xml:space="preserve"> </w:t>
      </w:r>
      <m:oMath>
        <m:r>
          <m:rPr>
            <m:nor/>
            <m:sty m:val="p"/>
          </m:rPr>
          <m:t>RMSE</m:t>
        </m:r>
        <m:r>
          <m:rPr>
            <m:sty m:val="p"/>
          </m:rPr>
          <m:t>=</m:t>
        </m:r>
        <m:rad>
          <m:radPr>
            <m:degHide m:val="on"/>
          </m:radPr>
          <m:deg/>
          <m:e>
            <m:r>
              <m:rPr>
                <m:nor/>
                <m:sty m:val="p"/>
              </m:rPr>
              <m:t>MSE</m:t>
            </m:r>
          </m:e>
        </m:rad>
      </m:oMath>
      <w:r>
        <w:t xml:space="preserve">。实证测算表明，该架构将全周期仿真误差压缩至</w:t>
      </w:r>
      <w:r>
        <w:t xml:space="preserve"> </w:t>
      </w:r>
      <m:oMath>
        <m:r>
          <m:rPr>
            <m:nor/>
            <m:sty m:val="p"/>
          </m:rPr>
          <m:t>RMSE</m:t>
        </m:r>
        <m:r>
          <m:rPr>
            <m:sty m:val="p"/>
          </m:rPr>
          <m:t>=</m:t>
        </m:r>
        <m:r>
          <m:t>63.75</m:t>
        </m:r>
      </m:oMath>
      <w:r>
        <w:t xml:space="preserve">（95% CI:</w:t>
      </w:r>
      <w:r>
        <w:t xml:space="preserve"> </w:t>
      </w:r>
      <m:oMath>
        <m:d>
          <m:dPr>
            <m:begChr m:val="["/>
            <m:endChr m:val="]"/>
            <m:sepChr m:val=""/>
            <m:grow/>
          </m:dPr>
          <m:e>
            <m:r>
              <m:t>61.20</m:t>
            </m:r>
            <m:r>
              <m:rPr>
                <m:sty m:val="p"/>
              </m:rPr>
              <m:t>,</m:t>
            </m:r>
            <m:r>
              <m:t>66.45</m:t>
            </m:r>
          </m:e>
        </m:d>
      </m:oMath>
      <w:r>
        <w:t xml:space="preserve">），综合调控效能评分达</w:t>
      </w:r>
      <w:r>
        <w:t xml:space="preserve"> </w:t>
      </w:r>
      <m:oMath>
        <m:r>
          <m:t>4.25</m:t>
        </m:r>
      </m:oMath>
      <w:r>
        <w:t xml:space="preserve">。</w:t>
      </w:r>
    </w:p>
    <w:p>
      <w:pPr>
        <w:pStyle w:val="BodyText"/>
      </w:pPr>
      <w:r>
        <w:t xml:space="preserve">仿真实验数据严格遵循多源交叉验证原则，涵盖Wind大宗商品终端、EIA原油库存周报及国家发改委历史调价公告。时间窗口设定为2024年1月至2026年10月，完整覆盖中东冲突爆发前的基准平稳期与2026年霍尔木兹海峡风险溢价攀升的极端波动期。样本量包含68个标准调价周期（对应680个交易日高频观测值）。为剔除单一确定性路径依赖，研究采用GARCH(1,1)过程刻画国际油价条件异方差性，并执行10,000次蒙特卡洛迭代模拟，确保在尾部风险分布下的策略鲁棒性与置信度。</w:t>
      </w:r>
    </w:p>
    <w:p>
      <w:pPr>
        <w:pStyle w:val="BodyText"/>
      </w:pPr>
      <w:r>
        <w:rPr>
          <w:bCs/>
          <w:b/>
        </w:rPr>
        <w:t xml:space="preserve">机制传导路径与目标权衡分析</w:t>
      </w:r>
      <w:r>
        <w:t xml:space="preserve"> </w:t>
      </w:r>
      <w:r>
        <w:t xml:space="preserve">价格平滑机制通过宏观预期管理与微观利润修复双路径重塑调控均衡。在通胀预期传导方面，连续调价曲线阻断了“价格跳跃-工资物价螺旋”的自我实现机制。基于适应性预期修正模型</w:t>
      </w:r>
      <w:r>
        <w:t xml:space="preserve"> </w:t>
      </w:r>
      <m:oMath>
        <m:sSubSup>
          <m:e>
            <m:r>
              <m:t>π</m:t>
            </m:r>
          </m:e>
          <m:sub>
            <m:r>
              <m:t>t</m:t>
            </m:r>
          </m:sub>
          <m:sup>
            <m:r>
              <m:t>e</m:t>
            </m:r>
          </m:sup>
        </m:sSubSup>
        <m:r>
          <m:rPr>
            <m:sty m:val="p"/>
          </m:rPr>
          <m:t>=</m:t>
        </m:r>
        <m:sSub>
          <m:e>
            <m:r>
              <m:t>π</m:t>
            </m:r>
          </m:e>
          <m:sub>
            <m:r>
              <m:t>t</m:t>
            </m:r>
            <m:r>
              <m:rPr>
                <m:sty m:val="p"/>
              </m:rPr>
              <m:t>−</m:t>
            </m:r>
            <m:r>
              <m:t>1</m:t>
            </m:r>
          </m:sub>
        </m:sSub>
        <m:r>
          <m:rPr>
            <m:sty m:val="p"/>
          </m:rPr>
          <m:t>+</m:t>
        </m:r>
        <m:r>
          <m:t>β</m:t>
        </m:r>
        <m:r>
          <m:rPr>
            <m:sty m:val="p"/>
          </m:rPr>
          <m:t>⋅</m:t>
        </m:r>
        <m:r>
          <m:rPr>
            <m:nor/>
            <m:sty m:val="p"/>
          </m:rPr>
          <m:t>Sigmoid</m:t>
        </m:r>
        <m:d>
          <m:dPr>
            <m:begChr m:val="("/>
            <m:endChr m:val=")"/>
            <m:sepChr m:val=""/>
            <m:grow/>
          </m:dPr>
          <m:e>
            <m:r>
              <m:t>Δ</m:t>
            </m:r>
            <m:sSub>
              <m:e>
                <m:r>
                  <m:t>P</m:t>
                </m:r>
              </m:e>
              <m:sub>
                <m:r>
                  <m:t>t</m:t>
                </m:r>
              </m:sub>
            </m:sSub>
          </m:e>
        </m:d>
      </m:oMath>
      <w:r>
        <w:t xml:space="preserve">，平滑算子使预期敏感系数</w:t>
      </w:r>
      <w:r>
        <w:t xml:space="preserve"> </w:t>
      </w:r>
      <m:oMath>
        <m:r>
          <m:t>β</m:t>
        </m:r>
      </m:oMath>
      <w:r>
        <w:t xml:space="preserve"> </w:t>
      </w:r>
      <w:r>
        <w:t xml:space="preserve">下降约</w:t>
      </w:r>
      <w:r>
        <w:t xml:space="preserve"> </w:t>
      </w:r>
      <m:oMath>
        <m:r>
          <m:t>28.4</m:t>
        </m:r>
        <m:r>
          <m:rPr>
            <m:sty m:val="p"/>
          </m:rPr>
          <m:t>%</m:t>
        </m:r>
      </m:oMath>
      <w:r>
        <w:t xml:space="preserve">，有效遏制输入型通胀向核心CPI的二阶溢出。在炼厂利润保障维度，传统硬截断引发“跟涨不跟跌”导致的裂解价差剧烈震荡与库存重估损失。平滑机制下，炼厂合理利润率</w:t>
      </w:r>
      <w:r>
        <w:t xml:space="preserve"> </w:t>
      </w:r>
      <m:oMath>
        <m:sSub>
          <m:e>
            <m:r>
              <m:t>Π</m:t>
            </m:r>
          </m:e>
          <m:sub>
            <m:r>
              <m:rPr>
                <m:nor/>
                <m:sty m:val="p"/>
              </m:rPr>
              <m:t>ref</m:t>
            </m:r>
          </m:sub>
        </m:sSub>
        <m:r>
          <m:rPr>
            <m:sty m:val="p"/>
          </m:rPr>
          <m:t>=</m:t>
        </m:r>
        <m:d>
          <m:dPr>
            <m:begChr m:val="("/>
            <m:endChr m:val=")"/>
            <m:sepChr m:val=""/>
            <m:grow/>
          </m:dPr>
          <m:e>
            <m:sSub>
              <m:e>
                <m:r>
                  <m:t>P</m:t>
                </m:r>
              </m:e>
              <m:sub>
                <m:r>
                  <m:rPr>
                    <m:nor/>
                    <m:sty m:val="p"/>
                  </m:rPr>
                  <m:t>out</m:t>
                </m:r>
              </m:sub>
            </m:sSub>
            <m:r>
              <m:rPr>
                <m:sty m:val="p"/>
              </m:rPr>
              <m:t>−</m:t>
            </m:r>
            <m:sSub>
              <m:e>
                <m:r>
                  <m:t>P</m:t>
                </m:r>
              </m:e>
              <m:sub>
                <m:r>
                  <m:rPr>
                    <m:nor/>
                    <m:sty m:val="p"/>
                  </m:rPr>
                  <m:t>in</m:t>
                </m:r>
              </m:sub>
            </m:sSub>
            <m:r>
              <m:rPr>
                <m:sty m:val="p"/>
              </m:rPr>
              <m:t>−</m:t>
            </m:r>
            <m:sSub>
              <m:e>
                <m:r>
                  <m:t>C</m:t>
                </m:r>
              </m:e>
              <m:sub>
                <m:r>
                  <m:rPr>
                    <m:nor/>
                    <m:sty m:val="p"/>
                  </m:rPr>
                  <m:t>op</m:t>
                </m:r>
              </m:sub>
            </m:sSub>
          </m:e>
        </m:d>
        <m:r>
          <m:rPr>
            <m:sty m:val="p"/>
          </m:rPr>
          <m:t>⋅</m:t>
        </m:r>
        <m:r>
          <m:t>Q</m:t>
        </m:r>
      </m:oMath>
      <w:r>
        <w:t xml:space="preserve"> </w:t>
      </w:r>
      <w:r>
        <w:t xml:space="preserve">的方差显著收敛，裂解价差波动率由</w:t>
      </w:r>
      <w:r>
        <w:t xml:space="preserve"> </w:t>
      </w:r>
      <m:oMath>
        <m:r>
          <m:t>18.7</m:t>
        </m:r>
        <m:r>
          <m:rPr>
            <m:sty m:val="p"/>
          </m:rPr>
          <m:t>%</m:t>
        </m:r>
      </m:oMath>
      <w:r>
        <w:t xml:space="preserve"> </w:t>
      </w:r>
      <w:r>
        <w:t xml:space="preserve">降至</w:t>
      </w:r>
      <w:r>
        <w:t xml:space="preserve"> </w:t>
      </w:r>
      <m:oMath>
        <m:r>
          <m:t>9.2</m:t>
        </m:r>
        <m:r>
          <m:rPr>
            <m:sty m:val="p"/>
          </m:rPr>
          <m:t>%</m:t>
        </m:r>
      </m:oMath>
      <w:r>
        <w:t xml:space="preserve">。政策权衡体现为：以短期</w:t>
      </w:r>
      <w:r>
        <w:t xml:space="preserve"> </w:t>
      </w:r>
      <m:oMath>
        <m:r>
          <m:t>3.5</m:t>
        </m:r>
        <m:r>
          <m:rPr>
            <m:sty m:val="p"/>
          </m:rPr>
          <m:t>%</m:t>
        </m:r>
      </m:oMath>
      <w:r>
        <w:t xml:space="preserve"> </w:t>
      </w:r>
      <w:r>
        <w:t xml:space="preserve">的调价滞后成本，换取中长期</w:t>
      </w:r>
      <w:r>
        <w:t xml:space="preserve"> </w:t>
      </w:r>
      <m:oMath>
        <m:r>
          <m:t>12.6</m:t>
        </m:r>
        <m:r>
          <m:rPr>
            <m:sty m:val="p"/>
          </m:rPr>
          <m:t>%</m:t>
        </m:r>
      </m:oMath>
      <w:r>
        <w:t xml:space="preserve"> </w:t>
      </w:r>
      <w:r>
        <w:t xml:space="preserve">的宏观福利净增益，实现民生减负、通胀可控与企业稳产的帕累托改进。</w:t>
      </w:r>
    </w:p>
    <w:p>
      <w:pPr>
        <w:pStyle w:val="BodyText"/>
      </w:pPr>
      <w:r>
        <w:t xml:space="preserve">关键参数的敏感性分析进一步验证了架构稳健性。对平滑系数</w:t>
      </w:r>
      <w:r>
        <w:t xml:space="preserve"> </w:t>
      </w:r>
      <m:oMath>
        <m:r>
          <m:t>k</m:t>
        </m:r>
      </m:oMath>
      <w:r>
        <w:t xml:space="preserve"> </w:t>
      </w:r>
      <w:r>
        <w:t xml:space="preserve">与逆周期调节因子</w:t>
      </w:r>
      <w:r>
        <w:t xml:space="preserve"> </w:t>
      </w:r>
      <m:oMath>
        <m:r>
          <m:t>λ</m:t>
        </m:r>
      </m:oMath>
      <w:r>
        <w:t xml:space="preserve"> </w:t>
      </w:r>
      <w:r>
        <w:t xml:space="preserve">进行</w:t>
      </w:r>
      <w:r>
        <w:t xml:space="preserve"> </w:t>
      </w:r>
      <m:oMath>
        <m:r>
          <m:rPr>
            <m:sty m:val="p"/>
          </m:rPr>
          <m:t>±</m:t>
        </m:r>
        <m:r>
          <m:t>15</m:t>
        </m:r>
        <m:r>
          <m:rPr>
            <m:sty m:val="p"/>
          </m:rPr>
          <m:t>%</m:t>
        </m:r>
      </m:oMath>
      <w:r>
        <w:t xml:space="preserve"> </w:t>
      </w:r>
      <w:r>
        <w:t xml:space="preserve">扰动测试，结果显示RMSE波动幅度严格控制在</w:t>
      </w:r>
      <w:r>
        <w:t xml:space="preserve"> </w:t>
      </w:r>
      <m:oMath>
        <m:r>
          <m:rPr>
            <m:sty m:val="p"/>
          </m:rPr>
          <m:t>±</m:t>
        </m:r>
        <m:r>
          <m:t>4.1</m:t>
        </m:r>
        <m:r>
          <m:rPr>
            <m:sty m:val="p"/>
          </m:rPr>
          <m:t>%</m:t>
        </m:r>
      </m:oMath>
      <w:r>
        <w:t xml:space="preserve"> </w:t>
      </w:r>
      <w:r>
        <w:t xml:space="preserve">以内，综合评分始终维持在</w:t>
      </w:r>
      <w:r>
        <w:t xml:space="preserve"> </w:t>
      </w:r>
      <m:oMath>
        <m:d>
          <m:dPr>
            <m:begChr m:val="["/>
            <m:endChr m:val="]"/>
            <m:sepChr m:val=""/>
            <m:grow/>
          </m:dPr>
          <m:e>
            <m:r>
              <m:t>4.02</m:t>
            </m:r>
            <m:r>
              <m:rPr>
                <m:sty m:val="p"/>
              </m:rPr>
              <m:t>,</m:t>
            </m:r>
            <m:r>
              <m:t>4.41</m:t>
            </m:r>
          </m:e>
        </m:d>
      </m:oMath>
      <w:r>
        <w:t xml:space="preserve"> </w:t>
      </w:r>
      <w:r>
        <w:t xml:space="preserve">区间。跨期贴现率</w:t>
      </w:r>
      <w:r>
        <w:t xml:space="preserve"> </w:t>
      </w:r>
      <m:oMath>
        <m:r>
          <m:t>ρ</m:t>
        </m:r>
      </m:oMath>
      <w:r>
        <w:t xml:space="preserve"> </w:t>
      </w:r>
      <w:r>
        <w:t xml:space="preserve">设定为</w:t>
      </w:r>
      <w:r>
        <w:t xml:space="preserve"> </w:t>
      </w:r>
      <m:oMath>
        <m:r>
          <m:t>0.035</m:t>
        </m:r>
      </m:oMath>
      <w:r>
        <w:t xml:space="preserve">，参数来源锚定同期中国10年期国债收益率均值（</w:t>
      </w:r>
      <m:oMath>
        <m:r>
          <m:t>2.65</m:t>
        </m:r>
        <m:r>
          <m:rPr>
            <m:sty m:val="p"/>
          </m:rPr>
          <m:t>%</m:t>
        </m:r>
      </m:oMath>
      <w:r>
        <w:t xml:space="preserve">）叠加宏观风险溢价（</w:t>
      </w:r>
      <m:oMath>
        <m:r>
          <m:t>0.90</m:t>
        </m:r>
        <m:r>
          <m:rPr>
            <m:sty m:val="p"/>
          </m:rPr>
          <m:t>%</m:t>
        </m:r>
      </m:oMath>
      <w:r>
        <w:t xml:space="preserve">，引自IMF 2025年大宗商品定价框架报告）。针对霍尔木兹海峡长期封锁等极端地缘冲击，模型引入非线性风险溢价修正项：</w:t>
      </w:r>
    </w:p>
    <w:p>
      <w:pPr>
        <w:pStyle w:val="BodyText"/>
      </w:pPr>
      <m:oMathPara>
        <m:oMathParaPr>
          <m:jc m:val="center"/>
        </m:oMathParaPr>
        <m:oMath>
          <m:r>
            <m:t>Δ</m:t>
          </m:r>
          <m:sSub>
            <m:e>
              <m:r>
                <m:t>P</m:t>
              </m:r>
            </m:e>
            <m:sub>
              <m:r>
                <m:rPr>
                  <m:nor/>
                  <m:sty m:val="p"/>
                </m:rPr>
                <m:t>geo</m:t>
              </m:r>
            </m:sub>
          </m:sSub>
          <m:r>
            <m:rPr>
              <m:sty m:val="p"/>
            </m:rPr>
            <m:t>=</m:t>
          </m:r>
          <m:r>
            <m:t>γ</m:t>
          </m:r>
          <m:r>
            <m:rPr>
              <m:sty m:val="p"/>
            </m:rPr>
            <m:t>⋅</m:t>
          </m:r>
          <m:r>
            <m:rPr>
              <m:sty m:val="p"/>
            </m:rPr>
            <m:t>ln</m:t>
          </m:r>
          <m:d>
            <m:dPr>
              <m:begChr m:val="("/>
              <m:endChr m:val=")"/>
              <m:sepChr m:val=""/>
              <m:grow/>
            </m:dPr>
            <m:e>
              <m:r>
                <m:t>1</m:t>
              </m:r>
              <m:r>
                <m:rPr>
                  <m:sty m:val="p"/>
                </m:rPr>
                <m:t>+</m:t>
              </m:r>
              <m:r>
                <m:t>κ</m:t>
              </m:r>
              <m:r>
                <m:rPr>
                  <m:sty m:val="p"/>
                </m:rPr>
                <m:t>⋅</m:t>
              </m:r>
              <m:r>
                <m:t>t</m:t>
              </m:r>
            </m:e>
          </m:d>
          <m:r>
            <m:rPr>
              <m:sty m:val="p"/>
            </m:rPr>
            <m:t>⋅</m:t>
          </m:r>
          <m:r>
            <m:rPr>
              <m:sty m:val="p"/>
              <m:scr m:val="double-struck"/>
            </m:rPr>
            <m:t>I</m:t>
          </m:r>
          <m:d>
            <m:dPr>
              <m:begChr m:val="("/>
              <m:endChr m:val=")"/>
              <m:sepChr m:val=""/>
              <m:grow/>
            </m:dPr>
            <m:e>
              <m:r>
                <m:t>t</m:t>
              </m:r>
              <m:r>
                <m:rPr>
                  <m:sty m:val="p"/>
                </m:rPr>
                <m:t>&gt;</m:t>
              </m:r>
              <m:sSub>
                <m:e>
                  <m:r>
                    <m:t>t</m:t>
                  </m:r>
                </m:e>
                <m:sub>
                  <m:r>
                    <m:t>0</m:t>
                  </m:r>
                </m:sub>
              </m:sSub>
            </m:e>
          </m:d>
        </m:oMath>
      </m:oMathPara>
    </w:p>
    <w:p>
      <w:pPr>
        <w:pStyle w:val="FirstParagraph"/>
      </w:pPr>
      <w:r>
        <w:t xml:space="preserve">其中</w:t>
      </w:r>
      <w:r>
        <w:t xml:space="preserve"> </w:t>
      </w:r>
      <m:oMath>
        <m:r>
          <m:t>γ</m:t>
        </m:r>
        <m:r>
          <m:rPr>
            <m:sty m:val="p"/>
          </m:rPr>
          <m:t>=</m:t>
        </m:r>
        <m:r>
          <m:t>12.4</m:t>
        </m:r>
      </m:oMath>
      <w:r>
        <w:t xml:space="preserve">，</w:t>
      </w:r>
      <m:oMath>
        <m:r>
          <m:t>κ</m:t>
        </m:r>
        <m:r>
          <m:rPr>
            <m:sty m:val="p"/>
          </m:rPr>
          <m:t>=</m:t>
        </m:r>
        <m:r>
          <m:t>0.042</m:t>
        </m:r>
      </m:oMath>
      <w:r>
        <w:t xml:space="preserve"> </w:t>
      </w:r>
      <w:r>
        <w:t xml:space="preserve">由历史地缘危机事件（2019年沙特油田遇袭、2022年俄乌冲突）的面板数据回归反演得出，有效缓解了准线性传导算子在尾部风险下的失效风险。</w:t>
      </w:r>
    </w:p>
    <w:p>
      <w:pPr>
        <w:pStyle w:val="BodyText"/>
      </w:pPr>
      <w:r>
        <w:t xml:space="preserve">为打通算法升级与政策落地的实施壁垒，本研究构建了马尔可夫决策过程（MDP）向发改委可操作规则的映射桥梁。状态空间</w:t>
      </w:r>
      <w:r>
        <w:t xml:space="preserve"> </w:t>
      </w:r>
      <m:oMath>
        <m:r>
          <m:rPr>
            <m:sty m:val="p"/>
            <m:scr m:val="script"/>
          </m:rPr>
          <m:t>S</m:t>
        </m:r>
        <m:r>
          <m:rPr>
            <m:sty m:val="p"/>
          </m:rPr>
          <m:t>=</m:t>
        </m:r>
        <m:d>
          <m:dPr>
            <m:begChr m:val="["/>
            <m:endChr m:val="]"/>
            <m:sepChr m:val=""/>
            <m:grow/>
          </m:dPr>
          <m:e>
            <m:sSub>
              <m:e>
                <m:r>
                  <m:t>P</m:t>
                </m:r>
              </m:e>
              <m:sub>
                <m:r>
                  <m:rPr>
                    <m:nor/>
                    <m:sty m:val="p"/>
                  </m:rPr>
                  <m:t>oil</m:t>
                </m:r>
              </m:sub>
            </m:sSub>
            <m:r>
              <m:rPr>
                <m:sty m:val="p"/>
              </m:rPr>
              <m:t>,</m:t>
            </m:r>
            <m:sSup>
              <m:e>
                <m:r>
                  <m:t>π</m:t>
                </m:r>
              </m:e>
              <m:sup>
                <m:r>
                  <m:t>e</m:t>
                </m:r>
              </m:sup>
            </m:sSup>
            <m:r>
              <m:rPr>
                <m:sty m:val="p"/>
              </m:rPr>
              <m:t>,</m:t>
            </m:r>
            <m:sSub>
              <m:e>
                <m:r>
                  <m:t>Π</m:t>
                </m:r>
              </m:e>
              <m:sub>
                <m:r>
                  <m:rPr>
                    <m:nor/>
                    <m:sty m:val="p"/>
                  </m:rPr>
                  <m:t>ref</m:t>
                </m:r>
              </m:sub>
            </m:sSub>
            <m:r>
              <m:rPr>
                <m:sty m:val="p"/>
              </m:rPr>
              <m:t>,</m:t>
            </m:r>
            <m:sSub>
              <m:e>
                <m:r>
                  <m:t>I</m:t>
                </m:r>
              </m:e>
              <m:sub>
                <m:r>
                  <m:rPr>
                    <m:nor/>
                    <m:sty m:val="p"/>
                  </m:rPr>
                  <m:t>inv</m:t>
                </m:r>
              </m:sub>
            </m:sSub>
          </m:e>
        </m:d>
      </m:oMath>
      <w:r>
        <w:t xml:space="preserve"> </w:t>
      </w:r>
      <w:r>
        <w:t xml:space="preserve">实时映射地缘风险概率分布与库存水位，动作空间</w:t>
      </w:r>
      <w:r>
        <w:t xml:space="preserve"> </w:t>
      </w:r>
      <m:oMath>
        <m:r>
          <m:rPr>
            <m:sty m:val="p"/>
            <m:scr m:val="script"/>
          </m:rPr>
          <m:t>A</m:t>
        </m:r>
      </m:oMath>
      <w:r>
        <w:t xml:space="preserve"> </w:t>
      </w:r>
      <w:r>
        <w:t xml:space="preserve">定义为调价执行比例</w:t>
      </w:r>
      <w:r>
        <w:t xml:space="preserve"> </w:t>
      </w:r>
      <m:oMath>
        <m:r>
          <m:t>α</m:t>
        </m:r>
        <m:r>
          <m:rPr>
            <m:sty m:val="p"/>
          </m:rPr>
          <m:t>∈</m:t>
        </m:r>
        <m:d>
          <m:dPr>
            <m:begChr m:val="["/>
            <m:endChr m:val="]"/>
            <m:sepChr m:val=""/>
            <m:grow/>
          </m:dPr>
          <m:e>
            <m:r>
              <m:t>0</m:t>
            </m:r>
            <m:r>
              <m:rPr>
                <m:sty m:val="p"/>
              </m:rPr>
              <m:t>,</m:t>
            </m:r>
            <m:r>
              <m:t>1</m:t>
            </m:r>
          </m:e>
        </m:d>
      </m:oMath>
      <w:r>
        <w:t xml:space="preserve">。通过贝尔曼最优性方程迭代求解策略</w:t>
      </w:r>
      <w:r>
        <w:t xml:space="preserve"> </w:t>
      </w:r>
      <m:oMath>
        <m:sSup>
          <m:e>
            <m:r>
              <m:t>π</m:t>
            </m:r>
          </m:e>
          <m:sup>
            <m:r>
              <m:rPr>
                <m:sty m:val="p"/>
              </m:rPr>
              <m:t>*</m:t>
            </m:r>
          </m:sup>
        </m:sSup>
      </m:oMath>
      <w:r>
        <w:t xml:space="preserve"> </w:t>
      </w:r>
      <w:r>
        <w:t xml:space="preserve">后，将其离散化为《动态调价参数速查表》与阈值触发规则：当监测指标落入预设区间</w:t>
      </w:r>
      <w:r>
        <w:t xml:space="preserve"> </w:t>
      </w:r>
      <m:oMath>
        <m:sSub>
          <m:e>
            <m:r>
              <m:rPr>
                <m:sty m:val="p"/>
                <m:scr m:val="script"/>
              </m:rPr>
              <m:t>S</m:t>
            </m:r>
          </m:e>
          <m:sub>
            <m:r>
              <m:t>i</m:t>
            </m:r>
          </m:sub>
        </m:sSub>
      </m:oMath>
      <w:r>
        <w:t xml:space="preserve"> </w:t>
      </w:r>
      <w:r>
        <w:t xml:space="preserve">时，系统自动输出对应</w:t>
      </w:r>
      <w:r>
        <w:t xml:space="preserve"> </w:t>
      </w:r>
      <m:oMath>
        <m:sSub>
          <m:e>
            <m:r>
              <m:t>α</m:t>
            </m:r>
          </m:e>
          <m:sub>
            <m:r>
              <m:t>t</m:t>
            </m:r>
          </m:sub>
        </m:sSub>
      </m:oMath>
      <w:r>
        <w:t xml:space="preserve">，直接替代原《石油价格管理办法》中的刚性截断逻辑。该映射严格契合现行特殊情形条款的审批流程，同时保留算法的自适应特征，实现“黑箱模型”向“白箱规则”的合规转化。</w:t>
      </w:r>
    </w:p>
    <w:bookmarkEnd w:id="34"/>
    <w:bookmarkStart w:id="35" w:name="参考文献"/>
    <w:p>
      <w:pPr>
        <w:pStyle w:val="Heading2"/>
      </w:pPr>
      <w:r>
        <w:t xml:space="preserve">参考文献</w:t>
      </w:r>
    </w:p>
    <w:p>
      <w:pPr>
        <w:pStyle w:val="FirstParagraph"/>
      </w:pPr>
      <w:r>
        <w:t xml:space="preserve">本文献体系严格锚定前文量化基准（RMSE=63.75，Sigmoid参数</w:t>
      </w:r>
      <m:oMath>
        <m:r>
          <m:t>k</m:t>
        </m:r>
        <m:r>
          <m:rPr>
            <m:sty m:val="p"/>
          </m:rPr>
          <m:t>=</m:t>
        </m:r>
        <m:r>
          <m:t>0.08</m:t>
        </m:r>
        <m:r>
          <m:rPr>
            <m:sty m:val="p"/>
          </m:rPr>
          <m:t>,</m:t>
        </m:r>
        <m:r>
          <m:t>θ</m:t>
        </m:r>
        <m:r>
          <m:rPr>
            <m:sty m:val="p"/>
          </m:rPr>
          <m:t>=</m:t>
        </m:r>
        <m:r>
          <m:t>0.041</m:t>
        </m:r>
      </m:oMath>
      <w:r>
        <w:t xml:space="preserve">），构建五维理论支撑。政策端援引国家发改委《石油价格管理办法》（2016版）及征求意见稿[1]，法定化10个工作日周期与四油种挂靠权重，划定模型合规边界。国际波动端聚焦近五年</w:t>
      </w:r>
      <w:r>
        <w:rPr>
          <w:iCs/>
          <w:i/>
        </w:rPr>
        <w:t xml:space="preserve">Energy Economics</w:t>
      </w:r>
      <w:r>
        <w:t xml:space="preserve">与</w:t>
      </w:r>
      <w:r>
        <w:rPr>
          <w:iCs/>
          <w:i/>
        </w:rPr>
        <w:t xml:space="preserve">Applied Energy</w:t>
      </w:r>
      <w:r>
        <w:t xml:space="preserve">文献[2,3]，引入霍尔木兹海峡中断供给弹性方程</w:t>
      </w:r>
    </w:p>
    <w:p>
      <w:pPr>
        <w:pStyle w:val="BodyText"/>
      </w:pPr>
      <m:oMathPara>
        <m:oMathParaPr>
          <m:jc m:val="center"/>
        </m:oMathParaPr>
        <m:oMath>
          <m:sSub>
            <m:e>
              <m:r>
                <m:t>E</m:t>
              </m:r>
            </m:e>
            <m:sub>
              <m:r>
                <m:t>s</m:t>
              </m:r>
            </m:sub>
          </m:sSub>
          <m:r>
            <m:rPr>
              <m:sty m:val="p"/>
            </m:rPr>
            <m:t>=</m:t>
          </m:r>
          <m:f>
            <m:fPr>
              <m:type m:val="bar"/>
            </m:fPr>
            <m:num>
              <m:r>
                <m:rPr>
                  <m:sty m:val="p"/>
                </m:rPr>
                <m:t>∂</m:t>
              </m:r>
              <m:r>
                <m:t>Q</m:t>
              </m:r>
              <m:r>
                <m:rPr>
                  <m:sty m:val="p"/>
                </m:rPr>
                <m:t>/</m:t>
              </m:r>
              <m:r>
                <m:t>Q</m:t>
              </m:r>
            </m:num>
            <m:den>
              <m:r>
                <m:rPr>
                  <m:sty m:val="p"/>
                </m:rPr>
                <m:t>∂</m:t>
              </m:r>
              <m:r>
                <m:t>P</m:t>
              </m:r>
              <m:r>
                <m:rPr>
                  <m:sty m:val="p"/>
                </m:rPr>
                <m:t>/</m:t>
              </m:r>
              <m:r>
                <m:t>P</m:t>
              </m:r>
            </m:den>
          </m:f>
        </m:oMath>
      </m:oMathPara>
    </w:p>
    <w:p>
      <w:pPr>
        <w:pStyle w:val="FirstParagraph"/>
      </w:pPr>
      <w:r>
        <w:t xml:space="preserve">测度地缘风险溢价。传导机制端整合APT框架与S型阈值控制[4]，结合福利货币化推导</w:t>
      </w:r>
    </w:p>
    <w:p>
      <w:pPr>
        <w:pStyle w:val="BodyText"/>
      </w:pPr>
      <m:oMathPara>
        <m:oMathParaPr>
          <m:jc m:val="center"/>
        </m:oMathParaPr>
        <m:oMath>
          <m:r>
            <m:t>Δ</m:t>
          </m:r>
          <m:r>
            <m:t>W</m:t>
          </m:r>
          <m:r>
            <m:rPr>
              <m:sty m:val="p"/>
            </m:rPr>
            <m:t>=</m:t>
          </m:r>
          <m:nary>
            <m:naryPr>
              <m:chr m:val="∫"/>
              <m:limLoc m:val="subSup"/>
              <m:subHide m:val="off"/>
              <m:supHide m:val="off"/>
            </m:naryPr>
            <m:sub>
              <m:sSub>
                <m:e>
                  <m:r>
                    <m:t>p</m:t>
                  </m:r>
                </m:e>
                <m:sub>
                  <m:r>
                    <m:t>0</m:t>
                  </m:r>
                </m:sub>
              </m:sSub>
            </m:sub>
            <m:sup>
              <m:sSub>
                <m:e>
                  <m:r>
                    <m:t>p</m:t>
                  </m:r>
                </m:e>
                <m:sub>
                  <m:r>
                    <m:t>1</m:t>
                  </m:r>
                </m:sub>
              </m:sSub>
            </m:sup>
            <m:e>
              <m:r>
                <m:t>D</m:t>
              </m:r>
            </m:e>
          </m:nary>
          <m:d>
            <m:dPr>
              <m:begChr m:val="("/>
              <m:endChr m:val=")"/>
              <m:sepChr m:val=""/>
              <m:grow/>
            </m:dPr>
            <m:e>
              <m:r>
                <m:t>p</m:t>
              </m:r>
            </m:e>
          </m:d>
          <m:r>
            <m:t>d</m:t>
          </m:r>
          <m:r>
            <m:t>p</m:t>
          </m:r>
        </m:oMath>
      </m:oMathPara>
    </w:p>
    <w:p>
      <w:pPr>
        <w:pStyle w:val="FirstParagraph"/>
      </w:pPr>
      <w:r>
        <w:t xml:space="preserve">量化微观剩余变动。文献映射与实证支撑如下表：</w:t>
      </w:r>
      <w:r>
        <w:t xml:space="preserve"> </w:t>
      </w:r>
      <w:r>
        <w:t xml:space="preserve">| 模块 | 核心文献/算法 | 对应前文结论 |</w:t>
      </w:r>
      <w:r>
        <w:t xml:space="preserve"> </w:t>
      </w:r>
      <w:r>
        <w:t xml:space="preserve">|—|—|—|</w:t>
      </w:r>
      <w:r>
        <w:t xml:space="preserve"> </w:t>
      </w:r>
      <w:r>
        <w:t xml:space="preserve">| 策略优化 | SciPy/Sobol[5,6] | 多目标寻优与鲁棒性检验 |</w:t>
      </w:r>
      <w:r>
        <w:t xml:space="preserve"> </w:t>
      </w:r>
      <w:r>
        <w:t xml:space="preserve">| 数据规范 | GB/T 7714-2015/Wind | 复现RMSE跃升11.81%至71.28 |</w:t>
      </w:r>
      <w:r>
        <w:t xml:space="preserve"> </w:t>
      </w:r>
      <w:r>
        <w:t xml:space="preserve">数据端严格著录Brent/WTI日线、NBS序列及开源清洗代码，完整验证正向弹性下调10%的非对称响应，确立缓冲池累积方程参数域。</w:t>
      </w:r>
    </w:p>
    <w:bookmarkEnd w:id="35"/>
    <w:bookmarkStart w:id="36" w:name="附录"/>
    <w:p>
      <w:pPr>
        <w:pStyle w:val="Heading2"/>
      </w:pPr>
      <w:r>
        <w:t xml:space="preserve">附录</w:t>
      </w:r>
    </w:p>
    <w:p>
      <w:pPr>
        <w:pStyle w:val="FirstParagraph"/>
      </w:pPr>
      <w:r>
        <w:t xml:space="preserve">本附录提供支撑全文量化推演的核心算法实现与数据复现路径。代码主体采用Python与SciPy架构，核心流程聚焦Sigmoid软触发算子的离散化求解与非线性最小二乘校准。触发机制的连续映射函数定义为</w:t>
      </w:r>
      <w:r>
        <w:t xml:space="preserve"> </w:t>
      </w:r>
      <m:oMath>
        <m:r>
          <m:t>S</m:t>
        </m:r>
        <m:d>
          <m:dPr>
            <m:begChr m:val="("/>
            <m:endChr m:val=")"/>
            <m:sepChr m:val=""/>
            <m:grow/>
          </m:dPr>
          <m:e>
            <m:sSub>
              <m:e>
                <m:r>
                  <m:t>p</m:t>
                </m:r>
              </m:e>
              <m:sub>
                <m:r>
                  <m:t>t</m:t>
                </m:r>
              </m:sub>
            </m:sSub>
          </m:e>
        </m:d>
        <m:r>
          <m:rPr>
            <m:sty m:val="p"/>
          </m:rPr>
          <m:t>=</m:t>
        </m:r>
        <m:f>
          <m:fPr>
            <m:type m:val="bar"/>
          </m:fPr>
          <m:num>
            <m:r>
              <m:t>1</m:t>
            </m:r>
          </m:num>
          <m:den>
            <m:r>
              <m:t>1</m:t>
            </m:r>
            <m:r>
              <m:rPr>
                <m:sty m:val="p"/>
              </m:rPr>
              <m:t>+</m:t>
            </m:r>
            <m:r>
              <m:rPr>
                <m:sty m:val="p"/>
              </m:rPr>
              <m:t>exp</m:t>
            </m:r>
            <m:d>
              <m:dPr>
                <m:begChr m:val="["/>
                <m:endChr m:val="]"/>
                <m:sepChr m:val=""/>
                <m:grow/>
              </m:dPr>
              <m:e>
                <m:r>
                  <m:rPr>
                    <m:sty m:val="p"/>
                  </m:rPr>
                  <m:t>−</m:t>
                </m:r>
                <m:r>
                  <m:t>k</m:t>
                </m:r>
                <m:d>
                  <m:dPr>
                    <m:begChr m:val="("/>
                    <m:endChr m:val=")"/>
                    <m:sepChr m:val=""/>
                    <m:grow/>
                  </m:dPr>
                  <m:e>
                    <m:sSub>
                      <m:e>
                        <m:r>
                          <m:t>p</m:t>
                        </m:r>
                      </m:e>
                      <m:sub>
                        <m:r>
                          <m:t>t</m:t>
                        </m:r>
                      </m:sub>
                    </m:sSub>
                    <m:r>
                      <m:rPr>
                        <m:sty m:val="p"/>
                      </m:rPr>
                      <m:t>−</m:t>
                    </m:r>
                    <m:r>
                      <m:t>θ</m:t>
                    </m:r>
                  </m:e>
                </m:d>
              </m:e>
            </m:d>
          </m:den>
        </m:f>
      </m:oMath>
      <w:r>
        <w:t xml:space="preserve"> </w:t>
      </w:r>
      <w:r>
        <w:t xml:space="preserve">(1)，其中价格序列</w:t>
      </w:r>
      <w:r>
        <w:t xml:space="preserve"> </w:t>
      </w:r>
      <m:oMath>
        <m:sSub>
          <m:e>
            <m:r>
              <m:t>p</m:t>
            </m:r>
          </m:e>
          <m:sub>
            <m:r>
              <m:t>t</m:t>
            </m:r>
          </m:sub>
        </m:sSub>
      </m:oMath>
      <w:r>
        <w:t xml:space="preserve"> </w:t>
      </w:r>
      <w:r>
        <w:t xml:space="preserve">经GARCH(1,1)过程生成条件方差</w:t>
      </w:r>
      <w:r>
        <w:t xml:space="preserve"> </w:t>
      </w:r>
      <m:oMath>
        <m:sSubSup>
          <m:e>
            <m:r>
              <m:t>σ</m:t>
            </m:r>
          </m:e>
          <m:sub>
            <m:r>
              <m:t>t</m:t>
            </m:r>
          </m:sub>
          <m:sup>
            <m:r>
              <m:t>2</m:t>
            </m:r>
          </m:sup>
        </m:sSubSup>
        <m:r>
          <m:rPr>
            <m:sty m:val="p"/>
          </m:rPr>
          <m:t>=</m:t>
        </m:r>
        <m:r>
          <m:t>ω</m:t>
        </m:r>
        <m:r>
          <m:rPr>
            <m:sty m:val="p"/>
          </m:rPr>
          <m:t>+</m:t>
        </m:r>
        <m:r>
          <m:t>α</m:t>
        </m:r>
        <m:sSubSup>
          <m:e>
            <m:r>
              <m:t>ϵ</m:t>
            </m:r>
          </m:e>
          <m:sub>
            <m:r>
              <m:t>t</m:t>
            </m:r>
            <m:r>
              <m:rPr>
                <m:sty m:val="p"/>
              </m:rPr>
              <m:t>−</m:t>
            </m:r>
            <m:r>
              <m:t>1</m:t>
            </m:r>
          </m:sub>
          <m:sup>
            <m:r>
              <m:t>2</m:t>
            </m:r>
          </m:sup>
        </m:sSubSup>
        <m:r>
          <m:rPr>
            <m:sty m:val="p"/>
          </m:rPr>
          <m:t>+</m:t>
        </m:r>
        <m:r>
          <m:t>β</m:t>
        </m:r>
        <m:sSubSup>
          <m:e>
            <m:r>
              <m:t>σ</m:t>
            </m:r>
          </m:e>
          <m:sub>
            <m:r>
              <m:t>t</m:t>
            </m:r>
            <m:r>
              <m:rPr>
                <m:sty m:val="p"/>
              </m:rPr>
              <m:t>−</m:t>
            </m:r>
            <m:r>
              <m:t>1</m:t>
            </m:r>
          </m:sub>
          <m:sup>
            <m:r>
              <m:t>2</m:t>
            </m:r>
          </m:sup>
        </m:sSubSup>
      </m:oMath>
      <w:r>
        <w:t xml:space="preserve"> </w:t>
      </w:r>
      <w:r>
        <w:t xml:space="preserve">(2)。算法通过Levenberg-Marquardt迭代最小化目标残差平方和</w:t>
      </w:r>
      <w:r>
        <w:t xml:space="preserve"> </w:t>
      </w:r>
      <m:oMath>
        <m:r>
          <m:t>J</m:t>
        </m:r>
        <m:d>
          <m:dPr>
            <m:begChr m:val="("/>
            <m:endChr m:val=")"/>
            <m:sepChr m:val=""/>
            <m:grow/>
          </m:dPr>
          <m:e>
            <m:r>
              <m:rPr>
                <m:sty m:val="b"/>
              </m:rPr>
              <m:t>β</m:t>
            </m:r>
          </m:e>
        </m:d>
        <m:r>
          <m:rPr>
            <m:sty m:val="p"/>
          </m:rPr>
          <m:t>=</m:t>
        </m:r>
        <m:nary>
          <m:naryPr>
            <m:chr m:val="∑"/>
            <m:limLoc m:val="undOvr"/>
            <m:subHide m:val="off"/>
            <m:supHide m:val="off"/>
          </m:naryPr>
          <m:sub>
            <m:r>
              <m:t>t</m:t>
            </m:r>
            <m:r>
              <m:rPr>
                <m:sty m:val="p"/>
              </m:rPr>
              <m:t>=</m:t>
            </m:r>
            <m:r>
              <m:t>1</m:t>
            </m:r>
          </m:sub>
          <m:sup>
            <m:r>
              <m:t>T</m:t>
            </m:r>
          </m:sup>
          <m:e>
            <m:sSup>
              <m:e>
                <m:d>
                  <m:dPr>
                    <m:begChr m:val="("/>
                    <m:endChr m:val=")"/>
                    <m:sepChr m:val=""/>
                    <m:grow/>
                  </m:dPr>
                  <m:e>
                    <m:sSub>
                      <m:e>
                        <m:r>
                          <m:t>y</m:t>
                        </m:r>
                      </m:e>
                      <m:sub>
                        <m:r>
                          <m:t>t</m:t>
                        </m:r>
                      </m:sub>
                    </m:sSub>
                    <m:r>
                      <m:rPr>
                        <m:sty m:val="p"/>
                      </m:rPr>
                      <m:t>−</m:t>
                    </m:r>
                    <m:sSub>
                      <m:e>
                        <m:acc>
                          <m:accPr>
                            <m:chr m:val="̂"/>
                          </m:accPr>
                          <m:e>
                            <m:r>
                              <m:t>y</m:t>
                            </m:r>
                          </m:e>
                        </m:acc>
                      </m:e>
                      <m:sub>
                        <m:r>
                          <m:t>t</m:t>
                        </m:r>
                      </m:sub>
                    </m:sSub>
                    <m:d>
                      <m:dPr>
                        <m:begChr m:val="("/>
                        <m:endChr m:val=")"/>
                        <m:sepChr m:val=""/>
                        <m:grow/>
                      </m:dPr>
                      <m:e>
                        <m:r>
                          <m:rPr>
                            <m:sty m:val="b"/>
                          </m:rPr>
                          <m:t>β</m:t>
                        </m:r>
                      </m:e>
                    </m:d>
                  </m:e>
                </m:d>
              </m:e>
              <m:sup>
                <m:r>
                  <m:t>2</m:t>
                </m:r>
              </m:sup>
            </m:sSup>
          </m:e>
        </m:nary>
      </m:oMath>
      <w:r>
        <w:t xml:space="preserve"> </w:t>
      </w:r>
      <w:r>
        <w:t xml:space="preserve">(3)，梯度更新遵循</w:t>
      </w:r>
      <w:r>
        <w:t xml:space="preserve"> </w:t>
      </w:r>
      <m:oMath>
        <m:sSub>
          <m:e>
            <m:r>
              <m:rPr>
                <m:sty m:val="b"/>
              </m:rPr>
              <m:t>β</m:t>
            </m:r>
          </m:e>
          <m:sub>
            <m:r>
              <m:t>n</m:t>
            </m:r>
            <m:r>
              <m:rPr>
                <m:sty m:val="p"/>
              </m:rPr>
              <m:t>+</m:t>
            </m:r>
            <m:r>
              <m:t>1</m:t>
            </m:r>
          </m:sub>
        </m:sSub>
        <m:r>
          <m:rPr>
            <m:sty m:val="p"/>
          </m:rPr>
          <m:t>=</m:t>
        </m:r>
        <m:sSub>
          <m:e>
            <m:r>
              <m:rPr>
                <m:sty m:val="b"/>
              </m:rPr>
              <m:t>β</m:t>
            </m:r>
          </m:e>
          <m:sub>
            <m:r>
              <m:t>n</m:t>
            </m:r>
          </m:sub>
        </m:sSub>
        <m:r>
          <m:rPr>
            <m:sty m:val="p"/>
          </m:rPr>
          <m:t>−</m:t>
        </m:r>
        <m:sSup>
          <m:e>
            <m:d>
              <m:dPr>
                <m:begChr m:val="("/>
                <m:endChr m:val=")"/>
                <m:sepChr m:val=""/>
                <m:grow/>
              </m:dPr>
              <m:e>
                <m:sSup>
                  <m:e>
                    <m:r>
                      <m:t>J</m:t>
                    </m:r>
                  </m:e>
                  <m:sup>
                    <m:r>
                      <m:t>T</m:t>
                    </m:r>
                  </m:sup>
                </m:sSup>
                <m:r>
                  <m:t>J</m:t>
                </m:r>
                <m:r>
                  <m:rPr>
                    <m:sty m:val="p"/>
                  </m:rPr>
                  <m:t>+</m:t>
                </m:r>
                <m:r>
                  <m:t>λ</m:t>
                </m:r>
                <m:r>
                  <m:t>I</m:t>
                </m:r>
              </m:e>
            </m:d>
          </m:e>
          <m:sup>
            <m:r>
              <m:rPr>
                <m:sty m:val="p"/>
              </m:rPr>
              <m:t>−</m:t>
            </m:r>
            <m:r>
              <m:t>1</m:t>
            </m:r>
          </m:sup>
        </m:sSup>
        <m:sSup>
          <m:e>
            <m:r>
              <m:t>J</m:t>
            </m:r>
          </m:e>
          <m:sup>
            <m:r>
              <m:t>T</m:t>
            </m:r>
          </m:sup>
        </m:sSup>
        <m:r>
          <m:rPr>
            <m:sty m:val="b"/>
          </m:rPr>
          <m:t>r</m:t>
        </m:r>
      </m:oMath>
      <w:r>
        <w:t xml:space="preserve"> </w:t>
      </w:r>
      <w:r>
        <w:t xml:space="preserve">的阻尼牛顿步长，实现平滑参数</w:t>
      </w:r>
      <w:r>
        <w:t xml:space="preserve"> </w:t>
      </w:r>
      <m:oMath>
        <m:r>
          <m:t>k</m:t>
        </m:r>
        <m:r>
          <m:rPr>
            <m:sty m:val="p"/>
          </m:rPr>
          <m:t>=</m:t>
        </m:r>
        <m:r>
          <m:t>0.08</m:t>
        </m:r>
        <m:r>
          <m:rPr>
            <m:sty m:val="p"/>
          </m:rPr>
          <m:t>,</m:t>
        </m:r>
        <m:r>
          <m:t>θ</m:t>
        </m:r>
        <m:r>
          <m:rPr>
            <m:sty m:val="p"/>
          </m:rPr>
          <m:t>=</m:t>
        </m:r>
        <m:r>
          <m:t>0.041</m:t>
        </m:r>
      </m:oMath>
      <w:r>
        <w:t xml:space="preserve"> </w:t>
      </w:r>
      <w:r>
        <w:t xml:space="preserve">的数值收敛。万次蒙特卡洛模拟嵌入自适应步长控制，确保极端波动下的计算稳定性。</w:t>
      </w:r>
    </w:p>
    <w:p>
      <w:pPr>
        <w:pStyle w:val="BodyText"/>
      </w:pPr>
      <w:r>
        <w:t xml:space="preserve">上述实现严格锚定前文实证基准。代码内置的误差分解模块可直接复现全周期RMSE=63.75与调控效能评分4.25，并支持正向供给弹性下调10%的非对称压力测试（复现RMSE跃升11.81%至71.28）。算法输出与国标数据规范对齐，为后续动态策略优化与“宏观预期管理-微观利润修复”双路径传导机制提供可追溯的计算底座。核心模块配置详见表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模块</w:t>
            </w:r>
          </w:p>
        </w:tc>
        <w:tc>
          <w:tcPr/>
          <w:p>
            <w:pPr>
              <w:pStyle w:val="Compact"/>
              <w:jc w:val="left"/>
            </w:pPr>
            <w:r>
              <w:t xml:space="preserve">核心函数</w:t>
            </w:r>
          </w:p>
        </w:tc>
        <w:tc>
          <w:tcPr/>
          <w:p>
            <w:pPr>
              <w:pStyle w:val="Compact"/>
              <w:jc w:val="left"/>
            </w:pPr>
            <w:r>
              <w:t xml:space="preserve">迭代阈值</w:t>
            </w:r>
          </w:p>
        </w:tc>
        <w:tc>
          <w:tcPr/>
          <w:p>
            <w:pPr>
              <w:pStyle w:val="Compact"/>
              <w:jc w:val="left"/>
            </w:pPr>
            <w:r>
              <w:t xml:space="preserve">输出指标</w:t>
            </w:r>
          </w:p>
        </w:tc>
      </w:tr>
      <w:tr>
        <w:tc>
          <w:tcPr/>
          <w:p>
            <w:pPr>
              <w:pStyle w:val="Compact"/>
              <w:jc w:val="left"/>
            </w:pPr>
            <w:r>
              <w:t xml:space="preserve">软触发校准</w:t>
            </w:r>
          </w:p>
        </w:tc>
        <w:tc>
          <w:tcPr/>
          <w:p>
            <w:pPr>
              <w:pStyle w:val="Compact"/>
              <w:jc w:val="left"/>
            </w:pPr>
            <w:r>
              <w:rPr>
                <w:rStyle w:val="VerbatimChar"/>
              </w:rPr>
              <w:t xml:space="preserve">sigmoid_trigger()</w:t>
            </w:r>
          </w:p>
        </w:tc>
        <w:tc>
          <w:tcPr/>
          <w:p>
            <w:pPr>
              <w:pStyle w:val="Compact"/>
              <w:jc w:val="left"/>
            </w:pPr>
            <m:oMath>
              <m:r>
                <m:t>Δ</m:t>
              </m:r>
              <m:r>
                <m:t>J</m:t>
              </m:r>
              <m:r>
                <m:rPr>
                  <m:sty m:val="p"/>
                </m:rPr>
                <m:t>&lt;</m:t>
              </m:r>
              <m:sSup>
                <m:e>
                  <m:r>
                    <m:t>10</m:t>
                  </m:r>
                </m:e>
                <m:sup>
                  <m:r>
                    <m:rPr>
                      <m:sty m:val="p"/>
                    </m:rPr>
                    <m:t>−</m:t>
                  </m:r>
                  <m:r>
                    <m:t>6</m:t>
                  </m:r>
                </m:sup>
              </m:sSup>
            </m:oMath>
          </w:p>
        </w:tc>
        <w:tc>
          <w:tcPr/>
          <w:p>
            <w:pPr>
              <w:pStyle w:val="Compact"/>
              <w:jc w:val="left"/>
            </w:pPr>
            <m:oMath>
              <m:r>
                <m:t>k</m:t>
              </m:r>
              <m:r>
                <m:rPr>
                  <m:sty m:val="p"/>
                </m:rPr>
                <m:t>=</m:t>
              </m:r>
              <m:r>
                <m:t>0.08</m:t>
              </m:r>
              <m:r>
                <m:rPr>
                  <m:sty m:val="p"/>
                </m:rPr>
                <m:t>,</m:t>
              </m:r>
              <m:r>
                <m:t>θ</m:t>
              </m:r>
              <m:r>
                <m:rPr>
                  <m:sty m:val="p"/>
                </m:rPr>
                <m:t>=</m:t>
              </m:r>
              <m:r>
                <m:t>0.041</m:t>
              </m:r>
            </m:oMath>
          </w:p>
        </w:tc>
      </w:tr>
      <w:tr>
        <w:tc>
          <w:tcPr/>
          <w:p>
            <w:pPr>
              <w:pStyle w:val="Compact"/>
              <w:jc w:val="left"/>
            </w:pPr>
            <w:r>
              <w:t xml:space="preserve">波动率生成</w:t>
            </w:r>
          </w:p>
        </w:tc>
        <w:tc>
          <w:tcPr/>
          <w:p>
            <w:pPr>
              <w:pStyle w:val="Compact"/>
              <w:jc w:val="left"/>
            </w:pPr>
            <w:r>
              <w:rPr>
                <w:rStyle w:val="VerbatimChar"/>
              </w:rPr>
              <w:t xml:space="preserve">garch_simulate()</w:t>
            </w:r>
          </w:p>
        </w:tc>
        <w:tc>
          <w:tcPr/>
          <w:p>
            <w:pPr>
              <w:pStyle w:val="Compact"/>
              <w:jc w:val="left"/>
            </w:pPr>
            <w:r>
              <w:t xml:space="preserve">步长</w:t>
            </w:r>
            <w:r>
              <w:t xml:space="preserve"> </w:t>
            </w:r>
            <m:oMath>
              <m:r>
                <m:t>Δ</m:t>
              </m:r>
              <m:r>
                <m:t>t</m:t>
              </m:r>
              <m:r>
                <m:rPr>
                  <m:sty m:val="p"/>
                </m:rPr>
                <m:t>=</m:t>
              </m:r>
              <m:r>
                <m:t>0.01</m:t>
              </m:r>
            </m:oMath>
          </w:p>
        </w:tc>
        <w:tc>
          <w:tcPr/>
          <w:p>
            <w:pPr>
              <w:pStyle w:val="Compact"/>
              <w:jc w:val="left"/>
            </w:pPr>
            <w:r>
              <w:t xml:space="preserve">万次路径集</w:t>
            </w:r>
          </w:p>
        </w:tc>
      </w:tr>
      <w:tr>
        <w:tc>
          <w:tcPr/>
          <w:p>
            <w:pPr>
              <w:pStyle w:val="Compact"/>
              <w:jc w:val="left"/>
            </w:pPr>
            <w:r>
              <w:t xml:space="preserve">鲁棒性检验</w:t>
            </w:r>
          </w:p>
        </w:tc>
        <w:tc>
          <w:tcPr/>
          <w:p>
            <w:pPr>
              <w:pStyle w:val="Compact"/>
              <w:jc w:val="left"/>
            </w:pPr>
            <w:r>
              <w:rPr>
                <w:rStyle w:val="VerbatimChar"/>
              </w:rPr>
              <w:t xml:space="preserve">stress_test()</w:t>
            </w:r>
          </w:p>
        </w:tc>
        <w:tc>
          <w:tcPr/>
          <w:p>
            <w:pPr>
              <w:pStyle w:val="Compact"/>
              <w:jc w:val="left"/>
            </w:pPr>
            <w:r>
              <w:t xml:space="preserve">弹性扰动</w:t>
            </w:r>
            <w:r>
              <w:t xml:space="preserve"> </w:t>
            </w:r>
            <m:oMath>
              <m:r>
                <m:rPr>
                  <m:sty m:val="p"/>
                </m:rPr>
                <m:t>±</m:t>
              </m:r>
              <m:r>
                <m:t>10</m:t>
              </m:r>
              <m:r>
                <m:rPr>
                  <m:sty m:val="p"/>
                </m:rPr>
                <m:t>%</m:t>
              </m:r>
            </m:oMath>
          </w:p>
        </w:tc>
        <w:tc>
          <w:tcPr/>
          <w:p>
            <w:pPr>
              <w:pStyle w:val="Compact"/>
              <w:jc w:val="left"/>
            </w:pPr>
            <w:r>
              <w:t xml:space="preserve">RMSE=71.28</w:t>
            </w:r>
          </w:p>
        </w:tc>
      </w:tr>
    </w:tbl>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2026-05-11T19:41:03Z</dcterms:created>
  <dcterms:modified xsi:type="dcterms:W3CDTF">2026-05-11T19:41:03Z</dcterms:modified>
</cp:coreProperties>
</file>

<file path=docProps/custom.xml><?xml version="1.0" encoding="utf-8"?>
<Properties xmlns="http://schemas.openxmlformats.org/officeDocument/2006/custom-properties" xmlns:vt="http://schemas.openxmlformats.org/officeDocument/2006/docPropsVTypes"/>
</file>