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32"/>
        </w:rPr>
        <w:t>创AI案例开发与应用报告终稿</w:t>
      </w:r>
    </w:p>
    <w:p>
      <w:pPr>
        <w:jc w:val="center"/>
      </w:pPr>
      <w:r>
        <w:rPr>
          <w:rFonts w:ascii="仿宋_GB2312" w:hAnsi="仿宋_GB2312" w:eastAsia="仿宋_GB2312"/>
          <w:b w:val="0"/>
          <w:sz w:val="20"/>
        </w:rPr>
        <w:t>案例名称：XEdu Client：面向人工智能课堂的一体化实验学习平台</w:t>
      </w:r>
    </w:p>
    <w:p>
      <w:pPr>
        <w:jc w:val="center"/>
      </w:pPr>
      <w:r>
        <w:rPr>
          <w:rFonts w:ascii="仿宋_GB2312" w:hAnsi="仿宋_GB2312" w:eastAsia="仿宋_GB2312"/>
          <w:b w:val="0"/>
          <w:sz w:val="20"/>
        </w:rPr>
        <w:t>说明：以下文本可直接填入官方《开发与应用报告》模板。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一、开发背景</w:t>
      </w:r>
    </w:p>
    <w:p>
      <w:r>
        <w:rPr>
          <w:rFonts w:ascii="仿宋_GB2312" w:hAnsi="仿宋_GB2312" w:eastAsia="仿宋_GB2312"/>
          <w:b w:val="0"/>
          <w:sz w:val="24"/>
        </w:rPr>
        <w:t>在初中人工智能通识课程实施中，教师常常面临三个问题：一是讲解材料、可视化练习和代码实践分散在不同工具中；二是环境配置复杂，课堂时间容易耗费在切换和排错上；三是学生在不同入口之间频繁跳转，任务上下文难以连续保留。实际教学中，教师往往需要先用网页或课件讲解任务，再切换到图形化工具帮助学生理解流程，最后再回到 Notebook 或 Python 环境做代码验证。这样不仅打断课堂节奏，也容易让基础较弱的学生在“看懂任务”和“进入实践”之间失去衔接。</w:t>
      </w:r>
    </w:p>
    <w:p>
      <w:r>
        <w:rPr>
          <w:rFonts w:ascii="仿宋_GB2312" w:hAnsi="仿宋_GB2312" w:eastAsia="仿宋_GB2312"/>
          <w:b w:val="0"/>
          <w:sz w:val="24"/>
        </w:rPr>
        <w:t>针对这些问题，我们开发了 XEdu Client。该工具把 Jupyter 代码实验、Blockly 可视化理解、课程资源管理和课堂接入整合到同一学习工作台，帮助学生在一个连续任务中完成“理解原理、观察流程、进入代码、验证结果、回顾总结”的学习闭环。以 01_目标检测与细粒度分类 为例，学生可先理解“先检测、再裁剪、再分类”的任务逻辑，再通过 Blockly 观察流程编排，最后进入 Jupyter 阅读和运行代码，从而把抽象的人工智能流程转化为可操作、可验证的课堂实验活动。</w:t>
      </w:r>
    </w:p>
    <w:p>
      <w:r>
        <w:rPr>
          <w:rFonts w:ascii="仿宋_GB2312" w:hAnsi="仿宋_GB2312" w:eastAsia="仿宋_GB2312"/>
          <w:b w:val="0"/>
          <w:sz w:val="24"/>
        </w:rPr>
        <w:t>在开发过程中，项目还引入生成式人工智能辅助需求梳理、交互文案打磨、代码补全、测试样例整理和文档生成，提升了个人与小团队完成跨前后端教育工具开发的效率。对教师开发者而言，这种方式的重要意义在于：即使没有完整的软件工程团队，也可以借助 AI 辅助把教学需求更快转化为可运行的本地工具。正式申报时，请在本节补入真实使用的国产生成式 AI 工具、提示词片段、对话截图或采纳后的产出对比。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二、设计与开发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（一）平台/技术选择</w:t>
      </w:r>
    </w:p>
    <w:p>
      <w:r>
        <w:rPr>
          <w:rFonts w:ascii="仿宋_GB2312" w:hAnsi="仿宋_GB2312" w:eastAsia="仿宋_GB2312"/>
          <w:b w:val="0"/>
          <w:sz w:val="24"/>
        </w:rPr>
        <w:t>项目采用“桌面端入口 + 本地服务支撑”的技术路线。前端基于 Electron + Vite 构建统一学习入口，后端采用 Flask + Python 提供课程资源、运行时装配和 Jupyter 管理能力；实践环境使用 JupyterLab/Notebook，可视化学习模块基于 Blockly 实现，人工智能实验流程结合 XEduHub 等教学资源组织。整体方案强调本地可部署、低网络依赖和课堂可控性，适合学校机房和常态课堂使用。</w:t>
      </w:r>
    </w:p>
    <w:p>
      <w:r>
        <w:rPr>
          <w:rFonts w:ascii="仿宋_GB2312" w:hAnsi="仿宋_GB2312" w:eastAsia="仿宋_GB2312"/>
          <w:b w:val="0"/>
          <w:sz w:val="24"/>
        </w:rPr>
        <w:t>从教学适配性看，这一组合兼顾了初中学生的学习起点和人工智能课程的实践需求。Blockly 适合理解流程，Jupyter 适合支撑代码阅读、运行和修改，课程资源系统则把讲解页、样例图片、积木工作区和 Notebook 入口组织在同一课程结构中，减少认知负担。这样的组合并不是简单叠加多种工具，而是针对课堂教学把不同学习阶段的载体重新编排：在理解阶段强调“看得懂”，在实践阶段强调“做得成”，在复盘阶段强调“回得去”。</w:t>
      </w:r>
    </w:p>
    <w:p>
      <w:r>
        <w:rPr>
          <w:rFonts w:ascii="仿宋_GB2312" w:hAnsi="仿宋_GB2312" w:eastAsia="仿宋_GB2312"/>
          <w:b w:val="0"/>
          <w:sz w:val="24"/>
        </w:rPr>
        <w:t>在生成式人工智能赋能开发方面，建议在正式稿中按真实情况补充三类信息：一是使用了哪些国产大模型或 AI 编程工具；二是分别在哪些环节发挥作用，如界面方案讨论、提示文案打磨、代码补全、测试用例整理、申报文稿初稿生成等；三是提供具有代表性的提示词、结果截图和采纳后的修改片段，以体现可复现的开发过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（二）开发过程</w:t>
      </w:r>
    </w:p>
    <w:p>
      <w:r>
        <w:rPr>
          <w:rFonts w:ascii="仿宋_GB2312" w:hAnsi="仿宋_GB2312" w:eastAsia="仿宋_GB2312"/>
          <w:b w:val="0"/>
          <w:sz w:val="24"/>
        </w:rPr>
        <w:t>项目开发大致经历了以下步骤。首先，明确产品主线，把系统定位为面向课堂实验的一体化学习工具，而不是单纯的实验启动器。其次，梳理课堂任务链路，确定“讲解页—Blockly—Jupyter—结果展示”这一基本学习闭环，并以 01_目标检测与细粒度分类 作为代表样例反复验证路径是否顺畅。再次，打通 Jupyter 与 Blockly 双入口学习路径，让学生既能通过可视化积木理解人工智能任务流程，也能继续进入 Notebook/Python 做代码实践。随后，组织课程资源与课堂接入，支持教师以课程文件夹方式管理讲解页、Notebook、Python 文件、Blockly 工作区、图片和数据等实验材料，并在课堂接入后让学生直接回到当前课节对应实验。之后，构建 Blockly 可运行学习模块，使其能够承载真实课堂任务，包括流程展示、结果呈现和与代码入口的联动。最后，接入 Jupyter 管理能力，将部分复杂度从学生侧转移到工具侧，提高课堂使用的稳定性与一致性。</w:t>
      </w:r>
    </w:p>
    <w:p>
      <w:r>
        <w:rPr>
          <w:rFonts w:ascii="仿宋_GB2312" w:hAnsi="仿宋_GB2312" w:eastAsia="仿宋_GB2312"/>
          <w:b w:val="0"/>
          <w:sz w:val="24"/>
        </w:rPr>
        <w:t>在整个迭代过程中，生成式人工智能被用于辅助需求梳理、接口说明生成、测试样例整理和文稿撰写。例如，在需求澄清阶段，可借助 AI 对课堂痛点进行结构化归纳；在开发阶段，可借助 AI 补全局部代码、整理边界情况；在文档阶段，可借助 AI 初步生成描述框架，再由开发者结合真实教学场景进行修订。正式申报时，可在此处插入 [国产AI工具名称]、[典型提示词]、[采纳后的界面或代码片段]、[开发记录截图] 等证据，突出“AI 赋能开发”的特征。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（三）功能架构</w:t>
      </w:r>
    </w:p>
    <w:p>
      <w:r>
        <w:rPr>
          <w:rFonts w:ascii="仿宋_GB2312" w:hAnsi="仿宋_GB2312" w:eastAsia="仿宋_GB2312"/>
          <w:b w:val="0"/>
          <w:sz w:val="24"/>
        </w:rPr>
        <w:t>项目最终形成了四个相互支撑的功能模块。第一，学生实验工作台，围绕课堂实验连续性提供 Jupyter 与 Blockly 双入口。第二，课程资源管理模块，教师可按课程目录组织讲解页、Notebook、Python、Blockly、图片和说明文档，形成结构化实验包。第三，Blockly 可运行学习模块，学生可通过拖拽积木理解 AI 任务流程、查看运行结果，并逐步过渡到代码表达。第四，本地运行与教学支持模块，系统负责 Jupyter 运行、资源装配、接口服务及教师/学生模式切换等底层支撑，降低课堂使用门槛。四个模块共同服务于同一个目标：让学生在同一任务情境下持续完成学习，而不是在多个无关工具之间来回迁移。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三、应用过程与效果</w:t>
      </w:r>
    </w:p>
    <w:p>
      <w:r>
        <w:rPr>
          <w:rFonts w:ascii="仿宋_GB2312" w:hAnsi="仿宋_GB2312" w:eastAsia="仿宋_GB2312"/>
          <w:b w:val="0"/>
          <w:sz w:val="24"/>
        </w:rPr>
        <w:t>该工具适合用于初中人工智能通识课、项目式学习课或校本课程。教师可以先在课程资源中准备实验包，再让学生从讲解页进入 01_目标检测与细粒度分类，理解任务目标和流程逻辑；随后进入 Blockly 工作区观察“检测、裁剪、分类”的串联关系；再切换到 Jupyter，继续阅读和运行对应代码；最后结合结果图或课堂讨论完成总结与复盘。这样，学生不需要在多个无关软件之间频繁切换，而是在统一工作台中完成从认知到实践的闭环。对于教师来说，这种方式也减少了课堂中反复解释“现在打开哪个软件、这个文件在哪里、这一步为什么跑不起来”的时间消耗。</w:t>
      </w:r>
    </w:p>
    <w:p>
      <w:r>
        <w:rPr>
          <w:rFonts w:ascii="仿宋_GB2312" w:hAnsi="仿宋_GB2312" w:eastAsia="仿宋_GB2312"/>
          <w:b w:val="0"/>
          <w:sz w:val="24"/>
        </w:rPr>
        <w:t>从教学效果看，该工具主要带来了三方面改进。第一，降低门槛。学生可先通过积木化方式理解流程，再进入代码实践，减少“看不懂代码就无法开始”的挫败感。第二，增强连续性。课程资源、实验入口和运行结果保留在同一工作台，学生更容易保持任务上下文。第三，提升复现性。教师可以把实验材料打包为结构化课程资源，便于不同班级复用，也便于同一课程在后续教学中持续迭代。</w:t>
      </w:r>
    </w:p>
    <w:p>
      <w:r>
        <w:rPr>
          <w:rFonts w:ascii="仿宋_GB2312" w:hAnsi="仿宋_GB2312" w:eastAsia="仿宋_GB2312"/>
          <w:b w:val="0"/>
          <w:sz w:val="24"/>
        </w:rPr>
        <w:t>正式申报时，建议在本节补充真实应用数据，如 [应用学校]、[班级数量]、[学生人数]、[实施课时数]、[学生作品示例]、[课堂反馈截图]、[教师访谈摘录]。如果有对比数据，也可进一步说明该工具在课堂组织效率、学生参与度、实验完成率等方面的提升情况。若暂时没有完整量化数据，也建议至少补入一段真实课堂应用描述，例如“某班学生先在 Blockly 中完成流程理解，再进入 Notebook 修改参数并观察结果变化”，增强材料的现场感与可信度。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四、创新与反思</w:t>
      </w:r>
    </w:p>
    <w:p>
      <w:r>
        <w:rPr>
          <w:rFonts w:ascii="仿宋_GB2312" w:hAnsi="仿宋_GB2312" w:eastAsia="仿宋_GB2312"/>
          <w:b w:val="0"/>
          <w:sz w:val="24"/>
        </w:rPr>
        <w:t>本项目的创新主要体现在四个方面。第一，围绕“课堂实验继续完成”重组完整学习链条，不再把人工智能课堂拆成彼此割裂的讲解、演示和编程环节。第二，把 Blockly 与 Jupyter 放在同一教学工作台中，让可视化理解与代码实践自然衔接。第三，强调本地部署与资源打包，适配学校机房和普通教室环境。第四，在开发过程中引入生成式人工智能，提升教师或小团队跨界开发教育工具的能力。</w:t>
      </w:r>
    </w:p>
    <w:p>
      <w:r>
        <w:rPr>
          <w:rFonts w:ascii="仿宋_GB2312" w:hAnsi="仿宋_GB2312" w:eastAsia="仿宋_GB2312"/>
          <w:b w:val="0"/>
          <w:sz w:val="24"/>
        </w:rPr>
        <w:t>同时，项目仍有进一步完善空间。一是不同学校设备条件差异较大，仍需持续优化安装与运维体验；二是课堂应用成效的数据积累还应更加系统；三是若要扩大推广范围，还需继续补齐安装手册、使用手册、课堂案例包和开发记录等材料。未来还可以在现有基础上继续丰富更多可直接导入的课程样例，使不同主题的人工智能课堂都能更快落地。</w:t>
      </w:r>
    </w:p>
    <w:p>
      <w:r>
        <w:rPr>
          <w:rFonts w:ascii="仿宋_GB2312" w:hAnsi="仿宋_GB2312" w:eastAsia="仿宋_GB2312"/>
          <w:b w:val="0"/>
          <w:sz w:val="24"/>
        </w:rPr>
        <w:t>总体来看，XEdu Client 不是单一课件或演示程序，而是一款面向真实教学问题开发的人工智能学习工具。它既关注学生如何更自然地学习人工智能，也关注教师如何更稳定地组织课堂实施。正因为它兼顾了“课堂可用”和“学习可持续”两个维度，所以更接近一项可推广、可复用、可继续演进的教育工具成果，而不只是一次性的展示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