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67029035"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5EE0EBF0" w14:textId="77777777" w:rsidR="00EF108C" w:rsidRDefault="00EF108C">
            <w:pPr>
              <w:pStyle w:val="NormalWeb"/>
              <w:rPr>
                <w:rFonts w:ascii="Segoe UI" w:hAnsi="Segoe UI" w:cs="Segoe UI"/>
                <w:color w:val="FFFFFF"/>
                <w:spacing w:val="20"/>
              </w:rPr>
            </w:pPr>
            <w:r>
              <w:rPr>
                <w:rFonts w:ascii="Segoe UI" w:hAnsi="Segoe UI" w:cs="Segoe UI"/>
                <w:color w:val="FFFFFF"/>
                <w:spacing w:val="20"/>
              </w:rPr>
              <w:t>AL TANFITH AL DWALIAH SPC</w:t>
            </w:r>
          </w:p>
          <w:p w14:paraId="75C837BE" w14:textId="77777777" w:rsidR="00EF108C" w:rsidRDefault="00EF108C">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1D0F60E6" w14:textId="77777777" w:rsidR="00EF108C" w:rsidRDefault="00EF108C">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7205082E" w14:textId="77777777" w:rsidR="00EF108C" w:rsidRDefault="00EF108C">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4617C87E" w14:textId="77777777" w:rsidR="00EF108C" w:rsidRDefault="00EF108C">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19736650" w14:textId="77777777" w:rsidR="00EF108C" w:rsidRDefault="00EF108C">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1.6</w:t>
            </w:r>
          </w:p>
          <w:p w14:paraId="7B28CB0C" w14:textId="77777777" w:rsidR="00EF108C" w:rsidRDefault="00EF108C">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68631D0A" w14:textId="77777777" w:rsidR="00EF108C" w:rsidRDefault="00EF108C">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3D5DF607"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an enterprise engagement, assessment, and knowledge-evaluation platform, offered as a flexible, customisable alternative to general public quiz tools, and already proven in real operational use.</w:t>
      </w:r>
    </w:p>
    <w:p w14:paraId="58B44BE0"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17CFA858"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25B475CB"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79F4E3"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00026544"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7B19C"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55E61"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17C209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F393C1"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7850D6"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77D9FC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E87D58"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1D3DD6"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53C348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B113B5"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DB27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647985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35B13"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899DD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until </w:t>
            </w:r>
            <w:r>
              <w:rPr>
                <w:rStyle w:val="Strong"/>
                <w:rFonts w:ascii="Segoe UI" w:eastAsia="Times New Roman" w:hAnsi="Segoe UI" w:cs="Segoe UI"/>
                <w:color w:val="1F2933"/>
                <w:sz w:val="19"/>
                <w:szCs w:val="19"/>
              </w:rPr>
              <w:t>27/08/2026</w:t>
            </w:r>
          </w:p>
        </w:tc>
      </w:tr>
      <w:tr w:rsidR="00000000" w14:paraId="4F8BF3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08CF6E"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0A632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1.6 Session capacity stated as up to 500 concurrent participants. No pricing or scope changes.</w:t>
            </w:r>
          </w:p>
        </w:tc>
      </w:tr>
    </w:tbl>
    <w:p w14:paraId="46F8A9B8" w14:textId="77777777" w:rsidR="00EF108C" w:rsidRDefault="00EF108C">
      <w:pPr>
        <w:pStyle w:val="Heading1"/>
        <w:rPr>
          <w:rFonts w:ascii="Segoe UI" w:eastAsia="Times New Roman" w:hAnsi="Segoe UI" w:cs="Segoe UI"/>
          <w:lang w:val="en"/>
        </w:rPr>
      </w:pPr>
      <w:r>
        <w:rPr>
          <w:rFonts w:ascii="Segoe UI" w:eastAsia="Times New Roman" w:hAnsi="Segoe UI" w:cs="Segoe UI"/>
          <w:lang w:val="en"/>
        </w:rPr>
        <w:t>2. Pricing Tables</w:t>
      </w:r>
    </w:p>
    <w:p w14:paraId="4C93C9D1"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implementation, deployment, branding setup, and training are included. Model C is scoped and quoted separately per engagement.</w:t>
      </w:r>
    </w:p>
    <w:p w14:paraId="5CB225D3" w14:textId="77777777" w:rsidR="00EF108C" w:rsidRDefault="00EF108C">
      <w:pPr>
        <w:pStyle w:val="Heading2"/>
        <w:rPr>
          <w:rFonts w:ascii="Segoe UI" w:eastAsia="Times New Roman" w:hAnsi="Segoe UI" w:cs="Segoe UI"/>
          <w:lang w:val="en"/>
        </w:rPr>
      </w:pPr>
      <w:r>
        <w:rPr>
          <w:rFonts w:ascii="Segoe UI" w:eastAsia="Times New Roman" w:hAnsi="Segoe UI" w:cs="Segoe UI"/>
          <w:lang w:val="en"/>
        </w:rPr>
        <w:lastRenderedPageBreak/>
        <w:t>2.1 Model A Annual SaaS Subscription</w:t>
      </w:r>
    </w:p>
    <w:p w14:paraId="3961F3C2"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single department and organisation-wide each with unlimited hosts a</w:t>
      </w:r>
      <w:r>
        <w:rPr>
          <w:rFonts w:ascii="Segoe UI" w:hAnsi="Segoe UI" w:cs="Segoe UI"/>
          <w:color w:val="1F2933"/>
          <w:sz w:val="21"/>
          <w:szCs w:val="21"/>
          <w:lang w:val="en"/>
        </w:rPr>
        <w:t>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2865"/>
        <w:gridCol w:w="6754"/>
      </w:tblGrid>
      <w:tr w:rsidR="00000000" w14:paraId="123226F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D126B9"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C791D3"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6F42AB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0EA1DC"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64489E"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3146F4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AB6FF1"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26CDC"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76E094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21EEF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956B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500 generations per calendar month; unused generations do not roll over to subsequent months</w:t>
            </w:r>
          </w:p>
        </w:tc>
      </w:tr>
      <w:tr w:rsidR="00000000" w14:paraId="36077C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A553E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91160C"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10</w:t>
            </w:r>
            <w:r>
              <w:rPr>
                <w:rFonts w:ascii="Segoe UI" w:eastAsia="Times New Roman" w:hAnsi="Segoe UI" w:cs="Segoe UI"/>
                <w:color w:val="1F2933"/>
                <w:sz w:val="19"/>
                <w:szCs w:val="19"/>
              </w:rPr>
              <w:t xml:space="preserve"> per additional 500 generations</w:t>
            </w:r>
          </w:p>
        </w:tc>
      </w:tr>
    </w:tbl>
    <w:p w14:paraId="5836EF21" w14:textId="77777777" w:rsidR="00EF108C" w:rsidRDefault="00EF108C">
      <w:pPr>
        <w:pStyle w:val="Heading2"/>
        <w:rPr>
          <w:rFonts w:ascii="Segoe UI" w:eastAsia="Times New Roman" w:hAnsi="Segoe UI" w:cs="Segoe UI"/>
          <w:lang w:val="en"/>
        </w:rPr>
      </w:pPr>
      <w:r>
        <w:rPr>
          <w:rFonts w:ascii="Segoe UI" w:eastAsia="Times New Roman" w:hAnsi="Segoe UI" w:cs="Segoe UI"/>
          <w:lang w:val="en"/>
        </w:rPr>
        <w:t>2.2 Model B Perpetual Licence / One-Time Purchase</w:t>
      </w:r>
    </w:p>
    <w:p w14:paraId="4E80B3A8"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of licence value, payable annually in advance. Implementation, deployment, branding setup, and training are included in the one-time licence fee, with no separate charges.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312"/>
        <w:gridCol w:w="4307"/>
      </w:tblGrid>
      <w:tr w:rsidR="00000000" w14:paraId="48610E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7918BC"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B6C2EE"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741B75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67265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375742"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780B8E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86696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713B3" w14:textId="77777777" w:rsidR="00EF108C" w:rsidRDefault="00EF108C">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F54F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57274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8AB2AD"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0C1E34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EEDB4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5F7BD4"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7DD7C7AE" w14:textId="77777777" w:rsidR="00EF108C" w:rsidRDefault="00EF108C">
      <w:pPr>
        <w:pStyle w:val="Heading2"/>
        <w:rPr>
          <w:rFonts w:ascii="Segoe UI" w:eastAsia="Times New Roman" w:hAnsi="Segoe UI" w:cs="Segoe UI"/>
          <w:lang w:val="en"/>
        </w:rPr>
      </w:pPr>
      <w:r>
        <w:rPr>
          <w:rFonts w:ascii="Segoe UI" w:eastAsia="Times New Roman" w:hAnsi="Segoe UI" w:cs="Segoe UI"/>
          <w:lang w:val="en"/>
        </w:rPr>
        <w:t>2.3 Model C Enterprise Custom Development Partnership</w:t>
      </w:r>
    </w:p>
    <w:p w14:paraId="5A14618F"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w:t>
      </w:r>
      <w:r>
        <w:rPr>
          <w:rFonts w:ascii="Segoe UI" w:hAnsi="Segoe UI" w:cs="Segoe UI"/>
          <w:color w:val="1F2933"/>
          <w:sz w:val="21"/>
          <w:szCs w:val="21"/>
          <w:lang w:val="en"/>
        </w:rPr>
        <w: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447F761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EF94D2"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2D2F61"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036629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E1AEE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01069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3499D0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65C10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AF58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4C6825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D5148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0B33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1ACCB8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BA41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51D7B2"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3AC95C17" w14:textId="77777777" w:rsidR="00EF108C" w:rsidRDefault="00EF108C">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64C58CF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DEC0CF" w14:textId="77777777" w:rsidR="00EF108C" w:rsidRDefault="00EF108C">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97B8F6"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9FA78F"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EBEBE5"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1A9ECF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BD418A"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7F6E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765A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A4069E"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59410F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95490D"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20501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AC5593"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5BA11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59FD9C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F701E2"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0FFD31"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70FC3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88CBC2"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35DA23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57AE7A"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CD7AC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EBF2E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D2036D"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3C8931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A2C3DA"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0451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7FE8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DBE26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7645A221" w14:textId="77777777" w:rsidR="00EF108C" w:rsidRDefault="00EF108C">
      <w:pPr>
        <w:pStyle w:val="Heading1"/>
        <w:rPr>
          <w:rFonts w:ascii="Segoe UI" w:eastAsia="Times New Roman" w:hAnsi="Segoe UI" w:cs="Segoe UI"/>
          <w:lang w:val="en"/>
        </w:rPr>
      </w:pPr>
      <w:r>
        <w:rPr>
          <w:rFonts w:ascii="Segoe UI" w:eastAsia="Times New Roman" w:hAnsi="Segoe UI" w:cs="Segoe UI"/>
          <w:lang w:val="en"/>
        </w:rPr>
        <w:t>3. Optional Items</w:t>
      </w:r>
    </w:p>
    <w:p w14:paraId="6869CBF7"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in Models A and B and is not charged as an optional item; the included training allowance comprises up to </w:t>
      </w:r>
      <w:r>
        <w:rPr>
          <w:rStyle w:val="Strong"/>
          <w:rFonts w:ascii="Segoe UI" w:hAnsi="Segoe UI" w:cs="Segoe UI"/>
          <w:color w:val="1F2933"/>
          <w:sz w:val="21"/>
          <w:szCs w:val="21"/>
          <w:lang w:val="en"/>
        </w:rPr>
        <w:t>2 remote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documentation, with additional training available via change request.</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1A60118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C2A5DC"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61CEAC"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428FF4"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9933AC"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2FA16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8CF27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E55DC"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70AD5F" w14:textId="77777777" w:rsidR="00EF108C" w:rsidRDefault="00EF108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B7BDD3"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87061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4B82D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E6225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BFD645" w14:textId="77777777" w:rsidR="00EF108C" w:rsidRDefault="00EF108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8BE22C"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55E716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6A179D"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18E3A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2AD85" w14:textId="77777777" w:rsidR="00EF108C" w:rsidRDefault="00EF108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7D36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F9A72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59E9A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5AD3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B3195B" w14:textId="77777777" w:rsidR="00EF108C" w:rsidRDefault="00EF108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093F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532B7D66" w14:textId="77777777" w:rsidR="00EF108C" w:rsidRDefault="00EF108C">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46768AC5" w14:textId="77777777" w:rsidR="00EF108C" w:rsidRDefault="00EF108C">
      <w:pPr>
        <w:pStyle w:val="Heading1"/>
        <w:rPr>
          <w:rFonts w:ascii="Segoe UI" w:eastAsia="Times New Roman" w:hAnsi="Segoe UI" w:cs="Segoe UI"/>
          <w:lang w:val="en"/>
        </w:rPr>
      </w:pPr>
      <w:r>
        <w:rPr>
          <w:rFonts w:ascii="Segoe UI" w:eastAsia="Times New Roman" w:hAnsi="Segoe UI" w:cs="Segoe UI"/>
          <w:lang w:val="en"/>
        </w:rPr>
        <w:t>4. Pricing Methodology</w:t>
      </w:r>
    </w:p>
    <w:p w14:paraId="4CB683CD"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5D19091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EB4051"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0F2C08"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706A30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FB86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27F4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4102D3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CD807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C6A05C"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2A4900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F36B1"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61E98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644DEB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DEB3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552A8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7E9060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4CD1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4BAF4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539160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31EBE"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F0576"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250186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369A6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CE14D2"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7B7AA9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A49BC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93BD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3FBDC2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BD361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D1628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5164BA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DA48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2E043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0D4844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4AF8C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36D2F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629AAF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758BEC"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85A86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191480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4C3FF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E6E2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2EB9AD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A489ED"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4C2F2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5BF485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C977E"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5C7B57"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4EBD26F1" w14:textId="77777777" w:rsidR="00EF108C" w:rsidRDefault="00EF108C">
      <w:pPr>
        <w:pStyle w:val="Heading1"/>
        <w:rPr>
          <w:rFonts w:ascii="Segoe UI" w:eastAsia="Times New Roman" w:hAnsi="Segoe UI" w:cs="Segoe UI"/>
          <w:lang w:val="en"/>
        </w:rPr>
      </w:pPr>
      <w:r>
        <w:rPr>
          <w:rFonts w:ascii="Segoe UI" w:eastAsia="Times New Roman" w:hAnsi="Segoe UI" w:cs="Segoe UI"/>
          <w:lang w:val="en"/>
        </w:rPr>
        <w:t>5. Commercial Terms</w:t>
      </w:r>
    </w:p>
    <w:p w14:paraId="498BCADC" w14:textId="77777777" w:rsidR="00EF108C" w:rsidRDefault="00EF108C">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12F23590"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Currency: Omani Rial (OMR). Amounts are exclusive of applicable taxes unless otherwise stated.</w:t>
      </w:r>
    </w:p>
    <w:p w14:paraId="70FD8E68"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4A4D155B"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 xml:space="preserve">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upon production go-live. This payment schedule is recommended and remains subject to commercial negotiation and mutual agreement.</w:t>
      </w:r>
    </w:p>
    <w:p w14:paraId="0A391B5B"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4BDB16A0"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2EFFC42E"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Delivery mode: all project activities are delivered remotely by default; on-site attendance is quoted separately.</w:t>
      </w:r>
    </w:p>
    <w:p w14:paraId="2515DA33"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5260A6ED"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60F0A81D" w14:textId="77777777" w:rsidR="00EF108C" w:rsidRDefault="00EF108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Limitation of liability: Altanfith's aggregate liability shall not exceed the amounts actually paid by the client in the 12 months preceding the claim; neither party is liable for indirect or consequential damages subject to the final signed contract and applicable Omani law (see the full proposal, Section 41).</w:t>
      </w:r>
    </w:p>
    <w:p w14:paraId="0B6E4E75" w14:textId="77777777" w:rsidR="00EF108C" w:rsidRDefault="00EF108C">
      <w:pPr>
        <w:pStyle w:val="Heading1"/>
        <w:rPr>
          <w:rFonts w:ascii="Segoe UI" w:eastAsia="Times New Roman" w:hAnsi="Segoe UI" w:cs="Segoe UI"/>
          <w:lang w:val="en"/>
        </w:rPr>
      </w:pPr>
      <w:r>
        <w:rPr>
          <w:rFonts w:ascii="Segoe UI" w:eastAsia="Times New Roman" w:hAnsi="Segoe UI" w:cs="Segoe UI"/>
          <w:lang w:val="en"/>
        </w:rPr>
        <w:t>6. Validity &amp; Acceptance</w:t>
      </w:r>
    </w:p>
    <w:p w14:paraId="21C4A3E4"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0FD01CF3" w14:textId="77777777" w:rsidR="00EF108C" w:rsidRDefault="00EF108C">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D948AC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F355D1"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300DF7" w14:textId="77777777" w:rsidR="00EF108C" w:rsidRDefault="00EF108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0C3F0C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9DE50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79EA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6E12EE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D3E509"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0669BB"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2D2D12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46D8A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F29AE5"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6CB43F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248013"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5219CA"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59FEEC76" w14:textId="77777777" w:rsidR="00EF108C" w:rsidRDefault="00EF108C">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8D76F0F" w14:textId="77777777">
        <w:tc>
          <w:tcPr>
            <w:tcW w:w="1600" w:type="pct"/>
            <w:tcBorders>
              <w:top w:val="nil"/>
              <w:left w:val="nil"/>
              <w:bottom w:val="nil"/>
              <w:right w:val="nil"/>
            </w:tcBorders>
            <w:tcMar>
              <w:top w:w="40" w:type="dxa"/>
              <w:left w:w="120" w:type="dxa"/>
              <w:bottom w:w="40" w:type="dxa"/>
              <w:right w:w="120" w:type="dxa"/>
            </w:tcMar>
            <w:hideMark/>
          </w:tcPr>
          <w:p w14:paraId="23C255CB"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716207F0"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340A7D22" w14:textId="77777777">
        <w:tc>
          <w:tcPr>
            <w:tcW w:w="0" w:type="auto"/>
            <w:tcBorders>
              <w:top w:val="nil"/>
              <w:left w:val="nil"/>
              <w:bottom w:val="nil"/>
              <w:right w:val="nil"/>
            </w:tcBorders>
            <w:tcMar>
              <w:top w:w="40" w:type="dxa"/>
              <w:left w:w="120" w:type="dxa"/>
              <w:bottom w:w="40" w:type="dxa"/>
              <w:right w:w="120" w:type="dxa"/>
            </w:tcMar>
            <w:hideMark/>
          </w:tcPr>
          <w:p w14:paraId="5BCC6971"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4BF5E978"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1E409F12" w14:textId="77777777">
        <w:tc>
          <w:tcPr>
            <w:tcW w:w="0" w:type="auto"/>
            <w:tcBorders>
              <w:top w:val="nil"/>
              <w:left w:val="nil"/>
              <w:bottom w:val="nil"/>
              <w:right w:val="nil"/>
            </w:tcBorders>
            <w:tcMar>
              <w:top w:w="40" w:type="dxa"/>
              <w:left w:w="120" w:type="dxa"/>
              <w:bottom w:w="40" w:type="dxa"/>
              <w:right w:w="120" w:type="dxa"/>
            </w:tcMar>
            <w:hideMark/>
          </w:tcPr>
          <w:p w14:paraId="116F4158"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42A8516"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22E932A6" w14:textId="77777777">
        <w:tc>
          <w:tcPr>
            <w:tcW w:w="0" w:type="auto"/>
            <w:tcBorders>
              <w:top w:val="nil"/>
              <w:left w:val="nil"/>
              <w:bottom w:val="nil"/>
              <w:right w:val="nil"/>
            </w:tcBorders>
            <w:tcMar>
              <w:top w:w="40" w:type="dxa"/>
              <w:left w:w="120" w:type="dxa"/>
              <w:bottom w:w="40" w:type="dxa"/>
              <w:right w:w="120" w:type="dxa"/>
            </w:tcMar>
            <w:hideMark/>
          </w:tcPr>
          <w:p w14:paraId="3023359B"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Email</w:t>
            </w:r>
          </w:p>
        </w:tc>
        <w:tc>
          <w:tcPr>
            <w:tcW w:w="0" w:type="auto"/>
            <w:tcBorders>
              <w:top w:val="nil"/>
              <w:left w:val="nil"/>
              <w:bottom w:val="nil"/>
              <w:right w:val="nil"/>
            </w:tcBorders>
            <w:tcMar>
              <w:top w:w="40" w:type="dxa"/>
              <w:left w:w="120" w:type="dxa"/>
              <w:bottom w:w="40" w:type="dxa"/>
              <w:right w:w="120" w:type="dxa"/>
            </w:tcMar>
            <w:hideMark/>
          </w:tcPr>
          <w:p w14:paraId="51CC3A66"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27DBC5FE" w14:textId="77777777">
        <w:tc>
          <w:tcPr>
            <w:tcW w:w="0" w:type="auto"/>
            <w:tcBorders>
              <w:top w:val="nil"/>
              <w:left w:val="nil"/>
              <w:bottom w:val="nil"/>
              <w:right w:val="nil"/>
            </w:tcBorders>
            <w:tcMar>
              <w:top w:w="40" w:type="dxa"/>
              <w:left w:w="120" w:type="dxa"/>
              <w:bottom w:w="40" w:type="dxa"/>
              <w:right w:w="120" w:type="dxa"/>
            </w:tcMar>
            <w:hideMark/>
          </w:tcPr>
          <w:p w14:paraId="6748CABE"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6E96BCF4"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76AA91C1" w14:textId="77777777">
        <w:tc>
          <w:tcPr>
            <w:tcW w:w="0" w:type="auto"/>
            <w:tcBorders>
              <w:top w:val="nil"/>
              <w:left w:val="nil"/>
              <w:bottom w:val="nil"/>
              <w:right w:val="nil"/>
            </w:tcBorders>
            <w:tcMar>
              <w:top w:w="40" w:type="dxa"/>
              <w:left w:w="120" w:type="dxa"/>
              <w:bottom w:w="40" w:type="dxa"/>
              <w:right w:w="120" w:type="dxa"/>
            </w:tcMar>
            <w:hideMark/>
          </w:tcPr>
          <w:p w14:paraId="354763BC" w14:textId="77777777" w:rsidR="00EF108C" w:rsidRDefault="00EF108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0ECA018F" w14:textId="77777777" w:rsidR="00EF108C" w:rsidRDefault="00EF108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8A68BE8" w14:textId="77777777" w:rsidR="00EF108C" w:rsidRDefault="00EF108C">
      <w:pPr>
        <w:rPr>
          <w:rFonts w:eastAsia="Times New Roman"/>
        </w:rPr>
      </w:pPr>
    </w:p>
    <w:sectPr w:rsidR="00EF108C" w:rsidSect="006F1F4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E460" w14:textId="77777777" w:rsidR="00EF108C" w:rsidRDefault="00EF108C" w:rsidP="006F1F49">
      <w:r>
        <w:separator/>
      </w:r>
    </w:p>
  </w:endnote>
  <w:endnote w:type="continuationSeparator" w:id="0">
    <w:p w14:paraId="2A9F291C" w14:textId="77777777" w:rsidR="00EF108C" w:rsidRDefault="00EF108C" w:rsidP="006F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3359" w14:textId="77777777" w:rsidR="006F1F49" w:rsidRDefault="006F1F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7F0A" w14:textId="6C4F963A" w:rsidR="006F1F49" w:rsidRPr="006F1F49" w:rsidRDefault="006F1F49" w:rsidP="006F1F49">
    <w:pPr>
      <w:pStyle w:val="Footer"/>
      <w:jc w:val="center"/>
      <w:rPr>
        <w:color w:val="5A6B7A"/>
        <w:sz w:val="16"/>
      </w:rPr>
    </w:pPr>
    <w:r w:rsidRPr="006F1F49">
      <w:rPr>
        <w:color w:val="5A6B7A"/>
        <w:sz w:val="16"/>
      </w:rPr>
      <w:t>Al Tanfith Al Dwaliah SPC  |  Page </w:t>
    </w:r>
    <w:r w:rsidRPr="006F1F49">
      <w:rPr>
        <w:color w:val="5A6B7A"/>
        <w:sz w:val="16"/>
      </w:rPr>
      <w:fldChar w:fldCharType="begin"/>
    </w:r>
    <w:r w:rsidRPr="006F1F49">
      <w:rPr>
        <w:color w:val="5A6B7A"/>
        <w:sz w:val="16"/>
      </w:rPr>
      <w:instrText xml:space="preserve"> PAGE  \* MERGEFORMAT </w:instrText>
    </w:r>
    <w:r w:rsidRPr="006F1F49">
      <w:rPr>
        <w:color w:val="5A6B7A"/>
        <w:sz w:val="16"/>
      </w:rPr>
      <w:fldChar w:fldCharType="separate"/>
    </w:r>
    <w:r w:rsidRPr="006F1F49">
      <w:rPr>
        <w:noProof/>
        <w:color w:val="5A6B7A"/>
        <w:sz w:val="16"/>
      </w:rPr>
      <w:t>1</w:t>
    </w:r>
    <w:r w:rsidRPr="006F1F49">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E7F8" w14:textId="77777777" w:rsidR="006F1F49" w:rsidRDefault="006F1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D6A3" w14:textId="77777777" w:rsidR="00EF108C" w:rsidRDefault="00EF108C" w:rsidP="006F1F49">
      <w:r>
        <w:separator/>
      </w:r>
    </w:p>
  </w:footnote>
  <w:footnote w:type="continuationSeparator" w:id="0">
    <w:p w14:paraId="60D38F19" w14:textId="77777777" w:rsidR="00EF108C" w:rsidRDefault="00EF108C" w:rsidP="006F1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04F6" w14:textId="77777777" w:rsidR="006F1F49" w:rsidRDefault="006F1F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B83A" w14:textId="77777777" w:rsidR="006F1F49" w:rsidRDefault="006F1F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05D6" w14:textId="77777777" w:rsidR="006F1F49" w:rsidRDefault="006F1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0BE9"/>
    <w:multiLevelType w:val="multilevel"/>
    <w:tmpl w:val="09A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63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F49"/>
    <w:rsid w:val="00576BFC"/>
    <w:rsid w:val="006F1F49"/>
    <w:rsid w:val="00EF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63999"/>
  <w15:chartTrackingRefBased/>
  <w15:docId w15:val="{68DE415E-61DA-470E-89C1-79BFA13C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6F1F49"/>
    <w:pPr>
      <w:tabs>
        <w:tab w:val="center" w:pos="4680"/>
        <w:tab w:val="right" w:pos="9360"/>
      </w:tabs>
    </w:pPr>
  </w:style>
  <w:style w:type="character" w:customStyle="1" w:styleId="HeaderChar">
    <w:name w:val="Header Char"/>
    <w:basedOn w:val="DefaultParagraphFont"/>
    <w:link w:val="Header"/>
    <w:uiPriority w:val="99"/>
    <w:rsid w:val="006F1F49"/>
    <w:rPr>
      <w:rFonts w:eastAsiaTheme="minorEastAsia"/>
      <w:sz w:val="24"/>
      <w:szCs w:val="24"/>
    </w:rPr>
  </w:style>
  <w:style w:type="paragraph" w:styleId="Footer">
    <w:name w:val="footer"/>
    <w:basedOn w:val="Normal"/>
    <w:link w:val="FooterChar"/>
    <w:uiPriority w:val="99"/>
    <w:unhideWhenUsed/>
    <w:rsid w:val="006F1F49"/>
    <w:pPr>
      <w:tabs>
        <w:tab w:val="center" w:pos="4680"/>
        <w:tab w:val="right" w:pos="9360"/>
      </w:tabs>
    </w:pPr>
  </w:style>
  <w:style w:type="character" w:customStyle="1" w:styleId="FooterChar">
    <w:name w:val="Footer Char"/>
    <w:basedOn w:val="DefaultParagraphFont"/>
    <w:link w:val="Footer"/>
    <w:uiPriority w:val="99"/>
    <w:rsid w:val="006F1F4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1478</Words>
  <Characters>9151</Characters>
  <Application>Microsoft Office Word</Application>
  <DocSecurity>0</DocSecurity>
  <Lines>273</Lines>
  <Paragraphs>180</Paragraphs>
  <ScaleCrop>false</ScaleCrop>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Commercial Quotation</dc:title>
  <dc:subject/>
  <dc:creator>Haitham Al Lamki</dc:creator>
  <cp:keywords/>
  <dc:description/>
  <cp:lastModifiedBy>Haitham Al Lamki</cp:lastModifiedBy>
  <cp:revision>2</cp:revision>
  <dcterms:created xsi:type="dcterms:W3CDTF">2026-08-05T05:28:00Z</dcterms:created>
  <dcterms:modified xsi:type="dcterms:W3CDTF">2026-08-05T05:28:00Z</dcterms:modified>
</cp:coreProperties>
</file>