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25F49948"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6AC82FC9" w14:textId="77777777" w:rsidR="00B77D9B" w:rsidRDefault="00B77D9B">
            <w:pPr>
              <w:pStyle w:val="NormalWeb"/>
              <w:bidi/>
              <w:rPr>
                <w:rFonts w:ascii="Segoe UI" w:hAnsi="Segoe UI" w:cs="Segoe UI"/>
                <w:color w:val="FFFFFF"/>
                <w:spacing w:val="20"/>
              </w:rPr>
            </w:pPr>
            <w:r>
              <w:rPr>
                <w:rFonts w:ascii="Segoe UI" w:hAnsi="Segoe UI" w:cs="Segoe UI"/>
                <w:color w:val="FFFFFF"/>
                <w:spacing w:val="20"/>
              </w:rPr>
              <w:t>ALTANFITH ALDWALIAH SPC</w:t>
            </w:r>
          </w:p>
          <w:p w14:paraId="1CDE24D0" w14:textId="77777777" w:rsidR="00B77D9B" w:rsidRDefault="00B77D9B">
            <w:pPr>
              <w:pStyle w:val="NormalWeb"/>
              <w:bidi/>
              <w:spacing w:before="40"/>
              <w:rPr>
                <w:rFonts w:ascii="Segoe UI" w:hAnsi="Segoe UI" w:cs="Segoe UI"/>
                <w:color w:val="FFFFFF"/>
                <w:sz w:val="26"/>
                <w:szCs w:val="26"/>
              </w:rPr>
            </w:pPr>
            <w:r>
              <w:rPr>
                <w:rFonts w:ascii="Segoe UI" w:hAnsi="Segoe UI" w:cs="Segoe UI"/>
                <w:color w:val="FFFFFF"/>
                <w:sz w:val="26"/>
                <w:szCs w:val="26"/>
                <w:rtl/>
              </w:rPr>
              <w:t>شركة التنفيذ الدولية ش.ش.ش</w:t>
            </w:r>
          </w:p>
          <w:p w14:paraId="1136FD88" w14:textId="77777777" w:rsidR="00B77D9B" w:rsidRDefault="00B77D9B">
            <w:pPr>
              <w:pStyle w:val="NormalWeb"/>
              <w:bidi/>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05A90634" w14:textId="77777777" w:rsidR="00B77D9B" w:rsidRDefault="00B77D9B">
            <w:pPr>
              <w:pStyle w:val="NormalWeb"/>
              <w:bidi/>
              <w:spacing w:before="40"/>
              <w:rPr>
                <w:rFonts w:ascii="Segoe UI" w:hAnsi="Segoe UI" w:cs="Segoe UI"/>
                <w:color w:val="FFFFFF"/>
                <w:sz w:val="28"/>
                <w:szCs w:val="28"/>
              </w:rPr>
            </w:pPr>
            <w:r>
              <w:rPr>
                <w:rFonts w:ascii="Segoe UI" w:hAnsi="Segoe UI" w:cs="Segoe UI"/>
                <w:color w:val="FFFFFF"/>
                <w:sz w:val="28"/>
                <w:szCs w:val="28"/>
                <w:rtl/>
              </w:rPr>
              <w:t>منصة المسابقات التفاعلية المباشرة</w:t>
            </w:r>
          </w:p>
          <w:p w14:paraId="405FAA6B" w14:textId="77777777" w:rsidR="00B77D9B" w:rsidRDefault="00B77D9B">
            <w:pPr>
              <w:pStyle w:val="NormalWeb"/>
              <w:bidi/>
              <w:spacing w:before="160"/>
              <w:rPr>
                <w:rFonts w:ascii="Segoe UI" w:hAnsi="Segoe UI" w:cs="Segoe UI"/>
                <w:color w:val="FFFFFF"/>
                <w:sz w:val="30"/>
                <w:szCs w:val="30"/>
              </w:rPr>
            </w:pPr>
            <w:r>
              <w:rPr>
                <w:rFonts w:ascii="Segoe UI" w:hAnsi="Segoe UI" w:cs="Segoe UI"/>
                <w:color w:val="FFFFFF"/>
                <w:sz w:val="30"/>
                <w:szCs w:val="30"/>
                <w:rtl/>
              </w:rPr>
              <w:t>عرض الأسعار التجاري</w:t>
            </w:r>
          </w:p>
          <w:p w14:paraId="3119A72F" w14:textId="77777777" w:rsidR="00B77D9B" w:rsidRDefault="00B77D9B">
            <w:pPr>
              <w:pStyle w:val="NormalWeb"/>
              <w:bidi/>
              <w:spacing w:before="720"/>
              <w:rPr>
                <w:rFonts w:ascii="Segoe UI" w:hAnsi="Segoe UI" w:cs="Segoe UI"/>
                <w:color w:val="FFFFFF"/>
                <w:sz w:val="19"/>
                <w:szCs w:val="19"/>
              </w:rPr>
            </w:pPr>
            <w:r>
              <w:rPr>
                <w:rFonts w:ascii="Segoe UI" w:hAnsi="Segoe UI" w:cs="Segoe UI"/>
                <w:color w:val="FFFFFF"/>
                <w:sz w:val="19"/>
                <w:szCs w:val="19"/>
                <w:rtl/>
              </w:rPr>
              <w:t>مُقدَّم إلى</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اسم العميل</w:t>
            </w:r>
            <w:r>
              <w:rPr>
                <w:rStyle w:val="Strong"/>
                <w:rFonts w:ascii="Segoe UI" w:hAnsi="Segoe UI" w:cs="Segoe UI"/>
                <w:color w:val="FFFFFF"/>
                <w:sz w:val="19"/>
                <w:szCs w:val="19"/>
              </w:rPr>
              <w:t>]</w:t>
            </w:r>
          </w:p>
          <w:p w14:paraId="402F8786" w14:textId="77777777" w:rsidR="00B77D9B" w:rsidRDefault="00B77D9B">
            <w:pPr>
              <w:pStyle w:val="NormalWeb"/>
              <w:bidi/>
              <w:rPr>
                <w:rFonts w:ascii="Segoe UI" w:hAnsi="Segoe UI" w:cs="Segoe UI"/>
                <w:color w:val="FFFFFF"/>
                <w:sz w:val="19"/>
                <w:szCs w:val="19"/>
              </w:rPr>
            </w:pPr>
            <w:r>
              <w:rPr>
                <w:rFonts w:ascii="Segoe UI" w:hAnsi="Segoe UI" w:cs="Segoe UI"/>
                <w:color w:val="FFFFFF"/>
                <w:sz w:val="19"/>
                <w:szCs w:val="19"/>
                <w:rtl/>
              </w:rPr>
              <w:t>المرجع</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مرجع العرض</w:t>
            </w:r>
            <w:r>
              <w:rPr>
                <w:rStyle w:val="Strong"/>
                <w:rFonts w:ascii="Segoe UI" w:hAnsi="Segoe UI" w:cs="Segoe UI"/>
                <w:color w:val="FFFFFF"/>
                <w:sz w:val="19"/>
                <w:szCs w:val="19"/>
              </w:rPr>
              <w:t>]</w:t>
            </w:r>
          </w:p>
          <w:p w14:paraId="7A6EE429" w14:textId="77777777" w:rsidR="00B77D9B" w:rsidRDefault="00B77D9B">
            <w:pPr>
              <w:pStyle w:val="NormalWeb"/>
              <w:bidi/>
              <w:rPr>
                <w:rFonts w:ascii="Segoe UI" w:hAnsi="Segoe UI" w:cs="Segoe UI"/>
                <w:color w:val="FFFFFF"/>
                <w:sz w:val="19"/>
                <w:szCs w:val="19"/>
              </w:rPr>
            </w:pPr>
            <w:r>
              <w:rPr>
                <w:rFonts w:ascii="Segoe UI" w:hAnsi="Segoe UI" w:cs="Segoe UI"/>
                <w:color w:val="FFFFFF"/>
                <w:sz w:val="19"/>
                <w:szCs w:val="19"/>
                <w:rtl/>
              </w:rPr>
              <w:t>الإصدار</w:t>
            </w:r>
            <w:r>
              <w:rPr>
                <w:rFonts w:ascii="Segoe UI" w:hAnsi="Segoe UI" w:cs="Segoe UI"/>
                <w:color w:val="FFFFFF"/>
                <w:sz w:val="19"/>
                <w:szCs w:val="19"/>
              </w:rPr>
              <w:t xml:space="preserve">: </w:t>
            </w:r>
            <w:r>
              <w:rPr>
                <w:rStyle w:val="Strong"/>
                <w:rFonts w:ascii="Segoe UI" w:hAnsi="Segoe UI" w:cs="Segoe UI"/>
                <w:color w:val="FFFFFF"/>
                <w:sz w:val="19"/>
                <w:szCs w:val="19"/>
              </w:rPr>
              <w:t>1.0</w:t>
            </w:r>
          </w:p>
          <w:p w14:paraId="0B33F9DA" w14:textId="77777777" w:rsidR="00B77D9B" w:rsidRDefault="00B77D9B">
            <w:pPr>
              <w:pStyle w:val="NormalWeb"/>
              <w:bidi/>
              <w:rPr>
                <w:rFonts w:ascii="Segoe UI" w:hAnsi="Segoe UI" w:cs="Segoe UI"/>
                <w:color w:val="FFFFFF"/>
                <w:sz w:val="19"/>
                <w:szCs w:val="19"/>
              </w:rPr>
            </w:pPr>
            <w:r>
              <w:rPr>
                <w:rFonts w:ascii="Segoe UI" w:hAnsi="Segoe UI" w:cs="Segoe UI"/>
                <w:color w:val="FFFFFF"/>
                <w:sz w:val="19"/>
                <w:szCs w:val="19"/>
                <w:rtl/>
              </w:rPr>
              <w:t>التاريخ</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التاريخ</w:t>
            </w:r>
            <w:r>
              <w:rPr>
                <w:rStyle w:val="Strong"/>
                <w:rFonts w:ascii="Segoe UI" w:hAnsi="Segoe UI" w:cs="Segoe UI"/>
                <w:color w:val="FFFFFF"/>
                <w:sz w:val="19"/>
                <w:szCs w:val="19"/>
              </w:rPr>
              <w:t>]</w:t>
            </w:r>
          </w:p>
          <w:p w14:paraId="6404C489" w14:textId="77777777" w:rsidR="00B77D9B" w:rsidRDefault="00B77D9B">
            <w:pPr>
              <w:pStyle w:val="tag"/>
              <w:bidi/>
              <w:spacing w:before="720" w:beforeAutospacing="0" w:after="120" w:afterAutospacing="0"/>
              <w:rPr>
                <w:rFonts w:ascii="Segoe UI" w:hAnsi="Segoe UI" w:cs="Segoe UI"/>
                <w:spacing w:val="40"/>
              </w:rPr>
            </w:pPr>
            <w:r>
              <w:rPr>
                <w:rFonts w:ascii="Segoe UI" w:hAnsi="Segoe UI" w:cs="Segoe UI"/>
                <w:spacing w:val="40"/>
                <w:rtl/>
              </w:rPr>
              <w:t>سري</w:t>
            </w:r>
          </w:p>
        </w:tc>
      </w:tr>
    </w:tbl>
    <w:p w14:paraId="33A92D02" w14:textId="77777777" w:rsidR="00B77D9B" w:rsidRDefault="00B77D9B">
      <w:pPr>
        <w:pStyle w:val="Heading1"/>
        <w:pageBreakBefore/>
        <w:bidi/>
        <w:rPr>
          <w:rFonts w:ascii="Segoe UI" w:eastAsia="Times New Roman" w:hAnsi="Segoe UI" w:cs="Segoe UI"/>
          <w:lang w:bidi="ar"/>
        </w:rPr>
      </w:pPr>
      <w:r>
        <w:rPr>
          <w:rFonts w:ascii="Segoe UI" w:eastAsia="Times New Roman" w:hAnsi="Segoe UI" w:cs="Segoe UI"/>
          <w:rtl/>
          <w:lang w:bidi="ar"/>
        </w:rPr>
        <w:lastRenderedPageBreak/>
        <w:t>1. ملخص العرض</w:t>
      </w:r>
    </w:p>
    <w:p w14:paraId="7C3074FF"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يسرّ شركة التنفيذ الدولية ش.ش.ش أن تقدّم عرض الأسعار التجاري هذا لمنصة </w:t>
      </w:r>
      <w:r>
        <w:rPr>
          <w:rStyle w:val="Strong"/>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وهي منصة مؤسسية للتفاعل والتقييم وتقويم المعرفة، تُقدَّم بوصفها بديلًا مرنًا وقابلًا للتخصيص عن أدوات المسابقات العامة، وهي مثبتة فعليًا في الاستخدام التشغيلي.</w:t>
      </w:r>
    </w:p>
    <w:p w14:paraId="6A056195"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عرض الأسعار هذا وثيقة تجارية مستقلّة. وهو يرافق العرض الفني والتجاري الكامل ويُقرأ معه (</w:t>
      </w:r>
      <w:r>
        <w:rPr>
          <w:rStyle w:val="Emphasis"/>
          <w:rFonts w:ascii="Segoe UI" w:hAnsi="Segoe UI" w:cs="Segoe UI"/>
          <w:color w:val="1F2933"/>
          <w:sz w:val="21"/>
          <w:szCs w:val="21"/>
          <w:lang w:bidi="ar"/>
        </w:rPr>
        <w:t>Live Quiz Platform</w:t>
      </w:r>
      <w:r>
        <w:rPr>
          <w:rStyle w:val="Emphasis"/>
          <w:rFonts w:ascii="Segoe UI" w:hAnsi="Segoe UI" w:cs="Segoe UI"/>
          <w:color w:val="1F2933"/>
          <w:sz w:val="21"/>
          <w:szCs w:val="21"/>
          <w:rtl/>
          <w:lang w:bidi="ar"/>
        </w:rPr>
        <w:t xml:space="preserve"> — </w:t>
      </w:r>
      <w:r>
        <w:rPr>
          <w:rStyle w:val="Emphasis"/>
          <w:rFonts w:ascii="Tahoma" w:hAnsi="Tahoma" w:cs="Tahoma" w:hint="cs"/>
          <w:color w:val="1F2933"/>
          <w:sz w:val="21"/>
          <w:szCs w:val="21"/>
          <w:rtl/>
          <w:lang w:bidi="ar"/>
        </w:rPr>
        <w:t>عرض</w:t>
      </w:r>
      <w:r>
        <w:rPr>
          <w:rStyle w:val="Emphasis"/>
          <w:rFonts w:ascii="Segoe UI" w:hAnsi="Segoe UI" w:cs="Segoe UI"/>
          <w:color w:val="1F2933"/>
          <w:sz w:val="21"/>
          <w:szCs w:val="21"/>
          <w:rtl/>
          <w:lang w:bidi="ar"/>
        </w:rPr>
        <w:t xml:space="preserve"> </w:t>
      </w:r>
      <w:r>
        <w:rPr>
          <w:rStyle w:val="Emphasis"/>
          <w:rFonts w:ascii="Tahoma" w:hAnsi="Tahoma" w:cs="Tahoma" w:hint="cs"/>
          <w:color w:val="1F2933"/>
          <w:sz w:val="21"/>
          <w:szCs w:val="21"/>
          <w:rtl/>
          <w:lang w:bidi="ar"/>
        </w:rPr>
        <w:t>فني</w:t>
      </w:r>
      <w:r>
        <w:rPr>
          <w:rStyle w:val="Emphasis"/>
          <w:rFonts w:ascii="Segoe UI" w:hAnsi="Segoe UI" w:cs="Segoe UI"/>
          <w:color w:val="1F2933"/>
          <w:sz w:val="21"/>
          <w:szCs w:val="21"/>
          <w:rtl/>
          <w:lang w:bidi="ar"/>
        </w:rPr>
        <w:t xml:space="preserve"> </w:t>
      </w:r>
      <w:r>
        <w:rPr>
          <w:rStyle w:val="Emphasis"/>
          <w:rFonts w:ascii="Tahoma" w:hAnsi="Tahoma" w:cs="Tahoma" w:hint="cs"/>
          <w:color w:val="1F2933"/>
          <w:sz w:val="21"/>
          <w:szCs w:val="21"/>
          <w:rtl/>
          <w:lang w:bidi="ar"/>
        </w:rPr>
        <w:t>وتجاري</w:t>
      </w:r>
      <w:r>
        <w:rPr>
          <w:rFonts w:ascii="Segoe UI" w:hAnsi="Segoe UI" w:cs="Segoe UI"/>
          <w:color w:val="1F2933"/>
          <w:sz w:val="21"/>
          <w:szCs w:val="21"/>
          <w:rtl/>
          <w:lang w:bidi="ar"/>
        </w:rPr>
        <w:t xml:space="preserve">، المرجع </w:t>
      </w:r>
      <w:r>
        <w:rPr>
          <w:rStyle w:val="Strong"/>
          <w:rFonts w:ascii="Segoe UI" w:hAnsi="Segoe UI" w:cs="Segoe UI"/>
          <w:color w:val="1F2933"/>
          <w:sz w:val="21"/>
          <w:szCs w:val="21"/>
          <w:rtl/>
          <w:lang w:bidi="ar"/>
        </w:rPr>
        <w:t>[مرجع العرض]</w:t>
      </w:r>
      <w:r>
        <w:rPr>
          <w:rFonts w:ascii="Segoe UI" w:hAnsi="Segoe UI" w:cs="Segoe UI"/>
          <w:color w:val="1F2933"/>
          <w:sz w:val="21"/>
          <w:szCs w:val="21"/>
          <w:rtl/>
          <w:lang w:bidi="ar"/>
        </w:rPr>
        <w:t>)، الذي يبسط النطاق الوظيفي والبنية التقنية وخيارات النشر ونهج الأمن السيبراني ومنهجية التسليم ونموذج الدعم والشروط القانونية كاملةً. وحيثما أشار هذا العرض والعرض الكامل إلى البند نفسه، فالعرض الكامل هو الوصف المرجعي للنطاق.</w:t>
      </w:r>
    </w:p>
    <w:p w14:paraId="6B7D7036"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وجميع الأرقام الواردة في هذه الوثيقة قيم نائبة قابلة للتعديل، معروضة لتوضيح هيكل التسعير فحسب. ويُؤكَّد 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بعد مرحلة الاستكشاف الموضَّحة في العرض الكامل، متى عُرِفت العوامل الواردة في القسم 4 (منهجية التسعير). ويظلّ عرض الأسعار هذا ساريًا لمدة </w:t>
      </w:r>
      <w:r>
        <w:rPr>
          <w:rStyle w:val="Strong"/>
          <w:rFonts w:ascii="Segoe UI" w:hAnsi="Segoe UI" w:cs="Segoe UI"/>
          <w:color w:val="1F2933"/>
          <w:sz w:val="21"/>
          <w:szCs w:val="21"/>
          <w:rtl/>
          <w:lang w:bidi="ar"/>
        </w:rPr>
        <w:t>30 يومًا</w:t>
      </w:r>
      <w:r>
        <w:rPr>
          <w:rFonts w:ascii="Segoe UI" w:hAnsi="Segoe UI" w:cs="Segoe UI"/>
          <w:color w:val="1F2933"/>
          <w:sz w:val="21"/>
          <w:szCs w:val="21"/>
          <w:rtl/>
          <w:lang w:bidi="ar"/>
        </w:rPr>
        <w:t xml:space="preserve"> من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وفق ما ورد في القسم 6.</w:t>
      </w:r>
    </w:p>
    <w:tbl>
      <w:tblPr>
        <w:bidiVisual/>
        <w:tblW w:w="5000" w:type="pct"/>
        <w:tblCellMar>
          <w:top w:w="15" w:type="dxa"/>
          <w:left w:w="15" w:type="dxa"/>
          <w:bottom w:w="15" w:type="dxa"/>
          <w:right w:w="15" w:type="dxa"/>
        </w:tblCellMar>
        <w:tblLook w:val="04A0" w:firstRow="1" w:lastRow="0" w:firstColumn="1" w:lastColumn="0" w:noHBand="0" w:noVBand="1"/>
      </w:tblPr>
      <w:tblGrid>
        <w:gridCol w:w="3078"/>
        <w:gridCol w:w="6541"/>
      </w:tblGrid>
      <w:tr w:rsidR="00000000" w14:paraId="1C7800A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46B4B6" w14:textId="77777777" w:rsidR="00B77D9B" w:rsidRDefault="00B77D9B">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العرض في لمحة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8F95F1" w14:textId="77777777" w:rsidR="00B77D9B" w:rsidRDefault="00B77D9B">
            <w:pPr>
              <w:bidi/>
              <w:spacing w:before="160" w:after="160"/>
              <w:rPr>
                <w:rFonts w:ascii="Segoe UI" w:eastAsia="Times New Roman" w:hAnsi="Segoe UI" w:cs="Segoe UI"/>
                <w:b/>
                <w:bCs/>
                <w:color w:val="FFFFFF"/>
                <w:sz w:val="19"/>
                <w:szCs w:val="19"/>
              </w:rPr>
            </w:pPr>
          </w:p>
        </w:tc>
      </w:tr>
      <w:tr w:rsidR="00000000" w14:paraId="6C808546" w14:textId="77777777">
        <w:tc>
          <w:tcPr>
            <w:tcW w:w="1600" w:type="pc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BD4EFF"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8C680C"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مؤسسية للتفاعل والتقييم والتحليلات</w:t>
            </w:r>
            <w:r>
              <w:rPr>
                <w:rFonts w:ascii="Segoe UI" w:eastAsia="Times New Roman" w:hAnsi="Segoe UI" w:cs="Segoe UI"/>
                <w:color w:val="1F2933"/>
                <w:sz w:val="19"/>
                <w:szCs w:val="19"/>
              </w:rPr>
              <w:t xml:space="preserve"> — Live Quiz Platform</w:t>
            </w:r>
          </w:p>
        </w:tc>
      </w:tr>
      <w:tr w:rsidR="00000000" w14:paraId="68EA02C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85C472"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النماذج التجارية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CE0030"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w:t>
            </w:r>
            <w:r>
              <w:rPr>
                <w:rFonts w:ascii="Segoe UI" w:eastAsia="Times New Roman" w:hAnsi="Segoe UI" w:cs="Segoe UI"/>
                <w:color w:val="1F2933"/>
                <w:sz w:val="19"/>
                <w:szCs w:val="19"/>
              </w:rPr>
              <w:t xml:space="preserve"> (SaaS) · </w:t>
            </w:r>
            <w:r>
              <w:rPr>
                <w:rFonts w:ascii="Segoe UI" w:eastAsia="Times New Roman" w:hAnsi="Segoe UI" w:cs="Segoe UI"/>
                <w:color w:val="1F2933"/>
                <w:sz w:val="19"/>
                <w:szCs w:val="19"/>
                <w:rtl/>
              </w:rPr>
              <w:t>ترخيص دائم · شراكة تطوير مؤسسي مخصّص</w:t>
            </w:r>
          </w:p>
        </w:tc>
      </w:tr>
      <w:tr w:rsidR="00000000" w14:paraId="6664851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7AA313"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العملة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CF14F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الريال العماني</w:t>
            </w:r>
            <w:r>
              <w:rPr>
                <w:rFonts w:ascii="Segoe UI" w:eastAsia="Times New Roman" w:hAnsi="Segoe UI" w:cs="Segoe UI"/>
                <w:color w:val="1F2933"/>
                <w:sz w:val="19"/>
                <w:szCs w:val="19"/>
              </w:rPr>
              <w:t xml:space="preserve"> (OMR)</w:t>
            </w:r>
            <w:r>
              <w:rPr>
                <w:rFonts w:ascii="Segoe UI" w:eastAsia="Times New Roman" w:hAnsi="Segoe UI" w:cs="Segoe UI"/>
                <w:color w:val="1F2933"/>
                <w:sz w:val="19"/>
                <w:szCs w:val="19"/>
                <w:rtl/>
              </w:rPr>
              <w:t>، غير شاملة للضرائب المطبقة ما لم يُذكر خلاف ذلك</w:t>
            </w:r>
          </w:p>
        </w:tc>
      </w:tr>
      <w:tr w:rsidR="00000000" w14:paraId="2F9200B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5203F8"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حالة التسعير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6F014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هيكل قيم نائبة فحسب — يُؤكَّد التسعير النهائي بعد الاستكشاف</w:t>
            </w:r>
          </w:p>
        </w:tc>
      </w:tr>
      <w:tr w:rsidR="00000000" w14:paraId="4B5FBC9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32AEEC"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الصلاحية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6D54E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30 </w:t>
            </w:r>
            <w:r>
              <w:rPr>
                <w:rFonts w:ascii="Segoe UI" w:eastAsia="Times New Roman" w:hAnsi="Segoe UI" w:cs="Segoe UI"/>
                <w:color w:val="1F2933"/>
                <w:sz w:val="19"/>
                <w:szCs w:val="19"/>
                <w:rtl/>
              </w:rPr>
              <w:t>يومًا من</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التاريخ</w:t>
            </w:r>
            <w:r>
              <w:rPr>
                <w:rStyle w:val="Strong"/>
                <w:rFonts w:ascii="Segoe UI" w:eastAsia="Times New Roman" w:hAnsi="Segoe UI" w:cs="Segoe UI"/>
                <w:color w:val="1F2933"/>
                <w:sz w:val="19"/>
                <w:szCs w:val="19"/>
              </w:rPr>
              <w:t>]</w:t>
            </w:r>
          </w:p>
        </w:tc>
      </w:tr>
    </w:tbl>
    <w:p w14:paraId="32D40644" w14:textId="77777777" w:rsidR="00B77D9B" w:rsidRDefault="00B77D9B">
      <w:pPr>
        <w:pStyle w:val="Heading1"/>
        <w:bidi/>
        <w:rPr>
          <w:rFonts w:ascii="Segoe UI" w:eastAsia="Times New Roman" w:hAnsi="Segoe UI" w:cs="Segoe UI"/>
          <w:lang w:bidi="ar"/>
        </w:rPr>
      </w:pPr>
      <w:r>
        <w:rPr>
          <w:rFonts w:ascii="Segoe UI" w:eastAsia="Times New Roman" w:hAnsi="Segoe UI" w:cs="Segoe UI"/>
          <w:rtl/>
          <w:lang w:bidi="ar"/>
        </w:rPr>
        <w:t>2. جداول الأسعار</w:t>
      </w:r>
    </w:p>
    <w:p w14:paraId="0B0124C4"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ثلاثة نماذج تجارية متمايزة،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هيكل الملكية والتكلفة والتسليم الأنسب لنهجها الشرائي. وتلخّص الأقسام الفرعية أدناه كلّ نموذج، ثم يعرضها جدول المقارنة التالي جنبًا إلى جنب. وجميع المبالغ معروضة بوصفها قيمًا نائبة على هيئة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xml:space="preserve"> أو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ومقدَّمة لتوضيح هيكل التسعير فحسب.</w:t>
      </w:r>
    </w:p>
    <w:p w14:paraId="45EC204F" w14:textId="77777777" w:rsidR="00B77D9B" w:rsidRDefault="00B77D9B">
      <w:pPr>
        <w:pStyle w:val="Heading2"/>
        <w:bidi/>
        <w:rPr>
          <w:rFonts w:ascii="Segoe UI" w:eastAsia="Times New Roman" w:hAnsi="Segoe UI" w:cs="Segoe UI"/>
          <w:rtl/>
          <w:lang w:bidi="ar"/>
        </w:rPr>
      </w:pPr>
      <w:r>
        <w:rPr>
          <w:rFonts w:ascii="Segoe UI" w:eastAsia="Times New Roman" w:hAnsi="Segoe UI" w:cs="Segoe UI"/>
          <w:rtl/>
          <w:lang w:bidi="ar"/>
        </w:rPr>
        <w:t>2.1 النموذج (أ) — اشتراك سنوي (</w:t>
      </w:r>
      <w:r>
        <w:rPr>
          <w:rFonts w:ascii="Segoe UI" w:eastAsia="Times New Roman" w:hAnsi="Segoe UI" w:cs="Segoe UI"/>
          <w:lang w:bidi="ar"/>
        </w:rPr>
        <w:t>SaaS</w:t>
      </w:r>
      <w:r>
        <w:rPr>
          <w:rFonts w:ascii="Segoe UI" w:eastAsia="Times New Roman" w:hAnsi="Segoe UI" w:cs="Segoe UI"/>
          <w:rtl/>
          <w:lang w:bidi="ar"/>
        </w:rPr>
        <w:t>)</w:t>
      </w:r>
    </w:p>
    <w:p w14:paraId="0EA05DE1"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قائم على الاشتراك السنوي، تستضيف فيه شركة التنفيذ الدولية المنصة وتشغّلها نيابةً عن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ويشمل: الترخيص السنوي؛ والاستضافة السحابية؛ والصيانة؛ والتحديثات الأمنية؛ والنسخ الاحتياطي؛ والمراقبة؛ والدعم؛ والترقيات القياسية؛ وعددًا متفقًا عليه من المستخدمين والجلسات؛ ومخصَّص استهلاك للذكاء الاصطناعي مع تسعير اختياري لتجاوز الحدّ؛ ويُسعَّر التخصيص بشكل منفصل عن الاشتراك الأساسي.</w:t>
      </w:r>
    </w:p>
    <w:tbl>
      <w:tblPr>
        <w:bidiVisual/>
        <w:tblW w:w="5000" w:type="pct"/>
        <w:tblCellMar>
          <w:top w:w="15" w:type="dxa"/>
          <w:left w:w="15" w:type="dxa"/>
          <w:bottom w:w="15" w:type="dxa"/>
          <w:right w:w="15" w:type="dxa"/>
        </w:tblCellMar>
        <w:tblLook w:val="04A0" w:firstRow="1" w:lastRow="0" w:firstColumn="1" w:lastColumn="0" w:noHBand="0" w:noVBand="1"/>
      </w:tblPr>
      <w:tblGrid>
        <w:gridCol w:w="5846"/>
        <w:gridCol w:w="3773"/>
      </w:tblGrid>
      <w:tr w:rsidR="00000000" w14:paraId="0308626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3E38C9" w14:textId="77777777" w:rsidR="00B77D9B" w:rsidRDefault="00B77D9B">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البند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154BC4"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السعر</w:t>
            </w:r>
          </w:p>
        </w:tc>
      </w:tr>
      <w:tr w:rsidR="00000000" w14:paraId="3F0AB8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B3550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الاشتراك السنوي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D2621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004A43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4CF335"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مستخدمين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1B098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E15E2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FE522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مخصَّص استهلاك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A39EF5"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r>
      <w:tr w:rsidR="00000000" w14:paraId="3EFF371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A3710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تجاوز الحدّ (بعد الاستخدام المتفق عليه)</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3525F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bl>
    <w:p w14:paraId="5FF09769" w14:textId="77777777" w:rsidR="00B77D9B" w:rsidRDefault="00B77D9B">
      <w:pPr>
        <w:pStyle w:val="Heading2"/>
        <w:bidi/>
        <w:rPr>
          <w:rFonts w:ascii="Segoe UI" w:eastAsia="Times New Roman" w:hAnsi="Segoe UI" w:cs="Segoe UI"/>
          <w:lang w:bidi="ar"/>
        </w:rPr>
      </w:pPr>
      <w:r>
        <w:rPr>
          <w:rFonts w:ascii="Segoe UI" w:eastAsia="Times New Roman" w:hAnsi="Segoe UI" w:cs="Segoe UI"/>
          <w:rtl/>
          <w:lang w:bidi="ar"/>
        </w:rPr>
        <w:t>2.2 النموذج (ب) — ترخيص دائم / شراء لمرة واحدة</w:t>
      </w:r>
    </w:p>
    <w:p w14:paraId="2BED8A3C"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شراء لمرة واحدة يناسب المؤسسات التي تفضّل تملّك البرمجية تملّكًا كاملًا. ويشمل: ترخيص برمجية لمرة واحدة؛ والنشر؛ والتهيئة الأولية؛ والتدريب؛ والتوثيق؛ وترخيص شيفرة مصدرية اختياري؛ وتملّك الشيفرة المصدرية اختياريًا؛ وصيانة سنوية اختيارية، يُوصى بها بنسبة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من قيمة البرمجية، تُدفَع سنويًا مقدّمًا. وتُستثنى الميزات الرئيسة الجديدة ما لم يُتَّفق عليها بشكل منفصل، كما تُستثنى تكاليف البنية التحتية ما لم تُدرَج صراحةً في عرض الأسعار هذا.</w:t>
      </w:r>
    </w:p>
    <w:tbl>
      <w:tblPr>
        <w:bidiVisual/>
        <w:tblW w:w="5000" w:type="pct"/>
        <w:tblCellMar>
          <w:top w:w="15" w:type="dxa"/>
          <w:left w:w="15" w:type="dxa"/>
          <w:bottom w:w="15" w:type="dxa"/>
          <w:right w:w="15" w:type="dxa"/>
        </w:tblCellMar>
        <w:tblLook w:val="04A0" w:firstRow="1" w:lastRow="0" w:firstColumn="1" w:lastColumn="0" w:noHBand="0" w:noVBand="1"/>
      </w:tblPr>
      <w:tblGrid>
        <w:gridCol w:w="5762"/>
        <w:gridCol w:w="3857"/>
      </w:tblGrid>
      <w:tr w:rsidR="00000000" w14:paraId="793EE4D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DCF9A3" w14:textId="77777777" w:rsidR="00B77D9B" w:rsidRDefault="00B77D9B">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البند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61B3E4"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السعر</w:t>
            </w:r>
          </w:p>
        </w:tc>
      </w:tr>
      <w:tr w:rsidR="00000000" w14:paraId="6E821D2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DE73C8"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لمرة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0CC8D9"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F6903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A51F70"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التنفيذ</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B3BD11"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2EA897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BA11E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الصيانة السنوية (اختيارية، موصى بها)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4E01D1"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تُحدد لاحقًا</w:t>
            </w:r>
            <w:r>
              <w:rPr>
                <w:rFonts w:ascii="Segoe UI" w:eastAsia="Times New Roman" w:hAnsi="Segoe UI" w:cs="Segoe UI"/>
                <w:color w:val="1F2933"/>
                <w:sz w:val="19"/>
                <w:szCs w:val="19"/>
              </w:rPr>
              <w:t>]%</w:t>
            </w:r>
          </w:p>
        </w:tc>
      </w:tr>
      <w:tr w:rsidR="00000000" w14:paraId="5D96BF5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C9DF67"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الشيفرة المصدرية (اختياري)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8C1F3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bl>
    <w:p w14:paraId="7B388E67" w14:textId="77777777" w:rsidR="00B77D9B" w:rsidRDefault="00B77D9B">
      <w:pPr>
        <w:pStyle w:val="Heading2"/>
        <w:bidi/>
        <w:rPr>
          <w:rFonts w:ascii="Segoe UI" w:eastAsia="Times New Roman" w:hAnsi="Segoe UI" w:cs="Segoe UI"/>
          <w:lang w:bidi="ar"/>
        </w:rPr>
      </w:pPr>
      <w:r>
        <w:rPr>
          <w:rFonts w:ascii="Segoe UI" w:eastAsia="Times New Roman" w:hAnsi="Segoe UI" w:cs="Segoe UI"/>
          <w:rtl/>
          <w:lang w:bidi="ar"/>
        </w:rPr>
        <w:t>2.3 النموذج (ج) — شراكة تطوير مؤسسي مخصّص</w:t>
      </w:r>
    </w:p>
    <w:p w14:paraId="43BBFF07"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نموذج شراكة مستمرّ للمؤسسات التي تتطلّب تخصيصًا وتكاملًا عميقين. ويشمل: ورشة استكشاف؛ وتدفّقات عمل مخصّصة؛ وتقارير مخصّصة؛ وتكاملات مع الأنظمة (الدخول الموحّد، و</w:t>
      </w:r>
      <w:r>
        <w:rPr>
          <w:rFonts w:ascii="Segoe UI" w:hAnsi="Segoe UI" w:cs="Segoe UI"/>
          <w:color w:val="1F2933"/>
          <w:sz w:val="21"/>
          <w:szCs w:val="21"/>
          <w:lang w:bidi="ar"/>
        </w:rPr>
        <w:t>Microsoft Entra ID / Active Directory</w:t>
      </w:r>
      <w:r>
        <w:rPr>
          <w:rFonts w:ascii="Segoe UI" w:hAnsi="Segoe UI" w:cs="Segoe UI"/>
          <w:color w:val="1F2933"/>
          <w:sz w:val="21"/>
          <w:szCs w:val="21"/>
          <w:rtl/>
          <w:lang w:bidi="ar"/>
        </w:rPr>
        <w:t>، وأنظمة الموارد البشرية، وأنظمة إدارة التعلّم، و</w:t>
      </w:r>
      <w:r>
        <w:rPr>
          <w:rFonts w:ascii="Segoe UI" w:hAnsi="Segoe UI" w:cs="Segoe UI"/>
          <w:color w:val="1F2933"/>
          <w:sz w:val="21"/>
          <w:szCs w:val="21"/>
          <w:lang w:bidi="ar"/>
        </w:rPr>
        <w:t>Microsoft Teams</w:t>
      </w:r>
      <w:r>
        <w:rPr>
          <w:rFonts w:ascii="Segoe UI" w:hAnsi="Segoe UI" w:cs="Segoe UI"/>
          <w:color w:val="1F2933"/>
          <w:sz w:val="21"/>
          <w:szCs w:val="21"/>
          <w:rtl/>
          <w:lang w:bidi="ar"/>
        </w:rPr>
        <w:t>، و</w:t>
      </w:r>
      <w:r>
        <w:rPr>
          <w:rFonts w:ascii="Segoe UI" w:hAnsi="Segoe UI" w:cs="Segoe UI"/>
          <w:color w:val="1F2933"/>
          <w:sz w:val="21"/>
          <w:szCs w:val="21"/>
          <w:lang w:bidi="ar"/>
        </w:rPr>
        <w:t>Power BI</w:t>
      </w:r>
      <w:r>
        <w:rPr>
          <w:rFonts w:ascii="Segoe UI" w:hAnsi="Segoe UI" w:cs="Segoe UI"/>
          <w:color w:val="1F2933"/>
          <w:sz w:val="21"/>
          <w:szCs w:val="21"/>
          <w:rtl/>
          <w:lang w:bidi="ar"/>
        </w:rPr>
        <w:t>)؛ ودعمًا مخصّصًا؛ وتسليمًا على مراحل؛ وطلبات تغيير تُدار وتُسعَّر بشكل منفصل؛ وساعات تطوير مخصّصة أو ترتيب استبقاء (</w:t>
      </w:r>
      <w:r>
        <w:rPr>
          <w:rFonts w:ascii="Segoe UI" w:hAnsi="Segoe UI" w:cs="Segoe UI"/>
          <w:color w:val="1F2933"/>
          <w:sz w:val="21"/>
          <w:szCs w:val="21"/>
          <w:lang w:bidi="ar"/>
        </w:rPr>
        <w:t>Retainer</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5159"/>
        <w:gridCol w:w="4460"/>
      </w:tblGrid>
      <w:tr w:rsidR="00000000" w14:paraId="6F5567C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E3381E4" w14:textId="77777777" w:rsidR="00B77D9B" w:rsidRDefault="00B77D9B">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البند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0AD335"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السعر</w:t>
            </w:r>
          </w:p>
        </w:tc>
      </w:tr>
      <w:tr w:rsidR="00000000" w14:paraId="269FFA1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7A263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ورشة الاستكشاف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19C4C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1B3EB0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4A0385"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سعر يوم التطوير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75E3E0"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53ED96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4D5A64"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الاستبقاء الشهري</w:t>
            </w:r>
            <w:r>
              <w:rPr>
                <w:rFonts w:ascii="Segoe UI" w:eastAsia="Times New Roman" w:hAnsi="Segoe UI" w:cs="Segoe UI"/>
                <w:color w:val="1F2933"/>
                <w:sz w:val="19"/>
                <w:szCs w:val="19"/>
              </w:rPr>
              <w:t xml:space="preserve">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919429"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745461D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B76424"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899CE3"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bl>
    <w:p w14:paraId="643A69D8" w14:textId="77777777" w:rsidR="00B77D9B" w:rsidRDefault="00B77D9B">
      <w:pPr>
        <w:pStyle w:val="Heading2"/>
        <w:bidi/>
        <w:rPr>
          <w:rFonts w:ascii="Segoe UI" w:eastAsia="Times New Roman" w:hAnsi="Segoe UI" w:cs="Segoe UI"/>
          <w:lang w:bidi="ar"/>
        </w:rPr>
      </w:pPr>
      <w:r>
        <w:rPr>
          <w:rFonts w:ascii="Segoe UI" w:eastAsia="Times New Roman" w:hAnsi="Segoe UI" w:cs="Segoe UI"/>
          <w:rtl/>
          <w:lang w:bidi="ar"/>
        </w:rPr>
        <w:t>2.4 مقارنة النماذج</w:t>
      </w:r>
    </w:p>
    <w:tbl>
      <w:tblPr>
        <w:bidiVisual/>
        <w:tblW w:w="5000" w:type="pct"/>
        <w:tblCellMar>
          <w:top w:w="15" w:type="dxa"/>
          <w:left w:w="15" w:type="dxa"/>
          <w:bottom w:w="15" w:type="dxa"/>
          <w:right w:w="15" w:type="dxa"/>
        </w:tblCellMar>
        <w:tblLook w:val="04A0" w:firstRow="1" w:lastRow="0" w:firstColumn="1" w:lastColumn="0" w:noHBand="0" w:noVBand="1"/>
      </w:tblPr>
      <w:tblGrid>
        <w:gridCol w:w="1195"/>
        <w:gridCol w:w="2707"/>
        <w:gridCol w:w="2236"/>
        <w:gridCol w:w="3481"/>
      </w:tblGrid>
      <w:tr w:rsidR="00000000" w14:paraId="14B7B41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FB743D" w14:textId="77777777" w:rsidR="00B77D9B" w:rsidRDefault="00B77D9B">
            <w:pPr>
              <w:rPr>
                <w:rFonts w:ascii="Segoe UI" w:eastAsia="Times New Roman" w:hAnsi="Segoe UI" w:cs="Segoe UI"/>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A709CC"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(أ)</w:t>
            </w:r>
            <w:r>
              <w:rPr>
                <w:rFonts w:ascii="Segoe UI" w:eastAsia="Times New Roman" w:hAnsi="Segoe UI" w:cs="Segoe UI"/>
                <w:b/>
                <w:bCs/>
                <w:color w:val="FFFFFF"/>
                <w:sz w:val="19"/>
                <w:szCs w:val="19"/>
              </w:rPr>
              <w:t xml:space="preserve">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2FB573"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(ب) — ترخيص دائم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450A431"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(ج) — شراكة مؤسسية</w:t>
            </w:r>
          </w:p>
        </w:tc>
      </w:tr>
      <w:tr w:rsidR="00000000" w14:paraId="4CA135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855483"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الملكية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08043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مُستضافة لدى شركة التنفيذ الدولية؛ لا تملّك للشيفرة المصدرية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96E85B"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مملوك للعميل؛ الشيفرة المصدرية اختيارية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5CC93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النطاق المتفق عليه؛ غالبًا مُستضافة لدى شركة التنفيذ الدولية مع مخرجات مملوكة للعميل</w:t>
            </w:r>
          </w:p>
        </w:tc>
      </w:tr>
      <w:tr w:rsidR="00000000" w14:paraId="0D0EABA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96F11E"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التكلفة المقدَّمة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ACEFD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منخفضة — اشتراك سنوي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7A63D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أعلى — رسم ترخيص لمرة واحدة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564E8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متغيّرة — تُحدَّد حسب التعاقد</w:t>
            </w:r>
          </w:p>
        </w:tc>
      </w:tr>
      <w:tr w:rsidR="00000000" w14:paraId="1350E7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DC7BD1"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86B959"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سحابة مُدارة من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815C8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مُدارة من العميل، محليًا أو على سحابة يختارها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C88987"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r w:rsidR="00000000" w14:paraId="5F21A2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BD6E04"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الترقيات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324613"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مشمولة، ترقيات قياسية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B730B3"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تُستثنى الميزات الرئيسة ما لم يُتَّفق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D42F26"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تُسلَّم ضمن الشراكة المستمرّة</w:t>
            </w:r>
          </w:p>
        </w:tc>
      </w:tr>
      <w:tr w:rsidR="00000000" w14:paraId="671B5F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6E0A81"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الأنسب لـ</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95AD6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أسرع تنفيذ؛ أقلّ استثمار مبدئي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2A77F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تفضّل التملّك الكامل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497BB3"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تحتاج تخصيصًا وتكاملًا عميقين</w:t>
            </w:r>
          </w:p>
        </w:tc>
      </w:tr>
    </w:tbl>
    <w:p w14:paraId="202FDEDB" w14:textId="77777777" w:rsidR="00B77D9B" w:rsidRDefault="00B77D9B">
      <w:pPr>
        <w:pStyle w:val="Heading1"/>
        <w:bidi/>
        <w:rPr>
          <w:rFonts w:ascii="Segoe UI" w:eastAsia="Times New Roman" w:hAnsi="Segoe UI" w:cs="Segoe UI"/>
          <w:lang w:bidi="ar"/>
        </w:rPr>
      </w:pPr>
      <w:r>
        <w:rPr>
          <w:rFonts w:ascii="Segoe UI" w:eastAsia="Times New Roman" w:hAnsi="Segoe UI" w:cs="Segoe UI"/>
          <w:rtl/>
          <w:lang w:bidi="ar"/>
        </w:rPr>
        <w:t>3. البنود الاختيارية</w:t>
      </w:r>
    </w:p>
    <w:p w14:paraId="678542B6"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البنود أدناه متاحة كإضافات اختيارية لأيٍّ من النماذج التجارية الثلاثة. وهي تُسعَّر بشكل منفصل عن النموذج الأساسي، ولا تُدرَج إلا حيثما نُصّ عليها في الاتفاق التجاري الموقَّع. وجميع المبالغ قيم نائبة على هيئة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تُؤكَّد خلال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1813"/>
        <w:gridCol w:w="5735"/>
        <w:gridCol w:w="780"/>
        <w:gridCol w:w="1291"/>
      </w:tblGrid>
      <w:tr w:rsidR="00000000" w14:paraId="54DE68A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5D2112" w14:textId="77777777" w:rsidR="00B77D9B" w:rsidRDefault="00B77D9B">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البند الاختياري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CAB164"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041AEC"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89C885"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السعر</w:t>
            </w:r>
          </w:p>
        </w:tc>
      </w:tr>
      <w:tr w:rsidR="00000000" w14:paraId="532B714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620D2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إضافات التدريب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9EC738"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إضافي للمسؤولين أو منشئي الاختبارات أو فريق الدعم؛ تدريب مسجَّل؛ جلسات تدريب المدرِّبين؛ مواد تدريب بالعربية والإنجليزية تتجاوز الباقة الأساسية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4D582E" w14:textId="77777777" w:rsidR="00B77D9B" w:rsidRDefault="00B77D9B">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3CB654"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7B162B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A5BCE9"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الاختراق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4D03B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اختراق خارجي، متاح كخدمة اختيارية ويخضع لنطاق أمني معتمَد من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958CB5" w14:textId="77777777" w:rsidR="00B77D9B" w:rsidRDefault="00B77D9B">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43B8D3"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F5A57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91A335"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ترخيص الشيفرة المصدرية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2EF0B6"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شيفرة مصدرية اختياري ضمن النموذج (ب)، حيثما لزم التملّك الكامل أو الإيداع؛ يُحدَّد نطاقه في الاتفاق التجاري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D54266" w14:textId="77777777" w:rsidR="00B77D9B" w:rsidRDefault="00B77D9B">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60F316"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0F19CE8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C97EA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 الدعم على مدار الساعة</w:t>
            </w:r>
            <w:r>
              <w:rPr>
                <w:rFonts w:ascii="Segoe UI" w:eastAsia="Times New Roman" w:hAnsi="Segoe UI" w:cs="Segoe UI"/>
                <w:color w:val="1F2933"/>
                <w:sz w:val="19"/>
                <w:szCs w:val="19"/>
              </w:rPr>
              <w:t xml:space="preserve"> (Gold)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0DE30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تغطية على مدار الساعة ضمن باقة</w:t>
            </w:r>
            <w:r>
              <w:rPr>
                <w:rFonts w:ascii="Segoe UI" w:eastAsia="Times New Roman" w:hAnsi="Segoe UI" w:cs="Segoe UI"/>
                <w:color w:val="1F2933"/>
                <w:sz w:val="19"/>
                <w:szCs w:val="19"/>
              </w:rPr>
              <w:t xml:space="preserve"> Gold</w:t>
            </w:r>
            <w:r>
              <w:rPr>
                <w:rFonts w:ascii="Segoe UI" w:eastAsia="Times New Roman" w:hAnsi="Segoe UI" w:cs="Segoe UI"/>
                <w:color w:val="1F2933"/>
                <w:sz w:val="19"/>
                <w:szCs w:val="19"/>
                <w:rtl/>
              </w:rPr>
              <w:t>، مع جهة اتصال دعم مخصّصة ومراقبة استباقية، متاحة كخيار قابل للشراء</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CA78B4" w14:textId="77777777" w:rsidR="00B77D9B" w:rsidRDefault="00B77D9B">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8554F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01D4ED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1473AB"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 لغات إضافية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A65F87"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لغات واجهة إضافية تتجاوز العربية والإنجليزية القياسيتين، تخضع لمراجعة الترجمة والتنسيق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ABBA59" w14:textId="77777777" w:rsidR="00B77D9B" w:rsidRDefault="00B77D9B">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18CF48"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bl>
    <w:p w14:paraId="609BA01A" w14:textId="77777777" w:rsidR="00B77D9B" w:rsidRDefault="00B77D9B">
      <w:pPr>
        <w:pStyle w:val="muted"/>
        <w:bidi/>
        <w:spacing w:before="120" w:beforeAutospacing="0" w:after="120" w:afterAutospacing="0"/>
        <w:rPr>
          <w:rFonts w:ascii="Segoe UI" w:hAnsi="Segoe UI" w:cs="Segoe UI"/>
          <w:lang w:bidi="ar"/>
        </w:rPr>
      </w:pPr>
      <w:r>
        <w:rPr>
          <w:rFonts w:ascii="Segoe UI" w:hAnsi="Segoe UI" w:cs="Segoe UI"/>
          <w:rtl/>
          <w:lang w:bidi="ar"/>
        </w:rPr>
        <w:t>دعم الواجهة بالعربية والإنجليزية، بما في ذلك الدعم الكامل للكتابة من اليمين إلى اليسار (</w:t>
      </w:r>
      <w:r>
        <w:rPr>
          <w:rFonts w:ascii="Segoe UI" w:hAnsi="Segoe UI" w:cs="Segoe UI"/>
          <w:lang w:bidi="ar"/>
        </w:rPr>
        <w:t>RTL</w:t>
      </w:r>
      <w:r>
        <w:rPr>
          <w:rFonts w:ascii="Segoe UI" w:hAnsi="Segoe UI" w:cs="Segoe UI"/>
          <w:rtl/>
          <w:lang w:bidi="ar"/>
        </w:rPr>
        <w:t>) للعربية، قدرة قياسية متضمَّنة في المنصة. أمّا اللغات الإضافية فهي البند الاختياري المسعَّر أعلاه.</w:t>
      </w:r>
    </w:p>
    <w:p w14:paraId="4D59ED99" w14:textId="77777777" w:rsidR="00B77D9B" w:rsidRDefault="00B77D9B">
      <w:pPr>
        <w:pStyle w:val="Heading1"/>
        <w:bidi/>
        <w:rPr>
          <w:rFonts w:ascii="Segoe UI" w:eastAsia="Times New Roman" w:hAnsi="Segoe UI" w:cs="Segoe UI"/>
          <w:rtl/>
          <w:lang w:bidi="ar"/>
        </w:rPr>
      </w:pPr>
      <w:r>
        <w:rPr>
          <w:rFonts w:ascii="Segoe UI" w:eastAsia="Times New Roman" w:hAnsi="Segoe UI" w:cs="Segoe UI"/>
          <w:rtl/>
          <w:lang w:bidi="ar"/>
        </w:rPr>
        <w:t>4. منهجية التسعير</w:t>
      </w:r>
    </w:p>
    <w:p w14:paraId="0DFCE37F"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ليس رقمًا ثابتًا واحدًا؛ بل يعتمد على مجموعة محدَّدة من العوامل، تُؤكَّد خلال مرحلة الاستكشاف الموضَّحة في العرض الكامل. وتُستبدَل القيم النائبة في القسم 2 بأرقام مؤكَّدة متى عُرِفت هذه العوامل.</w:t>
      </w:r>
    </w:p>
    <w:tbl>
      <w:tblPr>
        <w:bidiVisual/>
        <w:tblW w:w="5000" w:type="pct"/>
        <w:tblCellMar>
          <w:top w:w="15" w:type="dxa"/>
          <w:left w:w="15" w:type="dxa"/>
          <w:bottom w:w="15" w:type="dxa"/>
          <w:right w:w="15" w:type="dxa"/>
        </w:tblCellMar>
        <w:tblLook w:val="04A0" w:firstRow="1" w:lastRow="0" w:firstColumn="1" w:lastColumn="0" w:noHBand="0" w:noVBand="1"/>
      </w:tblPr>
      <w:tblGrid>
        <w:gridCol w:w="1014"/>
        <w:gridCol w:w="8605"/>
      </w:tblGrid>
      <w:tr w:rsidR="00000000" w14:paraId="3BAED60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B03B9B" w14:textId="77777777" w:rsidR="00B77D9B" w:rsidRDefault="00B77D9B">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Pr>
              <w: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EB7330"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عامل التسعير</w:t>
            </w:r>
          </w:p>
        </w:tc>
      </w:tr>
      <w:tr w:rsidR="00000000" w14:paraId="5E4B79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557900"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0FC028"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عدد المستخدمين</w:t>
            </w:r>
          </w:p>
        </w:tc>
      </w:tr>
      <w:tr w:rsidR="00000000" w14:paraId="67AFC8E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729C1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DBD60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عدد المسؤولين</w:t>
            </w:r>
          </w:p>
        </w:tc>
      </w:tr>
      <w:tr w:rsidR="00000000" w14:paraId="2D90191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BB1C6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3CCCF7"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عدد المؤسسات / الإدارات</w:t>
            </w:r>
          </w:p>
        </w:tc>
      </w:tr>
      <w:tr w:rsidR="00000000" w14:paraId="2CCD10D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205145"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DA6E7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عدد المستخدمين المتزامنين المتوقَّع</w:t>
            </w:r>
          </w:p>
        </w:tc>
      </w:tr>
      <w:tr w:rsidR="00000000" w14:paraId="03A3088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0AFB3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5540C9"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عدد الجلسات المباشرة</w:t>
            </w:r>
          </w:p>
        </w:tc>
      </w:tr>
      <w:tr w:rsidR="00000000" w14:paraId="4AD725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8B1503"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B1D22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نموذج الاستضافة (سحابي، أو داخلي، أو هجين)</w:t>
            </w:r>
          </w:p>
        </w:tc>
      </w:tr>
      <w:tr w:rsidR="00000000" w14:paraId="63FA321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B79D4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1A9606"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مكان إقامة البيانات</w:t>
            </w:r>
          </w:p>
        </w:tc>
      </w:tr>
      <w:tr w:rsidR="00000000" w14:paraId="183D897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610C0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8</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182B2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استهلاك الذكاء الاصطناعي</w:t>
            </w:r>
          </w:p>
        </w:tc>
      </w:tr>
      <w:tr w:rsidR="00000000" w14:paraId="72A3381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CF3030"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785D6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درجة التخصيص</w:t>
            </w:r>
          </w:p>
        </w:tc>
      </w:tr>
      <w:tr w:rsidR="00000000" w14:paraId="620098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AAB83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6B1B3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تكاملات الأنظمة</w:t>
            </w:r>
          </w:p>
        </w:tc>
      </w:tr>
      <w:tr w:rsidR="00000000" w14:paraId="48EF262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DDA5B8"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2B65D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اتفاقية مستوى خدمة الدعم</w:t>
            </w:r>
          </w:p>
        </w:tc>
      </w:tr>
      <w:tr w:rsidR="00000000" w14:paraId="5F48E6C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97645C"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F1EE1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الأمن السيبراني</w:t>
            </w:r>
          </w:p>
        </w:tc>
      </w:tr>
      <w:tr w:rsidR="00000000" w14:paraId="78947E6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CAB0D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EE2F2C"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الشيفرة المصدرية</w:t>
            </w:r>
          </w:p>
        </w:tc>
      </w:tr>
      <w:tr w:rsidR="00000000" w14:paraId="7B1EBA5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C12F7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460AF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التقارير</w:t>
            </w:r>
          </w:p>
        </w:tc>
      </w:tr>
      <w:tr w:rsidR="00000000" w14:paraId="6E37F38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E02A18"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BBD06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اللغة</w:t>
            </w:r>
          </w:p>
        </w:tc>
      </w:tr>
      <w:tr w:rsidR="00000000" w14:paraId="085415A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85C37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A905E5"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التدريب</w:t>
            </w:r>
          </w:p>
        </w:tc>
      </w:tr>
      <w:tr w:rsidR="00000000" w14:paraId="0D88F6F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CFA46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E3ADA1"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مدة المشروع</w:t>
            </w:r>
          </w:p>
        </w:tc>
      </w:tr>
    </w:tbl>
    <w:p w14:paraId="5A7851A1" w14:textId="77777777" w:rsidR="00B77D9B" w:rsidRDefault="00B77D9B">
      <w:pPr>
        <w:pStyle w:val="Heading1"/>
        <w:bidi/>
        <w:rPr>
          <w:rFonts w:ascii="Segoe UI" w:eastAsia="Times New Roman" w:hAnsi="Segoe UI" w:cs="Segoe UI"/>
          <w:lang w:bidi="ar"/>
        </w:rPr>
      </w:pPr>
      <w:r>
        <w:rPr>
          <w:rFonts w:ascii="Segoe UI" w:eastAsia="Times New Roman" w:hAnsi="Segoe UI" w:cs="Segoe UI"/>
          <w:rtl/>
          <w:lang w:bidi="ar"/>
        </w:rPr>
        <w:t>5. الشروط التجارية</w:t>
      </w:r>
    </w:p>
    <w:p w14:paraId="54E061C8" w14:textId="77777777" w:rsidR="00B77D9B" w:rsidRDefault="00B77D9B">
      <w:pPr>
        <w:pStyle w:val="notice"/>
        <w:bidi/>
        <w:spacing w:before="120" w:beforeAutospacing="0" w:after="120" w:afterAutospacing="0"/>
        <w:rPr>
          <w:rFonts w:ascii="Segoe UI" w:hAnsi="Segoe UI" w:cs="Segoe UI"/>
          <w:color w:val="1F2933"/>
          <w:sz w:val="21"/>
          <w:szCs w:val="21"/>
          <w:rtl/>
          <w:lang w:bidi="ar"/>
        </w:rPr>
      </w:pPr>
      <w:r>
        <w:rPr>
          <w:rStyle w:val="Strong"/>
          <w:rFonts w:ascii="Segoe UI" w:hAnsi="Segoe UI" w:cs="Segoe UI"/>
          <w:color w:val="1F2933"/>
          <w:sz w:val="21"/>
          <w:szCs w:val="21"/>
          <w:rtl/>
          <w:lang w:bidi="ar"/>
        </w:rPr>
        <w:t>شروط مقترحة — قابلة للتفاوض.</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 xml:space="preserve">توضّح الشروط أدناه الهيكل الذي تقترحه شركة التنفيذ الدولية ش.ش.ش عادةً؛ وتُتَّفق الشروط التجارية النهائية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الاتفاق التجاري الموقَّع.</w:t>
      </w:r>
    </w:p>
    <w:p w14:paraId="3F141CC2"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العملة: الريال العماني (</w:t>
      </w:r>
      <w:r>
        <w:rPr>
          <w:rFonts w:ascii="Segoe UI" w:eastAsia="Times New Roman" w:hAnsi="Segoe UI" w:cs="Segoe UI"/>
          <w:color w:val="1F2933"/>
          <w:sz w:val="21"/>
          <w:szCs w:val="21"/>
          <w:lang w:bidi="ar"/>
        </w:rPr>
        <w:t>OMR</w:t>
      </w:r>
      <w:r>
        <w:rPr>
          <w:rFonts w:ascii="Segoe UI" w:eastAsia="Times New Roman" w:hAnsi="Segoe UI" w:cs="Segoe UI"/>
          <w:color w:val="1F2933"/>
          <w:sz w:val="21"/>
          <w:szCs w:val="21"/>
          <w:rtl/>
          <w:lang w:bidi="ar"/>
        </w:rPr>
        <w:t>). والمبالغ غير شاملة للضرائب المطبقة ما لم يُذكر خلاف ذلك.</w:t>
      </w:r>
    </w:p>
    <w:p w14:paraId="01A015EC"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هيكل استرشادي للتوضيح فقط لدفعات المعالم في التعاقدات القائمة على المشاريع: </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عند أمر الشراء،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بعد الموافقة على التصميم،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بعد اعتماد اختبار القبول، و</w:t>
      </w:r>
      <w:r>
        <w:rPr>
          <w:rStyle w:val="Strong"/>
          <w:rFonts w:ascii="Segoe UI" w:eastAsia="Times New Roman" w:hAnsi="Segoe UI" w:cs="Segoe UI"/>
          <w:color w:val="1F2933"/>
          <w:sz w:val="21"/>
          <w:szCs w:val="21"/>
          <w:rtl/>
          <w:lang w:bidi="ar"/>
        </w:rPr>
        <w:t>10%</w:t>
      </w:r>
      <w:r>
        <w:rPr>
          <w:rFonts w:ascii="Segoe UI" w:eastAsia="Times New Roman" w:hAnsi="Segoe UI" w:cs="Segoe UI"/>
          <w:color w:val="1F2933"/>
          <w:sz w:val="21"/>
          <w:szCs w:val="21"/>
          <w:rtl/>
          <w:lang w:bidi="ar"/>
        </w:rPr>
        <w:t xml:space="preserve"> بعد الإطلاق.</w:t>
      </w:r>
    </w:p>
    <w:p w14:paraId="7575B13C"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اشتراك </w:t>
      </w:r>
      <w:r>
        <w:rPr>
          <w:rFonts w:ascii="Segoe UI" w:eastAsia="Times New Roman" w:hAnsi="Segoe UI" w:cs="Segoe UI"/>
          <w:color w:val="1F2933"/>
          <w:sz w:val="21"/>
          <w:szCs w:val="21"/>
          <w:lang w:bidi="ar"/>
        </w:rPr>
        <w:t>SaaS</w:t>
      </w:r>
      <w:r>
        <w:rPr>
          <w:rFonts w:ascii="Segoe UI" w:eastAsia="Times New Roman" w:hAnsi="Segoe UI" w:cs="Segoe UI"/>
          <w:color w:val="1F2933"/>
          <w:sz w:val="21"/>
          <w:szCs w:val="21"/>
          <w:rtl/>
          <w:lang w:bidi="ar"/>
        </w:rPr>
        <w:t xml:space="preserve"> (النموذج أ): دفع سنوي مقدّم.</w:t>
      </w:r>
    </w:p>
    <w:p w14:paraId="3F1D34F9"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الصيانة (النموذج ب، اختيارية): دفع سنوي مقدّم.</w:t>
      </w:r>
    </w:p>
    <w:p w14:paraId="5E86024E"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طلبات التغيير: تُسعَّر وتُفوتَر بشكل منفصل.</w:t>
      </w:r>
    </w:p>
    <w:p w14:paraId="56135FF9"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السفر خارج مسقط: يُحتسَب بشكل منفصل، حيثما لزم واتُّفق عليه مسبقًا.</w:t>
      </w:r>
    </w:p>
    <w:p w14:paraId="4055B40A"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خدمات الجهات الخارجية: تُحتسَب بالتكلفة، مضافًا إليها رسوم إدارية متفق عليها حيثما انطبق.</w:t>
      </w:r>
    </w:p>
    <w:p w14:paraId="32E8C2A5" w14:textId="77777777" w:rsidR="00B77D9B" w:rsidRDefault="00B77D9B">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جدول الدفع: </w:t>
      </w:r>
      <w:r>
        <w:rPr>
          <w:rStyle w:val="Strong"/>
          <w:rFonts w:ascii="Segoe UI" w:eastAsia="Times New Roman" w:hAnsi="Segoe UI" w:cs="Segoe UI"/>
          <w:color w:val="1F2933"/>
          <w:sz w:val="21"/>
          <w:szCs w:val="21"/>
          <w:rtl/>
          <w:lang w:bidi="ar"/>
        </w:rPr>
        <w:t>[شروط الدفع]</w:t>
      </w:r>
      <w:r>
        <w:rPr>
          <w:rFonts w:ascii="Segoe UI" w:eastAsia="Times New Roman" w:hAnsi="Segoe UI" w:cs="Segoe UI"/>
          <w:color w:val="1F2933"/>
          <w:sz w:val="21"/>
          <w:szCs w:val="21"/>
          <w:rtl/>
          <w:lang w:bidi="ar"/>
        </w:rPr>
        <w:t>.</w:t>
      </w:r>
    </w:p>
    <w:p w14:paraId="267FF3B5" w14:textId="77777777" w:rsidR="00B77D9B" w:rsidRDefault="00B77D9B">
      <w:pPr>
        <w:pStyle w:val="Heading1"/>
        <w:bidi/>
        <w:rPr>
          <w:rFonts w:ascii="Segoe UI" w:eastAsia="Times New Roman" w:hAnsi="Segoe UI" w:cs="Segoe UI"/>
          <w:rtl/>
          <w:lang w:bidi="ar"/>
        </w:rPr>
      </w:pPr>
      <w:r>
        <w:rPr>
          <w:rFonts w:ascii="Segoe UI" w:eastAsia="Times New Roman" w:hAnsi="Segoe UI" w:cs="Segoe UI"/>
          <w:rtl/>
          <w:lang w:bidi="ar"/>
        </w:rPr>
        <w:t>6. الصلاحية والقبول</w:t>
      </w:r>
    </w:p>
    <w:p w14:paraId="15B53056"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يظلّ عرض الأسعار هذا، بما فيه التسعير الوارد في القسمين 2 و3 والشروط التجارية في القسم 5، ساريًا لمدة </w:t>
      </w:r>
      <w:r>
        <w:rPr>
          <w:rStyle w:val="Strong"/>
          <w:rFonts w:ascii="Segoe UI" w:hAnsi="Segoe UI" w:cs="Segoe UI"/>
          <w:color w:val="1F2933"/>
          <w:sz w:val="21"/>
          <w:szCs w:val="21"/>
          <w:rtl/>
          <w:lang w:bidi="ar"/>
        </w:rPr>
        <w:t>30 يومًا</w:t>
      </w:r>
      <w:r>
        <w:rPr>
          <w:rFonts w:ascii="Segoe UI" w:hAnsi="Segoe UI" w:cs="Segoe UI"/>
          <w:color w:val="1F2933"/>
          <w:sz w:val="21"/>
          <w:szCs w:val="21"/>
          <w:rtl/>
          <w:lang w:bidi="ar"/>
        </w:rPr>
        <w:t xml:space="preserve"> من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وبعد هذه المدة، يخضع التسعير والتوافر لإعادة تأكيد من شركة التنفيذ الدولية ش.ش.ش.</w:t>
      </w:r>
    </w:p>
    <w:p w14:paraId="630C14F4" w14:textId="77777777" w:rsidR="00B77D9B" w:rsidRDefault="00B77D9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يُقبَل عرض الأسعار هذا ويُتَّفق عليه من قِبل الموقِّعين أدناه نيابةً عن مؤسّساتهم.</w:t>
      </w:r>
    </w:p>
    <w:tbl>
      <w:tblPr>
        <w:bidiVisual/>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46F4A3B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18CB9F1" w14:textId="77777777" w:rsidR="00B77D9B" w:rsidRDefault="00B77D9B">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w:t>
            </w:r>
            <w:r>
              <w:rPr>
                <w:rFonts w:ascii="Segoe UI" w:eastAsia="Times New Roman" w:hAnsi="Segoe UI" w:cs="Segoe UI"/>
                <w:b/>
                <w:bCs/>
                <w:color w:val="FFFFFF"/>
                <w:sz w:val="19"/>
                <w:szCs w:val="19"/>
              </w:rPr>
              <w:t xml:space="preserve"> </w:t>
            </w:r>
            <w:r>
              <w:rPr>
                <w:rStyle w:val="Strong"/>
                <w:rFonts w:ascii="Segoe UI" w:eastAsia="Times New Roman" w:hAnsi="Segoe UI" w:cs="Segoe UI"/>
                <w:color w:val="FFFFFF"/>
                <w:sz w:val="19"/>
                <w:szCs w:val="19"/>
              </w:rPr>
              <w:t>[</w:t>
            </w:r>
            <w:r>
              <w:rPr>
                <w:rStyle w:val="Strong"/>
                <w:rFonts w:ascii="Segoe UI" w:eastAsia="Times New Roman" w:hAnsi="Segoe UI" w:cs="Segoe UI"/>
                <w:color w:val="FFFFFF"/>
                <w:sz w:val="19"/>
                <w:szCs w:val="19"/>
                <w:rtl/>
              </w:rPr>
              <w:t>اسم العميل</w:t>
            </w:r>
            <w:r>
              <w:rPr>
                <w:rStyle w:val="Strong"/>
                <w:rFonts w:ascii="Segoe UI" w:eastAsia="Times New Roman" w:hAnsi="Segoe UI" w:cs="Segoe UI"/>
                <w:color w:val="FFFFFF"/>
                <w:sz w:val="19"/>
                <w:szCs w:val="19"/>
              </w:rPr>
              <w: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C64291" w14:textId="77777777" w:rsidR="00B77D9B" w:rsidRDefault="00B77D9B">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عن شركة التنفيذ الدولية ش.ش.ش</w:t>
            </w:r>
          </w:p>
        </w:tc>
      </w:tr>
      <w:tr w:rsidR="00000000" w14:paraId="7100A15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39AB2D"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الاسم</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68B550"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الاسم</w:t>
            </w:r>
            <w:r>
              <w:rPr>
                <w:rFonts w:ascii="Segoe UI" w:eastAsia="Times New Roman" w:hAnsi="Segoe UI" w:cs="Segoe UI"/>
                <w:color w:val="1F2933"/>
                <w:sz w:val="19"/>
                <w:szCs w:val="19"/>
              </w:rPr>
              <w:t>: ____________________________</w:t>
            </w:r>
          </w:p>
        </w:tc>
      </w:tr>
      <w:tr w:rsidR="00000000" w14:paraId="28D124A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3A7A4C"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727A79"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r>
      <w:tr w:rsidR="00000000" w14:paraId="438721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7843C7"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CD2812"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r>
      <w:tr w:rsidR="00000000" w14:paraId="2D3BB64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1408BE"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A02F19"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r>
    </w:tbl>
    <w:p w14:paraId="66CBFC8F" w14:textId="77777777" w:rsidR="00B77D9B" w:rsidRDefault="00B77D9B">
      <w:pPr>
        <w:pStyle w:val="Heading2"/>
        <w:bidi/>
        <w:rPr>
          <w:rFonts w:ascii="Segoe UI" w:eastAsia="Times New Roman" w:hAnsi="Segoe UI" w:cs="Segoe UI"/>
          <w:lang w:bidi="ar"/>
        </w:rPr>
      </w:pPr>
      <w:r>
        <w:rPr>
          <w:rFonts w:ascii="Segoe UI" w:eastAsia="Times New Roman" w:hAnsi="Segoe UI" w:cs="Segoe UI"/>
          <w:rtl/>
          <w:lang w:bidi="ar"/>
        </w:rPr>
        <w:t>6.1 بيانات التواصل</w:t>
      </w:r>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366BB74B" w14:textId="77777777">
        <w:tc>
          <w:tcPr>
            <w:tcW w:w="1600" w:type="pct"/>
            <w:tcBorders>
              <w:top w:val="nil"/>
              <w:left w:val="nil"/>
              <w:bottom w:val="nil"/>
              <w:right w:val="nil"/>
            </w:tcBorders>
            <w:tcMar>
              <w:top w:w="40" w:type="dxa"/>
              <w:left w:w="120" w:type="dxa"/>
              <w:bottom w:w="40" w:type="dxa"/>
              <w:right w:w="120" w:type="dxa"/>
            </w:tcMar>
            <w:hideMark/>
          </w:tcPr>
          <w:p w14:paraId="3AA4DA15" w14:textId="77777777" w:rsidR="00B77D9B" w:rsidRDefault="00B77D9B">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الشركة</w:t>
            </w:r>
          </w:p>
        </w:tc>
        <w:tc>
          <w:tcPr>
            <w:tcW w:w="0" w:type="auto"/>
            <w:tcBorders>
              <w:top w:val="nil"/>
              <w:left w:val="nil"/>
              <w:bottom w:val="nil"/>
              <w:right w:val="nil"/>
            </w:tcBorders>
            <w:tcMar>
              <w:top w:w="40" w:type="dxa"/>
              <w:left w:w="120" w:type="dxa"/>
              <w:bottom w:w="40" w:type="dxa"/>
              <w:right w:w="120" w:type="dxa"/>
            </w:tcMar>
            <w:hideMark/>
          </w:tcPr>
          <w:p w14:paraId="614F3331"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w:t>
            </w:r>
          </w:p>
        </w:tc>
      </w:tr>
      <w:tr w:rsidR="00000000" w14:paraId="32565328" w14:textId="77777777">
        <w:tc>
          <w:tcPr>
            <w:tcW w:w="0" w:type="auto"/>
            <w:tcBorders>
              <w:top w:val="nil"/>
              <w:left w:val="nil"/>
              <w:bottom w:val="nil"/>
              <w:right w:val="nil"/>
            </w:tcBorders>
            <w:tcMar>
              <w:top w:w="40" w:type="dxa"/>
              <w:left w:w="120" w:type="dxa"/>
              <w:bottom w:w="40" w:type="dxa"/>
              <w:right w:w="120" w:type="dxa"/>
            </w:tcMar>
            <w:hideMark/>
          </w:tcPr>
          <w:p w14:paraId="5D637F94"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nil"/>
              <w:left w:val="nil"/>
              <w:bottom w:val="nil"/>
              <w:right w:val="nil"/>
            </w:tcBorders>
            <w:tcMar>
              <w:top w:w="40" w:type="dxa"/>
              <w:left w:w="120" w:type="dxa"/>
              <w:bottom w:w="40" w:type="dxa"/>
              <w:right w:w="120" w:type="dxa"/>
            </w:tcMar>
            <w:hideMark/>
          </w:tcPr>
          <w:p w14:paraId="4D22279B"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781BCD7A" w14:textId="77777777">
        <w:tc>
          <w:tcPr>
            <w:tcW w:w="0" w:type="auto"/>
            <w:tcBorders>
              <w:top w:val="nil"/>
              <w:left w:val="nil"/>
              <w:bottom w:val="nil"/>
              <w:right w:val="nil"/>
            </w:tcBorders>
            <w:tcMar>
              <w:top w:w="40" w:type="dxa"/>
              <w:left w:w="120" w:type="dxa"/>
              <w:bottom w:w="40" w:type="dxa"/>
              <w:right w:w="120" w:type="dxa"/>
            </w:tcMar>
            <w:hideMark/>
          </w:tcPr>
          <w:p w14:paraId="34C0E3F3"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أُعِدّ بواسطة</w:t>
            </w:r>
          </w:p>
        </w:tc>
        <w:tc>
          <w:tcPr>
            <w:tcW w:w="0" w:type="auto"/>
            <w:tcBorders>
              <w:top w:val="nil"/>
              <w:left w:val="nil"/>
              <w:bottom w:val="nil"/>
              <w:right w:val="nil"/>
            </w:tcBorders>
            <w:tcMar>
              <w:top w:w="40" w:type="dxa"/>
              <w:left w:w="120" w:type="dxa"/>
              <w:bottom w:w="40" w:type="dxa"/>
              <w:right w:w="120" w:type="dxa"/>
            </w:tcMar>
            <w:hideMark/>
          </w:tcPr>
          <w:p w14:paraId="66F5A084"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r>
              <w:rPr>
                <w:rFonts w:ascii="Segoe UI" w:eastAsia="Times New Roman" w:hAnsi="Segoe UI" w:cs="Segoe UI"/>
                <w:color w:val="1F2933"/>
                <w:sz w:val="19"/>
                <w:szCs w:val="19"/>
              </w:rPr>
              <w:t xml:space="preserve"> (Haitham Al Lamki)</w:t>
            </w:r>
          </w:p>
        </w:tc>
      </w:tr>
      <w:tr w:rsidR="00000000" w14:paraId="1EF63BF1" w14:textId="77777777">
        <w:tc>
          <w:tcPr>
            <w:tcW w:w="0" w:type="auto"/>
            <w:tcBorders>
              <w:top w:val="nil"/>
              <w:left w:val="nil"/>
              <w:bottom w:val="nil"/>
              <w:right w:val="nil"/>
            </w:tcBorders>
            <w:tcMar>
              <w:top w:w="40" w:type="dxa"/>
              <w:left w:w="120" w:type="dxa"/>
              <w:bottom w:w="40" w:type="dxa"/>
              <w:right w:w="120" w:type="dxa"/>
            </w:tcMar>
            <w:hideMark/>
          </w:tcPr>
          <w:p w14:paraId="5DA6C63E"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البريد الإلكتروني</w:t>
            </w:r>
          </w:p>
        </w:tc>
        <w:tc>
          <w:tcPr>
            <w:tcW w:w="0" w:type="auto"/>
            <w:tcBorders>
              <w:top w:val="nil"/>
              <w:left w:val="nil"/>
              <w:bottom w:val="nil"/>
              <w:right w:val="nil"/>
            </w:tcBorders>
            <w:tcMar>
              <w:top w:w="40" w:type="dxa"/>
              <w:left w:w="120" w:type="dxa"/>
              <w:bottom w:w="40" w:type="dxa"/>
              <w:right w:w="120" w:type="dxa"/>
            </w:tcMar>
            <w:hideMark/>
          </w:tcPr>
          <w:p w14:paraId="62101B5A"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745BABE6" w14:textId="77777777">
        <w:tc>
          <w:tcPr>
            <w:tcW w:w="0" w:type="auto"/>
            <w:tcBorders>
              <w:top w:val="nil"/>
              <w:left w:val="nil"/>
              <w:bottom w:val="nil"/>
              <w:right w:val="nil"/>
            </w:tcBorders>
            <w:tcMar>
              <w:top w:w="40" w:type="dxa"/>
              <w:left w:w="120" w:type="dxa"/>
              <w:bottom w:w="40" w:type="dxa"/>
              <w:right w:w="120" w:type="dxa"/>
            </w:tcMar>
            <w:hideMark/>
          </w:tcPr>
          <w:p w14:paraId="676643C5"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الهاتف</w:t>
            </w:r>
          </w:p>
        </w:tc>
        <w:tc>
          <w:tcPr>
            <w:tcW w:w="0" w:type="auto"/>
            <w:tcBorders>
              <w:top w:val="nil"/>
              <w:left w:val="nil"/>
              <w:bottom w:val="nil"/>
              <w:right w:val="nil"/>
            </w:tcBorders>
            <w:tcMar>
              <w:top w:w="40" w:type="dxa"/>
              <w:left w:w="120" w:type="dxa"/>
              <w:bottom w:w="40" w:type="dxa"/>
              <w:right w:w="120" w:type="dxa"/>
            </w:tcMar>
            <w:hideMark/>
          </w:tcPr>
          <w:p w14:paraId="5942D7BF"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1DCB30A0" w14:textId="77777777">
        <w:tc>
          <w:tcPr>
            <w:tcW w:w="0" w:type="auto"/>
            <w:tcBorders>
              <w:top w:val="nil"/>
              <w:left w:val="nil"/>
              <w:bottom w:val="nil"/>
              <w:right w:val="nil"/>
            </w:tcBorders>
            <w:tcMar>
              <w:top w:w="40" w:type="dxa"/>
              <w:left w:w="120" w:type="dxa"/>
              <w:bottom w:w="40" w:type="dxa"/>
              <w:right w:w="120" w:type="dxa"/>
            </w:tcMar>
            <w:hideMark/>
          </w:tcPr>
          <w:p w14:paraId="7BDE9DDF" w14:textId="77777777" w:rsidR="00B77D9B" w:rsidRDefault="00B77D9B">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الدولة</w:t>
            </w:r>
          </w:p>
        </w:tc>
        <w:tc>
          <w:tcPr>
            <w:tcW w:w="0" w:type="auto"/>
            <w:tcBorders>
              <w:top w:val="nil"/>
              <w:left w:val="nil"/>
              <w:bottom w:val="nil"/>
              <w:right w:val="nil"/>
            </w:tcBorders>
            <w:tcMar>
              <w:top w:w="40" w:type="dxa"/>
              <w:left w:w="120" w:type="dxa"/>
              <w:bottom w:w="40" w:type="dxa"/>
              <w:right w:w="120" w:type="dxa"/>
            </w:tcMar>
            <w:hideMark/>
          </w:tcPr>
          <w:p w14:paraId="265B7604" w14:textId="77777777" w:rsidR="00B77D9B" w:rsidRDefault="00B77D9B">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سلطنة عمان</w:t>
            </w:r>
          </w:p>
        </w:tc>
      </w:tr>
    </w:tbl>
    <w:p w14:paraId="1715344F" w14:textId="77777777" w:rsidR="00B77D9B" w:rsidRDefault="00B77D9B">
      <w:pPr>
        <w:rPr>
          <w:rFonts w:eastAsia="Times New Roman"/>
        </w:rPr>
      </w:pPr>
    </w:p>
    <w:sectPr w:rsidR="00B77D9B" w:rsidSect="00C63D96">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007A0" w14:textId="77777777" w:rsidR="00B77D9B" w:rsidRDefault="00B77D9B" w:rsidP="00C63D96">
      <w:r>
        <w:separator/>
      </w:r>
    </w:p>
  </w:endnote>
  <w:endnote w:type="continuationSeparator" w:id="0">
    <w:p w14:paraId="186640C8" w14:textId="77777777" w:rsidR="00B77D9B" w:rsidRDefault="00B77D9B" w:rsidP="00C63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EF8A" w14:textId="77777777" w:rsidR="00C63D96" w:rsidRDefault="00C63D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29B2B" w14:textId="026E3629" w:rsidR="00C63D96" w:rsidRPr="00C63D96" w:rsidRDefault="00C63D96" w:rsidP="00C63D96">
    <w:pPr>
      <w:pStyle w:val="Footer"/>
      <w:jc w:val="center"/>
      <w:rPr>
        <w:color w:val="5A6B7A"/>
        <w:sz w:val="16"/>
      </w:rPr>
    </w:pPr>
    <w:r w:rsidRPr="00C63D96">
      <w:rPr>
        <w:color w:val="5A6B7A"/>
        <w:sz w:val="16"/>
        <w:rtl/>
      </w:rPr>
      <w:t>شركة التنفيذ الدولية ش.ش.ش  |  سري</w:t>
    </w:r>
    <w:r w:rsidRPr="00C63D96">
      <w:rPr>
        <w:color w:val="5A6B7A"/>
        <w:sz w:val="16"/>
      </w:rPr>
      <w:t xml:space="preserve">  |  </w:t>
    </w:r>
    <w:r w:rsidRPr="00C63D96">
      <w:rPr>
        <w:color w:val="5A6B7A"/>
        <w:sz w:val="16"/>
      </w:rPr>
      <w:fldChar w:fldCharType="begin"/>
    </w:r>
    <w:r w:rsidRPr="00C63D96">
      <w:rPr>
        <w:color w:val="5A6B7A"/>
        <w:sz w:val="16"/>
      </w:rPr>
      <w:instrText xml:space="preserve"> PAGE  \* MERGEFORMAT </w:instrText>
    </w:r>
    <w:r w:rsidRPr="00C63D96">
      <w:rPr>
        <w:color w:val="5A6B7A"/>
        <w:sz w:val="16"/>
      </w:rPr>
      <w:fldChar w:fldCharType="separate"/>
    </w:r>
    <w:r w:rsidRPr="00C63D96">
      <w:rPr>
        <w:noProof/>
        <w:color w:val="5A6B7A"/>
        <w:sz w:val="16"/>
      </w:rPr>
      <w:t>1</w:t>
    </w:r>
    <w:r w:rsidRPr="00C63D96">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7A77" w14:textId="77777777" w:rsidR="00C63D96" w:rsidRDefault="00C63D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9C4EF" w14:textId="77777777" w:rsidR="00B77D9B" w:rsidRDefault="00B77D9B" w:rsidP="00C63D96">
      <w:r>
        <w:separator/>
      </w:r>
    </w:p>
  </w:footnote>
  <w:footnote w:type="continuationSeparator" w:id="0">
    <w:p w14:paraId="30A9F8DC" w14:textId="77777777" w:rsidR="00B77D9B" w:rsidRDefault="00B77D9B" w:rsidP="00C63D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4318" w14:textId="77777777" w:rsidR="00C63D96" w:rsidRDefault="00C63D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A714" w14:textId="77777777" w:rsidR="00C63D96" w:rsidRDefault="00C63D9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60199" w14:textId="77777777" w:rsidR="00C63D96" w:rsidRDefault="00C63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307D1"/>
    <w:multiLevelType w:val="multilevel"/>
    <w:tmpl w:val="7B20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699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63D96"/>
    <w:rsid w:val="0072162C"/>
    <w:rsid w:val="00B77D9B"/>
    <w:rsid w:val="00C63D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19583B"/>
  <w15:chartTrackingRefBased/>
  <w15:docId w15:val="{06E4A9E0-FC60-46EB-A379-D8EB73BFF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right w:val="single" w:sz="24" w:space="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customStyle="1" w:styleId="badge-opt1">
    <w:name w:val="badge-opt1"/>
    <w:basedOn w:val="DefaultParagraphFont"/>
    <w:rPr>
      <w:b/>
      <w:bCs/>
      <w:color w:val="8A6D1D"/>
    </w:rPr>
  </w:style>
  <w:style w:type="paragraph" w:styleId="Header">
    <w:name w:val="header"/>
    <w:basedOn w:val="Normal"/>
    <w:link w:val="HeaderChar"/>
    <w:uiPriority w:val="99"/>
    <w:unhideWhenUsed/>
    <w:rsid w:val="00C63D96"/>
    <w:pPr>
      <w:tabs>
        <w:tab w:val="center" w:pos="4680"/>
        <w:tab w:val="right" w:pos="9360"/>
      </w:tabs>
    </w:pPr>
  </w:style>
  <w:style w:type="character" w:customStyle="1" w:styleId="HeaderChar">
    <w:name w:val="Header Char"/>
    <w:basedOn w:val="DefaultParagraphFont"/>
    <w:link w:val="Header"/>
    <w:uiPriority w:val="99"/>
    <w:rsid w:val="00C63D96"/>
    <w:rPr>
      <w:rFonts w:eastAsiaTheme="minorEastAsia"/>
      <w:sz w:val="24"/>
      <w:szCs w:val="24"/>
    </w:rPr>
  </w:style>
  <w:style w:type="paragraph" w:styleId="Footer">
    <w:name w:val="footer"/>
    <w:basedOn w:val="Normal"/>
    <w:link w:val="FooterChar"/>
    <w:uiPriority w:val="99"/>
    <w:unhideWhenUsed/>
    <w:rsid w:val="00C63D96"/>
    <w:pPr>
      <w:tabs>
        <w:tab w:val="center" w:pos="4680"/>
        <w:tab w:val="right" w:pos="9360"/>
      </w:tabs>
    </w:pPr>
  </w:style>
  <w:style w:type="character" w:customStyle="1" w:styleId="FooterChar">
    <w:name w:val="Footer Char"/>
    <w:basedOn w:val="DefaultParagraphFont"/>
    <w:link w:val="Footer"/>
    <w:uiPriority w:val="99"/>
    <w:rsid w:val="00C63D96"/>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1223</Words>
  <Characters>7010</Characters>
  <Application>Microsoft Office Word</Application>
  <DocSecurity>0</DocSecurity>
  <Lines>245</Lines>
  <Paragraphs>188</Paragraphs>
  <ScaleCrop>false</ScaleCrop>
  <Company/>
  <LinksUpToDate>false</LinksUpToDate>
  <CharactersWithSpaces>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عرض الأسعار التجاري</dc:title>
  <dc:subject/>
  <dc:creator>Haitham Al Lamki</dc:creator>
  <cp:keywords/>
  <dc:description/>
  <cp:lastModifiedBy>Haitham Al Lamki</cp:lastModifiedBy>
  <cp:revision>2</cp:revision>
  <dcterms:created xsi:type="dcterms:W3CDTF">2026-07-20T09:36:00Z</dcterms:created>
  <dcterms:modified xsi:type="dcterms:W3CDTF">2026-07-20T09:36:00Z</dcterms:modified>
</cp:coreProperties>
</file>