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3FD03EA0"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5D9A9C04" w14:textId="77777777" w:rsidR="007061B1" w:rsidRDefault="007061B1">
            <w:pPr>
              <w:pStyle w:val="NormalWeb"/>
              <w:rPr>
                <w:rFonts w:ascii="Segoe UI" w:hAnsi="Segoe UI" w:cs="Segoe UI"/>
                <w:color w:val="FFFFFF"/>
                <w:spacing w:val="20"/>
              </w:rPr>
            </w:pPr>
            <w:r>
              <w:rPr>
                <w:rFonts w:ascii="Segoe UI" w:hAnsi="Segoe UI" w:cs="Segoe UI"/>
                <w:color w:val="FFFFFF"/>
                <w:spacing w:val="20"/>
              </w:rPr>
              <w:t>ALTANFITH ALDWALIAH SPC</w:t>
            </w:r>
          </w:p>
          <w:p w14:paraId="0F602956" w14:textId="77777777" w:rsidR="007061B1" w:rsidRDefault="007061B1">
            <w:pPr>
              <w:pStyle w:val="NormalWeb"/>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771E8096" w14:textId="77777777" w:rsidR="007061B1" w:rsidRDefault="007061B1">
            <w:pPr>
              <w:pStyle w:val="NormalWeb"/>
              <w:spacing w:before="0"/>
              <w:rPr>
                <w:rFonts w:ascii="Segoe UI" w:hAnsi="Segoe UI" w:cs="Segoe UI"/>
                <w:color w:val="FFFFFF"/>
                <w:sz w:val="30"/>
                <w:szCs w:val="30"/>
              </w:rPr>
            </w:pPr>
            <w:r>
              <w:rPr>
                <w:rFonts w:ascii="Segoe UI" w:hAnsi="Segoe UI" w:cs="Segoe UI"/>
                <w:color w:val="FFFFFF"/>
                <w:sz w:val="30"/>
                <w:szCs w:val="30"/>
              </w:rPr>
              <w:t>Commercial Quotation</w:t>
            </w:r>
          </w:p>
          <w:p w14:paraId="6837EB1B" w14:textId="77777777" w:rsidR="007061B1" w:rsidRDefault="007061B1">
            <w:pPr>
              <w:pStyle w:val="NormalWeb"/>
              <w:spacing w:before="720"/>
              <w:rPr>
                <w:rFonts w:ascii="Segoe UI" w:hAnsi="Segoe UI" w:cs="Segoe UI"/>
                <w:color w:val="FFFFFF"/>
                <w:sz w:val="19"/>
                <w:szCs w:val="19"/>
              </w:rPr>
            </w:pPr>
            <w:r>
              <w:rPr>
                <w:rFonts w:ascii="Segoe UI" w:hAnsi="Segoe UI" w:cs="Segoe UI"/>
                <w:color w:val="FFFFFF"/>
                <w:sz w:val="19"/>
                <w:szCs w:val="19"/>
              </w:rPr>
              <w:t xml:space="preserve">Prepared for: </w:t>
            </w:r>
            <w:r>
              <w:rPr>
                <w:rStyle w:val="Strong"/>
                <w:rFonts w:ascii="Segoe UI" w:hAnsi="Segoe UI" w:cs="Segoe UI"/>
                <w:color w:val="FFFFFF"/>
                <w:sz w:val="19"/>
                <w:szCs w:val="19"/>
              </w:rPr>
              <w:t>[Client Name]</w:t>
            </w:r>
          </w:p>
          <w:p w14:paraId="44436B50" w14:textId="77777777" w:rsidR="007061B1" w:rsidRDefault="007061B1">
            <w:pPr>
              <w:pStyle w:val="NormalWeb"/>
              <w:rPr>
                <w:rFonts w:ascii="Segoe UI" w:hAnsi="Segoe UI" w:cs="Segoe UI"/>
                <w:color w:val="FFFFFF"/>
                <w:sz w:val="19"/>
                <w:szCs w:val="19"/>
              </w:rPr>
            </w:pPr>
            <w:r>
              <w:rPr>
                <w:rFonts w:ascii="Segoe UI" w:hAnsi="Segoe UI" w:cs="Segoe UI"/>
                <w:color w:val="FFFFFF"/>
                <w:sz w:val="19"/>
                <w:szCs w:val="19"/>
              </w:rPr>
              <w:t xml:space="preserve">Reference: </w:t>
            </w:r>
            <w:r>
              <w:rPr>
                <w:rStyle w:val="Strong"/>
                <w:rFonts w:ascii="Segoe UI" w:hAnsi="Segoe UI" w:cs="Segoe UI"/>
                <w:color w:val="FFFFFF"/>
                <w:sz w:val="19"/>
                <w:szCs w:val="19"/>
              </w:rPr>
              <w:t>[Proposal Reference]</w:t>
            </w:r>
          </w:p>
          <w:p w14:paraId="6978A33E" w14:textId="77777777" w:rsidR="007061B1" w:rsidRDefault="007061B1">
            <w:pPr>
              <w:pStyle w:val="NormalWeb"/>
              <w:rPr>
                <w:rFonts w:ascii="Segoe UI" w:hAnsi="Segoe UI" w:cs="Segoe UI"/>
                <w:color w:val="FFFFFF"/>
                <w:sz w:val="19"/>
                <w:szCs w:val="19"/>
              </w:rPr>
            </w:pPr>
            <w:r>
              <w:rPr>
                <w:rFonts w:ascii="Segoe UI" w:hAnsi="Segoe UI" w:cs="Segoe UI"/>
                <w:color w:val="FFFFFF"/>
                <w:sz w:val="19"/>
                <w:szCs w:val="19"/>
              </w:rPr>
              <w:t xml:space="preserve">Version: </w:t>
            </w:r>
            <w:r>
              <w:rPr>
                <w:rStyle w:val="Strong"/>
                <w:rFonts w:ascii="Segoe UI" w:hAnsi="Segoe UI" w:cs="Segoe UI"/>
                <w:color w:val="FFFFFF"/>
                <w:sz w:val="19"/>
                <w:szCs w:val="19"/>
              </w:rPr>
              <w:t>1.0</w:t>
            </w:r>
          </w:p>
          <w:p w14:paraId="541B70CB" w14:textId="77777777" w:rsidR="007061B1" w:rsidRDefault="007061B1">
            <w:pPr>
              <w:pStyle w:val="NormalWeb"/>
              <w:rPr>
                <w:rFonts w:ascii="Segoe UI" w:hAnsi="Segoe UI" w:cs="Segoe UI"/>
                <w:color w:val="FFFFFF"/>
                <w:sz w:val="19"/>
                <w:szCs w:val="19"/>
              </w:rPr>
            </w:pPr>
            <w:r>
              <w:rPr>
                <w:rFonts w:ascii="Segoe UI" w:hAnsi="Segoe UI" w:cs="Segoe UI"/>
                <w:color w:val="FFFFFF"/>
                <w:sz w:val="19"/>
                <w:szCs w:val="19"/>
              </w:rPr>
              <w:t xml:space="preserve">Date: </w:t>
            </w:r>
            <w:r>
              <w:rPr>
                <w:rStyle w:val="Strong"/>
                <w:rFonts w:ascii="Segoe UI" w:hAnsi="Segoe UI" w:cs="Segoe UI"/>
                <w:color w:val="FFFFFF"/>
                <w:sz w:val="19"/>
                <w:szCs w:val="19"/>
              </w:rPr>
              <w:t>[Date]</w:t>
            </w:r>
          </w:p>
          <w:p w14:paraId="3BC2EB78" w14:textId="77777777" w:rsidR="007061B1" w:rsidRDefault="007061B1">
            <w:pPr>
              <w:pStyle w:val="tag"/>
              <w:spacing w:before="720" w:beforeAutospacing="0" w:after="120" w:afterAutospacing="0"/>
              <w:rPr>
                <w:rFonts w:ascii="Segoe UI" w:hAnsi="Segoe UI" w:cs="Segoe UI"/>
                <w:spacing w:val="40"/>
              </w:rPr>
            </w:pPr>
            <w:r>
              <w:rPr>
                <w:rFonts w:ascii="Segoe UI" w:hAnsi="Segoe UI" w:cs="Segoe UI"/>
                <w:spacing w:val="40"/>
              </w:rPr>
              <w:t>CONFIDENTIAL</w:t>
            </w:r>
          </w:p>
        </w:tc>
      </w:tr>
    </w:tbl>
    <w:p w14:paraId="32FF4669" w14:textId="77777777" w:rsidR="007061B1" w:rsidRDefault="007061B1">
      <w:pPr>
        <w:pStyle w:val="Heading1"/>
        <w:pageBreakBefore/>
        <w:rPr>
          <w:rFonts w:ascii="Segoe UI" w:eastAsia="Times New Roman" w:hAnsi="Segoe UI" w:cs="Segoe UI"/>
          <w:lang w:val="en"/>
        </w:rPr>
      </w:pPr>
      <w:r>
        <w:rPr>
          <w:rFonts w:ascii="Segoe UI" w:eastAsia="Times New Roman" w:hAnsi="Segoe UI" w:cs="Segoe UI"/>
          <w:lang w:val="en"/>
        </w:rPr>
        <w:lastRenderedPageBreak/>
        <w:t>1. Quotation Summary</w:t>
      </w:r>
    </w:p>
    <w:p w14:paraId="063CEC29"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is pleased to present this commercial quotation for the </w:t>
      </w:r>
      <w:r>
        <w:rPr>
          <w:rStyle w:val="Strong"/>
          <w:rFonts w:ascii="Segoe UI" w:hAnsi="Segoe UI" w:cs="Segoe UI"/>
          <w:color w:val="1F2933"/>
          <w:sz w:val="21"/>
          <w:szCs w:val="21"/>
          <w:lang w:val="en"/>
        </w:rPr>
        <w:t>Live Quiz Platform</w:t>
      </w:r>
      <w:r>
        <w:rPr>
          <w:rFonts w:ascii="Segoe UI" w:hAnsi="Segoe UI" w:cs="Segoe UI"/>
          <w:color w:val="1F2933"/>
          <w:sz w:val="21"/>
          <w:szCs w:val="21"/>
          <w:lang w:val="en"/>
        </w:rPr>
        <w:t xml:space="preserve">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an enterprise engagement, assessment, and knowledge-evaluation platform, offered as a flexible, customizable alternative to general public quiz tools, and already proven in real operational use.</w:t>
      </w:r>
    </w:p>
    <w:p w14:paraId="6A3C9558"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This quotation is a standalone commercial document. It accompanies, and should be read together with, the full technical and commercial proposal (</w:t>
      </w:r>
      <w:r>
        <w:rPr>
          <w:rStyle w:val="Emphasis"/>
          <w:rFonts w:ascii="Segoe UI" w:hAnsi="Segoe UI" w:cs="Segoe UI"/>
          <w:color w:val="1F2933"/>
          <w:sz w:val="21"/>
          <w:szCs w:val="21"/>
          <w:lang w:val="en"/>
        </w:rPr>
        <w:t>Live Quiz Platform — Technical &amp; Commercial Proposal</w:t>
      </w:r>
      <w:r>
        <w:rPr>
          <w:rFonts w:ascii="Segoe UI" w:hAnsi="Segoe UI" w:cs="Segoe UI"/>
          <w:color w:val="1F2933"/>
          <w:sz w:val="21"/>
          <w:szCs w:val="21"/>
          <w:lang w:val="en"/>
        </w:rPr>
        <w:t xml:space="preserve">, reference </w:t>
      </w:r>
      <w:r>
        <w:rPr>
          <w:rStyle w:val="Strong"/>
          <w:rFonts w:ascii="Segoe UI" w:hAnsi="Segoe UI" w:cs="Segoe UI"/>
          <w:color w:val="1F2933"/>
          <w:sz w:val="21"/>
          <w:szCs w:val="21"/>
          <w:lang w:val="en"/>
        </w:rPr>
        <w:t>[Proposal Reference]</w:t>
      </w:r>
      <w:r>
        <w:rPr>
          <w:rFonts w:ascii="Segoe UI" w:hAnsi="Segoe UI" w:cs="Segoe UI"/>
          <w:color w:val="1F2933"/>
          <w:sz w:val="21"/>
          <w:szCs w:val="21"/>
          <w:lang w:val="en"/>
        </w:rPr>
        <w:t>), which sets out the functional scope, technical architecture, deployment options, cybersecurity approach, delivery methodology, support model, and legal terms in full. Where this quotation and the full proposal refer to the same item, the proposal is the definitive description of scope.</w:t>
      </w:r>
    </w:p>
    <w:p w14:paraId="313A3081"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All figures in this document are editable placeholders, shown to illustrate the pricing structure only. 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confirmed after the discovery phase described in the full proposal, once the factors listed in Section 4 (Pricing Methodology) are known. This quotation is valid for </w:t>
      </w:r>
      <w:r>
        <w:rPr>
          <w:rStyle w:val="Strong"/>
          <w:rFonts w:ascii="Segoe UI" w:hAnsi="Segoe UI" w:cs="Segoe UI"/>
          <w:color w:val="1F2933"/>
          <w:sz w:val="21"/>
          <w:szCs w:val="21"/>
          <w:lang w:val="en"/>
        </w:rPr>
        <w:t>30 days</w:t>
      </w:r>
      <w:r>
        <w:rPr>
          <w:rFonts w:ascii="Segoe UI" w:hAnsi="Segoe UI" w:cs="Segoe UI"/>
          <w:color w:val="1F2933"/>
          <w:sz w:val="21"/>
          <w:szCs w:val="21"/>
          <w:lang w:val="en"/>
        </w:rPr>
        <w:t xml:space="preserve"> from </w:t>
      </w:r>
      <w:r>
        <w:rPr>
          <w:rStyle w:val="Strong"/>
          <w:rFonts w:ascii="Segoe UI" w:hAnsi="Segoe UI" w:cs="Segoe UI"/>
          <w:color w:val="1F2933"/>
          <w:sz w:val="21"/>
          <w:szCs w:val="21"/>
          <w:lang w:val="en"/>
        </w:rPr>
        <w:t>[Date]</w:t>
      </w:r>
      <w:r>
        <w:rPr>
          <w:rFonts w:ascii="Segoe UI" w:hAnsi="Segoe UI" w:cs="Segoe UI"/>
          <w:color w:val="1F2933"/>
          <w:sz w:val="21"/>
          <w:szCs w:val="21"/>
          <w:lang w:val="en"/>
        </w:rPr>
        <w:t>, as set out in Section 6.</w:t>
      </w:r>
    </w:p>
    <w:tbl>
      <w:tblPr>
        <w:tblW w:w="5000" w:type="pct"/>
        <w:tblCellMar>
          <w:top w:w="15" w:type="dxa"/>
          <w:left w:w="15" w:type="dxa"/>
          <w:bottom w:w="15" w:type="dxa"/>
          <w:right w:w="15" w:type="dxa"/>
        </w:tblCellMar>
        <w:tblLook w:val="04A0" w:firstRow="1" w:lastRow="0" w:firstColumn="1" w:lastColumn="0" w:noHBand="0" w:noVBand="1"/>
      </w:tblPr>
      <w:tblGrid>
        <w:gridCol w:w="3078"/>
        <w:gridCol w:w="6541"/>
      </w:tblGrid>
      <w:tr w:rsidR="00000000" w14:paraId="3506990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0638F0B"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Quotation at a glance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6736C18" w14:textId="77777777" w:rsidR="007061B1" w:rsidRDefault="007061B1">
            <w:pPr>
              <w:spacing w:before="160" w:after="160"/>
              <w:rPr>
                <w:rFonts w:ascii="Segoe UI" w:eastAsia="Times New Roman" w:hAnsi="Segoe UI" w:cs="Segoe UI"/>
                <w:b/>
                <w:bCs/>
                <w:color w:val="FFFFFF"/>
                <w:sz w:val="19"/>
                <w:szCs w:val="19"/>
              </w:rPr>
            </w:pPr>
          </w:p>
        </w:tc>
      </w:tr>
      <w:tr w:rsidR="00000000" w14:paraId="78FD7232" w14:textId="77777777">
        <w:tc>
          <w:tcPr>
            <w:tcW w:w="1600" w:type="pc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2A7ABD"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B3778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Enterprise engagement, assessment &amp; analytics platform — Live Quiz Platform</w:t>
            </w:r>
          </w:p>
        </w:tc>
      </w:tr>
      <w:tr w:rsidR="00000000" w14:paraId="6F55D7E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12E78B"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 models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49913F"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SaaS subscription · perpetual license · enterprise custom development partnership</w:t>
            </w:r>
          </w:p>
        </w:tc>
      </w:tr>
      <w:tr w:rsidR="00000000" w14:paraId="19041BE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47C335"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Currency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189475"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Omani Rial (OMR), exclusive of applicable taxes unless otherwise stated</w:t>
            </w:r>
          </w:p>
        </w:tc>
      </w:tr>
      <w:tr w:rsidR="00000000" w14:paraId="014F2F2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B0419E"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Pricing status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D22129"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Placeholder structure only — final pricing confirmed after discovery</w:t>
            </w:r>
          </w:p>
        </w:tc>
      </w:tr>
      <w:tr w:rsidR="00000000" w14:paraId="221C66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D01453"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Validity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A8A05A"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30 days from </w:t>
            </w:r>
            <w:r>
              <w:rPr>
                <w:rStyle w:val="Strong"/>
                <w:rFonts w:ascii="Segoe UI" w:eastAsia="Times New Roman" w:hAnsi="Segoe UI" w:cs="Segoe UI"/>
                <w:color w:val="1F2933"/>
                <w:sz w:val="19"/>
                <w:szCs w:val="19"/>
              </w:rPr>
              <w:t>[Date]</w:t>
            </w:r>
          </w:p>
        </w:tc>
      </w:tr>
    </w:tbl>
    <w:p w14:paraId="369DB2BB" w14:textId="77777777" w:rsidR="007061B1" w:rsidRDefault="007061B1">
      <w:pPr>
        <w:pStyle w:val="Heading1"/>
        <w:rPr>
          <w:rFonts w:ascii="Segoe UI" w:eastAsia="Times New Roman" w:hAnsi="Segoe UI" w:cs="Segoe UI"/>
          <w:lang w:val="en"/>
        </w:rPr>
      </w:pPr>
      <w:r>
        <w:rPr>
          <w:rFonts w:ascii="Segoe UI" w:eastAsia="Times New Roman" w:hAnsi="Segoe UI" w:cs="Segoe UI"/>
          <w:lang w:val="en"/>
        </w:rPr>
        <w:t>2. Pricing Tables</w:t>
      </w:r>
    </w:p>
    <w:p w14:paraId="5ADE7C82"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offered under three distinct commercial models,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cost, and delivery structure that best fits its procurement approach. The subsections below summarize each model; the comparison table that follows sets them side by side. All amounts are shown as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or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placeholders and are provided to illustrate the pricing structure only.</w:t>
      </w:r>
    </w:p>
    <w:p w14:paraId="245B797F" w14:textId="77777777" w:rsidR="007061B1" w:rsidRDefault="007061B1">
      <w:pPr>
        <w:pStyle w:val="Heading2"/>
        <w:rPr>
          <w:rFonts w:ascii="Segoe UI" w:eastAsia="Times New Roman" w:hAnsi="Segoe UI" w:cs="Segoe UI"/>
          <w:lang w:val="en"/>
        </w:rPr>
      </w:pPr>
      <w:r>
        <w:rPr>
          <w:rFonts w:ascii="Segoe UI" w:eastAsia="Times New Roman" w:hAnsi="Segoe UI" w:cs="Segoe UI"/>
          <w:lang w:val="en"/>
        </w:rPr>
        <w:t>2.1 Model A — Annual SaaS Subscription</w:t>
      </w:r>
    </w:p>
    <w:p w14:paraId="6450B0AF"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lastRenderedPageBreak/>
        <w:t xml:space="preserve">An annual, subscription-based model in which Altanfith hosts and operates the platform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behalf. Includes: annual license; cloud hosting; maintenance; security updates; backup; monitoring; support; standard upgrades; an agreed number of users and sessions; an AI usage allowance, with optional overage pricing; customization priced separately from the base subscription.</w:t>
      </w:r>
    </w:p>
    <w:tbl>
      <w:tblPr>
        <w:tblW w:w="5000" w:type="pct"/>
        <w:tblCellMar>
          <w:top w:w="15" w:type="dxa"/>
          <w:left w:w="15" w:type="dxa"/>
          <w:bottom w:w="15" w:type="dxa"/>
          <w:right w:w="15" w:type="dxa"/>
        </w:tblCellMar>
        <w:tblLook w:val="04A0" w:firstRow="1" w:lastRow="0" w:firstColumn="1" w:lastColumn="0" w:noHBand="0" w:noVBand="1"/>
      </w:tblPr>
      <w:tblGrid>
        <w:gridCol w:w="6892"/>
        <w:gridCol w:w="2727"/>
      </w:tblGrid>
      <w:tr w:rsidR="00000000" w14:paraId="466EA6D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972895"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FFC8B08"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Price</w:t>
            </w:r>
          </w:p>
        </w:tc>
      </w:tr>
      <w:tr w:rsidR="00000000" w14:paraId="4E20019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048152"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E1E521"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0022D8B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EB1A69"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User Pack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610C55"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59B311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E0DB64"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Consumption Allowance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4D6F4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606C577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A8791F"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Overage (beyond agreed usage)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3B63B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bl>
    <w:p w14:paraId="3763514F" w14:textId="77777777" w:rsidR="007061B1" w:rsidRDefault="007061B1">
      <w:pPr>
        <w:pStyle w:val="Heading2"/>
        <w:rPr>
          <w:rFonts w:ascii="Segoe UI" w:eastAsia="Times New Roman" w:hAnsi="Segoe UI" w:cs="Segoe UI"/>
          <w:lang w:val="en"/>
        </w:rPr>
      </w:pPr>
      <w:r>
        <w:rPr>
          <w:rFonts w:ascii="Segoe UI" w:eastAsia="Times New Roman" w:hAnsi="Segoe UI" w:cs="Segoe UI"/>
          <w:lang w:val="en"/>
        </w:rPr>
        <w:t>2.2 Model B — Perpetual License / One-Time Purchase</w:t>
      </w:r>
    </w:p>
    <w:p w14:paraId="78331392"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one-time purchase model suited to organizations that prefer to own the software outright. Includes: one-time software license; deployment; initial configuration; training; documentation; an optional source-code license; optional source-code ownership; optional annual maintenance, recommended at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of software value, payable annually in advance. Major new features are excluded unless separately agreed, and infrastructure costs are excluded unless explicitly listed in this quotation.</w:t>
      </w:r>
    </w:p>
    <w:tbl>
      <w:tblPr>
        <w:tblW w:w="5000" w:type="pct"/>
        <w:tblCellMar>
          <w:top w:w="15" w:type="dxa"/>
          <w:left w:w="15" w:type="dxa"/>
          <w:bottom w:w="15" w:type="dxa"/>
          <w:right w:w="15" w:type="dxa"/>
        </w:tblCellMar>
        <w:tblLook w:val="04A0" w:firstRow="1" w:lastRow="0" w:firstColumn="1" w:lastColumn="0" w:noHBand="0" w:noVBand="1"/>
      </w:tblPr>
      <w:tblGrid>
        <w:gridCol w:w="7513"/>
        <w:gridCol w:w="2106"/>
      </w:tblGrid>
      <w:tr w:rsidR="00000000" w14:paraId="385BD43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82BA01"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269CD7"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Price</w:t>
            </w:r>
          </w:p>
        </w:tc>
      </w:tr>
      <w:tr w:rsidR="00000000" w14:paraId="565C0D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E8782D"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One-Time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573369"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08EA22C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809BDD"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Implementation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E82541"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2324D0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440E92"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Maintenance (optional, recommended)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EFC35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5810179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6BCC5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Source-Code License (optional)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8A634C"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bl>
    <w:p w14:paraId="7C66433D" w14:textId="77777777" w:rsidR="007061B1" w:rsidRDefault="007061B1">
      <w:pPr>
        <w:pStyle w:val="Heading2"/>
        <w:rPr>
          <w:rFonts w:ascii="Segoe UI" w:eastAsia="Times New Roman" w:hAnsi="Segoe UI" w:cs="Segoe UI"/>
          <w:lang w:val="en"/>
        </w:rPr>
      </w:pPr>
      <w:r>
        <w:rPr>
          <w:rFonts w:ascii="Segoe UI" w:eastAsia="Times New Roman" w:hAnsi="Segoe UI" w:cs="Segoe UI"/>
          <w:lang w:val="en"/>
        </w:rPr>
        <w:t>2.3 Model C — Enterprise Custom Development Partnership</w:t>
      </w:r>
    </w:p>
    <w:p w14:paraId="7A2E6DB9"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An ongoing partnership model for organizations requiring deep customization and integration work. Includes: a discovery workshop; customized workflows; custom reports; system integrations (single sign-on, Microsoft Entra ID / Active Directory, HR systems, LMS, Microsoft Teams, Power BI); dedicated support; phased delivery; change requests handled and quoted separately; and dedicated development hours or a retainer arrangement.</w:t>
      </w:r>
    </w:p>
    <w:tbl>
      <w:tblPr>
        <w:tblW w:w="5000" w:type="pct"/>
        <w:tblCellMar>
          <w:top w:w="15" w:type="dxa"/>
          <w:left w:w="15" w:type="dxa"/>
          <w:bottom w:w="15" w:type="dxa"/>
          <w:right w:w="15" w:type="dxa"/>
        </w:tblCellMar>
        <w:tblLook w:val="04A0" w:firstRow="1" w:lastRow="0" w:firstColumn="1" w:lastColumn="0" w:noHBand="0" w:noVBand="1"/>
      </w:tblPr>
      <w:tblGrid>
        <w:gridCol w:w="6845"/>
        <w:gridCol w:w="2774"/>
      </w:tblGrid>
      <w:tr w:rsidR="00000000" w14:paraId="2925914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344811"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BDA9BE"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Price</w:t>
            </w:r>
          </w:p>
        </w:tc>
      </w:tr>
      <w:tr w:rsidR="00000000" w14:paraId="6030227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430D9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Discovery Workshop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6C0CB4"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5CF7FD4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A8121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Day Rate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CADFCA"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08C6FA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BC962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Monthly Retainer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D8948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0883A3A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8E6D51"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Package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04A6E5"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bl>
    <w:p w14:paraId="3D2A8FFE" w14:textId="77777777" w:rsidR="007061B1" w:rsidRDefault="007061B1">
      <w:pPr>
        <w:pStyle w:val="Heading2"/>
        <w:rPr>
          <w:rFonts w:ascii="Segoe UI" w:eastAsia="Times New Roman" w:hAnsi="Segoe UI" w:cs="Segoe UI"/>
          <w:lang w:val="en"/>
        </w:rPr>
      </w:pPr>
      <w:r>
        <w:rPr>
          <w:rFonts w:ascii="Segoe UI" w:eastAsia="Times New Roman" w:hAnsi="Segoe UI" w:cs="Segoe UI"/>
          <w:lang w:val="en"/>
        </w:rPr>
        <w:t>2.4 Model Comparison</w:t>
      </w:r>
    </w:p>
    <w:tbl>
      <w:tblPr>
        <w:tblW w:w="5000" w:type="pct"/>
        <w:tblCellMar>
          <w:top w:w="15" w:type="dxa"/>
          <w:left w:w="15" w:type="dxa"/>
          <w:bottom w:w="15" w:type="dxa"/>
          <w:right w:w="15" w:type="dxa"/>
        </w:tblCellMar>
        <w:tblLook w:val="04A0" w:firstRow="1" w:lastRow="0" w:firstColumn="1" w:lastColumn="0" w:noHBand="0" w:noVBand="1"/>
      </w:tblPr>
      <w:tblGrid>
        <w:gridCol w:w="1257"/>
        <w:gridCol w:w="2731"/>
        <w:gridCol w:w="2567"/>
        <w:gridCol w:w="3064"/>
      </w:tblGrid>
      <w:tr w:rsidR="00000000" w14:paraId="254771E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E2D7F2" w14:textId="77777777" w:rsidR="007061B1" w:rsidRDefault="007061B1">
            <w:pPr>
              <w:rPr>
                <w:rFonts w:ascii="Segoe UI" w:eastAsia="Times New Roman" w:hAnsi="Segoe UI" w:cs="Segoe UI"/>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D831C22"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A —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9DB0731"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B — Perpetual License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AF972E"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C — Enterprise Partnership</w:t>
            </w:r>
          </w:p>
        </w:tc>
      </w:tr>
      <w:tr w:rsidR="00000000" w14:paraId="7972954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E9EC4F"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1B7C6C"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Altanfith-hosted; no source-code ownership by default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81206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Client-owned license; source code optional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C4580C"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agreed scope; typically Altanfith-hosted with client-owned outputs</w:t>
            </w:r>
          </w:p>
        </w:tc>
      </w:tr>
      <w:tr w:rsidR="00000000" w14:paraId="4E13148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D5CB97"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Upfront cost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F03101"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Low — annual subscription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94C25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Higher — one-time license fee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F0485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Variable — scoped by engagement</w:t>
            </w:r>
          </w:p>
        </w:tc>
      </w:tr>
      <w:tr w:rsidR="00000000" w14:paraId="31B7D44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087BAE"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7D91DC"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5181FC"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Client-managed, on-premises or client-selected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F46AF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r w:rsidR="00000000" w14:paraId="706C9F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578620"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C16DC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Included, standard 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9CC0AA"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features excluded unless agreed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97DFAC"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Delivered as part of the ongoing partnership</w:t>
            </w:r>
          </w:p>
        </w:tc>
      </w:tr>
      <w:tr w:rsidR="00000000" w14:paraId="4CEFD6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3E3EC7"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Best for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FB0911"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Fastest implementation; lowest initial investment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97DAE5"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preferring outright 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B557A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needing deep customization and integration</w:t>
            </w:r>
          </w:p>
        </w:tc>
      </w:tr>
    </w:tbl>
    <w:p w14:paraId="2813B807" w14:textId="77777777" w:rsidR="007061B1" w:rsidRDefault="007061B1">
      <w:pPr>
        <w:pStyle w:val="Heading1"/>
        <w:rPr>
          <w:rFonts w:ascii="Segoe UI" w:eastAsia="Times New Roman" w:hAnsi="Segoe UI" w:cs="Segoe UI"/>
          <w:lang w:val="en"/>
        </w:rPr>
      </w:pPr>
      <w:r>
        <w:rPr>
          <w:rFonts w:ascii="Segoe UI" w:eastAsia="Times New Roman" w:hAnsi="Segoe UI" w:cs="Segoe UI"/>
          <w:lang w:val="en"/>
        </w:rPr>
        <w:t>3. Optional Items</w:t>
      </w:r>
    </w:p>
    <w:p w14:paraId="1787BE29"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items below are available as optional additions to any of the three commercial models. They are priced separately from the base model and are included only where listed in the signed commercial agreement. All amounts are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placeholders, confirmed during discovery.</w:t>
      </w:r>
    </w:p>
    <w:tbl>
      <w:tblPr>
        <w:tblW w:w="5000" w:type="pct"/>
        <w:tblCellMar>
          <w:top w:w="15" w:type="dxa"/>
          <w:left w:w="15" w:type="dxa"/>
          <w:bottom w:w="15" w:type="dxa"/>
          <w:right w:w="15" w:type="dxa"/>
        </w:tblCellMar>
        <w:tblLook w:val="04A0" w:firstRow="1" w:lastRow="0" w:firstColumn="1" w:lastColumn="0" w:noHBand="0" w:noVBand="1"/>
      </w:tblPr>
      <w:tblGrid>
        <w:gridCol w:w="1655"/>
        <w:gridCol w:w="6094"/>
        <w:gridCol w:w="1018"/>
        <w:gridCol w:w="852"/>
      </w:tblGrid>
      <w:tr w:rsidR="00000000" w14:paraId="4540650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96E7A9"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Optional 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1422426"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17192E8"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1DA49A"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Price</w:t>
            </w:r>
          </w:p>
        </w:tc>
      </w:tr>
      <w:tr w:rsidR="00000000" w14:paraId="7F9D5C0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6FFF5A"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add-ons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A402AD"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administrator, quiz-creator, or support-team training; recorded training; train-the-trainer sessions; Arabic and English training material beyond the base package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077EAB" w14:textId="77777777" w:rsidR="007061B1" w:rsidRDefault="007061B1">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93151A"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73E91F1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DFC99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Penetration testing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44777F"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External penetration testing, available as an optional service and subject to a client-approved security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A92957" w14:textId="77777777" w:rsidR="007061B1" w:rsidRDefault="007061B1">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A3BF2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5227786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5BCDF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Source-code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F85CC2"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Optional source-code license under Model B, where outright ownership or escrow is required; scope defined in the commercial agreement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0B5FE2" w14:textId="77777777" w:rsidR="007061B1" w:rsidRDefault="007061B1">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6A4009"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51D1842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43E1A9"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24/7 Gold support option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34F81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24/7 coverage under the Gold support package, with dedicated support contact and proactive monitoring, available as a purchasable option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1E998B" w14:textId="77777777" w:rsidR="007061B1" w:rsidRDefault="007061B1">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F547D4"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21D607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C7BAFC"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language packs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5D483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interface languages beyond the standard Arabic and English, subject to translation and layout review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A72FFA" w14:textId="77777777" w:rsidR="007061B1" w:rsidRDefault="007061B1">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E88227"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bl>
    <w:p w14:paraId="2AEDAAE2" w14:textId="77777777" w:rsidR="007061B1" w:rsidRDefault="007061B1">
      <w:pPr>
        <w:pStyle w:val="muted"/>
        <w:spacing w:before="120" w:beforeAutospacing="0" w:after="120" w:afterAutospacing="0"/>
        <w:rPr>
          <w:rFonts w:ascii="Segoe UI" w:hAnsi="Segoe UI" w:cs="Segoe UI"/>
          <w:lang w:val="en"/>
        </w:rPr>
      </w:pPr>
      <w:r>
        <w:rPr>
          <w:rFonts w:ascii="Segoe UI" w:hAnsi="Segoe UI" w:cs="Segoe UI"/>
          <w:lang w:val="en"/>
        </w:rPr>
        <w:t>Arabic and English interface support, including full right-to-left (RTL) support for Arabic, is a standard, included capability of the platform. Additional languages are the optional item priced above.</w:t>
      </w:r>
    </w:p>
    <w:p w14:paraId="7AC16C13" w14:textId="77777777" w:rsidR="007061B1" w:rsidRDefault="007061B1">
      <w:pPr>
        <w:pStyle w:val="Heading1"/>
        <w:rPr>
          <w:rFonts w:ascii="Segoe UI" w:eastAsia="Times New Roman" w:hAnsi="Segoe UI" w:cs="Segoe UI"/>
          <w:lang w:val="en"/>
        </w:rPr>
      </w:pPr>
      <w:r>
        <w:rPr>
          <w:rFonts w:ascii="Segoe UI" w:eastAsia="Times New Roman" w:hAnsi="Segoe UI" w:cs="Segoe UI"/>
          <w:lang w:val="en"/>
        </w:rPr>
        <w:t>4. Pricing Methodology</w:t>
      </w:r>
    </w:p>
    <w:p w14:paraId="695C1C25"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not a single fixed figure; it depends on a defined set of factors, confirmed during the discovery phase described in the full proposal. The placeholders in Section 2 are replaced with confirmed figures once these factors are known.</w:t>
      </w:r>
    </w:p>
    <w:tbl>
      <w:tblPr>
        <w:tblW w:w="5000" w:type="pct"/>
        <w:tblCellMar>
          <w:top w:w="15" w:type="dxa"/>
          <w:left w:w="15" w:type="dxa"/>
          <w:bottom w:w="15" w:type="dxa"/>
          <w:right w:w="15" w:type="dxa"/>
        </w:tblCellMar>
        <w:tblLook w:val="04A0" w:firstRow="1" w:lastRow="0" w:firstColumn="1" w:lastColumn="0" w:noHBand="0" w:noVBand="1"/>
      </w:tblPr>
      <w:tblGrid>
        <w:gridCol w:w="941"/>
        <w:gridCol w:w="8678"/>
      </w:tblGrid>
      <w:tr w:rsidR="00000000" w14:paraId="23039A1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B0B267"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EB8CFAA"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Pricing factor</w:t>
            </w:r>
          </w:p>
        </w:tc>
      </w:tr>
      <w:tr w:rsidR="00000000" w14:paraId="3C02D9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3ACBA1"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A2BB9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Number of users</w:t>
            </w:r>
          </w:p>
        </w:tc>
      </w:tr>
      <w:tr w:rsidR="00000000" w14:paraId="4F17A55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577C8C"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51E05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Number of administrators</w:t>
            </w:r>
          </w:p>
        </w:tc>
      </w:tr>
      <w:tr w:rsidR="00000000" w14:paraId="165090F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2F0EF6"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5DE614"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Number of organizations / departments</w:t>
            </w:r>
          </w:p>
        </w:tc>
      </w:tr>
      <w:tr w:rsidR="00000000" w14:paraId="65BD4C4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D72057"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0068B1"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Expected concurrent users</w:t>
            </w:r>
          </w:p>
        </w:tc>
      </w:tr>
      <w:tr w:rsidR="00000000" w14:paraId="03DC8FE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23407E"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6DE45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Number of live sessions</w:t>
            </w:r>
          </w:p>
        </w:tc>
      </w:tr>
      <w:tr w:rsidR="00000000" w14:paraId="5C15411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8A6026"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975E9B"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Hosting model (cloud, on-premises, or hybrid)</w:t>
            </w:r>
          </w:p>
        </w:tc>
      </w:tr>
      <w:tr w:rsidR="00000000" w14:paraId="2010313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6FE97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5BBA8A"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residency</w:t>
            </w:r>
          </w:p>
        </w:tc>
      </w:tr>
      <w:tr w:rsidR="00000000" w14:paraId="0BB2CE3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3C4F1D"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8</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B3E05B"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usage</w:t>
            </w:r>
          </w:p>
        </w:tc>
      </w:tr>
      <w:tr w:rsidR="00000000" w14:paraId="2063D45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9DCE9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0AB8E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Level of customization</w:t>
            </w:r>
          </w:p>
        </w:tc>
      </w:tr>
      <w:tr w:rsidR="00000000" w14:paraId="73605C6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D64C26"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342446"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System integrations</w:t>
            </w:r>
          </w:p>
        </w:tc>
      </w:tr>
      <w:tr w:rsidR="00000000" w14:paraId="03B633C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C6E15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BFD0B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SLA</w:t>
            </w:r>
          </w:p>
        </w:tc>
      </w:tr>
      <w:tr w:rsidR="00000000" w14:paraId="4C31F36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EE11F7"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34306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requirements</w:t>
            </w:r>
          </w:p>
        </w:tc>
      </w:tr>
      <w:tr w:rsidR="00000000" w14:paraId="62E0F12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53865E"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5696B9"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Source-code requirements</w:t>
            </w:r>
          </w:p>
        </w:tc>
      </w:tr>
      <w:tr w:rsidR="00000000" w14:paraId="39CA7A7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8F421F"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E895E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requirements</w:t>
            </w:r>
          </w:p>
        </w:tc>
      </w:tr>
      <w:tr w:rsidR="00000000" w14:paraId="4C5BB09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C8AA4E"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3A36F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Language requirements</w:t>
            </w:r>
          </w:p>
        </w:tc>
      </w:tr>
      <w:tr w:rsidR="00000000" w14:paraId="1CE4851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938625"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8E371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requirements</w:t>
            </w:r>
          </w:p>
        </w:tc>
      </w:tr>
      <w:tr w:rsidR="00000000" w14:paraId="68B2770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D27004"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2006D1"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duration</w:t>
            </w:r>
          </w:p>
        </w:tc>
      </w:tr>
    </w:tbl>
    <w:p w14:paraId="218E7376" w14:textId="77777777" w:rsidR="007061B1" w:rsidRDefault="007061B1">
      <w:pPr>
        <w:pStyle w:val="Heading1"/>
        <w:rPr>
          <w:rFonts w:ascii="Segoe UI" w:eastAsia="Times New Roman" w:hAnsi="Segoe UI" w:cs="Segoe UI"/>
          <w:lang w:val="en"/>
        </w:rPr>
      </w:pPr>
      <w:r>
        <w:rPr>
          <w:rFonts w:ascii="Segoe UI" w:eastAsia="Times New Roman" w:hAnsi="Segoe UI" w:cs="Segoe UI"/>
          <w:lang w:val="en"/>
        </w:rPr>
        <w:t>5. Commercial Terms</w:t>
      </w:r>
    </w:p>
    <w:p w14:paraId="70F036C1" w14:textId="77777777" w:rsidR="007061B1" w:rsidRDefault="007061B1">
      <w:pPr>
        <w:pStyle w:val="notice"/>
        <w:spacing w:before="120" w:beforeAutospacing="0" w:after="120" w:afterAutospacing="0"/>
        <w:rPr>
          <w:rFonts w:ascii="Segoe UI" w:hAnsi="Segoe UI" w:cs="Segoe UI"/>
          <w:color w:val="1F2933"/>
          <w:sz w:val="21"/>
          <w:szCs w:val="21"/>
          <w:lang w:val="en"/>
        </w:rPr>
      </w:pPr>
      <w:r>
        <w:rPr>
          <w:rStyle w:val="Strong"/>
          <w:rFonts w:ascii="Segoe UI" w:hAnsi="Segoe UI" w:cs="Segoe UI"/>
          <w:color w:val="1F2933"/>
          <w:sz w:val="21"/>
          <w:szCs w:val="21"/>
          <w:lang w:val="en"/>
        </w:rPr>
        <w:t>Proposed terms — subject to negotiation.</w:t>
      </w:r>
      <w:r>
        <w:rPr>
          <w:rFonts w:ascii="Segoe UI" w:hAnsi="Segoe UI" w:cs="Segoe UI"/>
          <w:color w:val="1F2933"/>
          <w:sz w:val="21"/>
          <w:szCs w:val="21"/>
          <w:lang w:val="en"/>
        </w:rPr>
        <w:t xml:space="preserve"> </w:t>
      </w:r>
      <w:r>
        <w:rPr>
          <w:rFonts w:ascii="Segoe UI" w:hAnsi="Segoe UI" w:cs="Segoe UI"/>
          <w:color w:val="1F2933"/>
          <w:sz w:val="21"/>
          <w:szCs w:val="21"/>
          <w:lang w:val="en"/>
        </w:rPr>
        <w:t xml:space="preserve">The terms below illustrate the structure Altanfith Aldwaliah SPC typically proposes; final commercial terms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are agreed in the signed commercial agreement.</w:t>
      </w:r>
    </w:p>
    <w:p w14:paraId="4A716F7E" w14:textId="77777777" w:rsidR="007061B1" w:rsidRDefault="007061B1">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Currency: Omani Rial (OMR). Amounts are exclusive of applicable taxes unless otherwise stated.</w:t>
      </w:r>
    </w:p>
    <w:p w14:paraId="7CCF0578" w14:textId="77777777" w:rsidR="007061B1" w:rsidRDefault="007061B1">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Example milestone payment structure for project-based engagements (illustrative only):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upon purchase order,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design approval,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UAT sign-off, </w:t>
      </w:r>
      <w:r>
        <w:rPr>
          <w:rStyle w:val="Strong"/>
          <w:rFonts w:ascii="Segoe UI" w:eastAsia="Times New Roman" w:hAnsi="Segoe UI" w:cs="Segoe UI"/>
          <w:color w:val="1F2933"/>
          <w:sz w:val="21"/>
          <w:szCs w:val="21"/>
          <w:lang w:val="en"/>
        </w:rPr>
        <w:t>10%</w:t>
      </w:r>
      <w:r>
        <w:rPr>
          <w:rFonts w:ascii="Segoe UI" w:eastAsia="Times New Roman" w:hAnsi="Segoe UI" w:cs="Segoe UI"/>
          <w:color w:val="1F2933"/>
          <w:sz w:val="21"/>
          <w:szCs w:val="21"/>
          <w:lang w:val="en"/>
        </w:rPr>
        <w:t xml:space="preserve"> after go-live.</w:t>
      </w:r>
    </w:p>
    <w:p w14:paraId="2D11BE7C" w14:textId="77777777" w:rsidR="007061B1" w:rsidRDefault="007061B1">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SaaS subscription (Model A): annual payment in advance.</w:t>
      </w:r>
    </w:p>
    <w:p w14:paraId="1CC5787C" w14:textId="77777777" w:rsidR="007061B1" w:rsidRDefault="007061B1">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Maintenance (Model B, optional): annual payment in advance.</w:t>
      </w:r>
    </w:p>
    <w:p w14:paraId="5EABF3ED" w14:textId="77777777" w:rsidR="007061B1" w:rsidRDefault="007061B1">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Change requests: quoted and invoiced separately.</w:t>
      </w:r>
    </w:p>
    <w:p w14:paraId="05B9C4DC" w14:textId="77777777" w:rsidR="007061B1" w:rsidRDefault="007061B1">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Travel outside Muscat: charged separately, where required and agreed in advance.</w:t>
      </w:r>
    </w:p>
    <w:p w14:paraId="42C1E5C4" w14:textId="77777777" w:rsidR="007061B1" w:rsidRDefault="007061B1">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Third-party services: charged at cost, plus an agreed administration fee where applicable.</w:t>
      </w:r>
    </w:p>
    <w:p w14:paraId="239872BC" w14:textId="77777777" w:rsidR="007061B1" w:rsidRDefault="007061B1">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Payment schedule: </w:t>
      </w:r>
      <w:r>
        <w:rPr>
          <w:rStyle w:val="Strong"/>
          <w:rFonts w:ascii="Segoe UI" w:eastAsia="Times New Roman" w:hAnsi="Segoe UI" w:cs="Segoe UI"/>
          <w:color w:val="1F2933"/>
          <w:sz w:val="21"/>
          <w:szCs w:val="21"/>
          <w:lang w:val="en"/>
        </w:rPr>
        <w:t>[Payment Terms]</w:t>
      </w:r>
      <w:r>
        <w:rPr>
          <w:rFonts w:ascii="Segoe UI" w:eastAsia="Times New Roman" w:hAnsi="Segoe UI" w:cs="Segoe UI"/>
          <w:color w:val="1F2933"/>
          <w:sz w:val="21"/>
          <w:szCs w:val="21"/>
          <w:lang w:val="en"/>
        </w:rPr>
        <w:t>.</w:t>
      </w:r>
    </w:p>
    <w:p w14:paraId="2A766AAB" w14:textId="77777777" w:rsidR="007061B1" w:rsidRDefault="007061B1">
      <w:pPr>
        <w:pStyle w:val="Heading1"/>
        <w:rPr>
          <w:rFonts w:ascii="Segoe UI" w:eastAsia="Times New Roman" w:hAnsi="Segoe UI" w:cs="Segoe UI"/>
          <w:lang w:val="en"/>
        </w:rPr>
      </w:pPr>
      <w:r>
        <w:rPr>
          <w:rFonts w:ascii="Segoe UI" w:eastAsia="Times New Roman" w:hAnsi="Segoe UI" w:cs="Segoe UI"/>
          <w:lang w:val="en"/>
        </w:rPr>
        <w:lastRenderedPageBreak/>
        <w:t>6. Validity &amp; Acceptance</w:t>
      </w:r>
    </w:p>
    <w:p w14:paraId="1BE6E9D4"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quotation, including the pricing in Sections 2 and 3 and the commercial terms in Section 5, is valid for a period of </w:t>
      </w:r>
      <w:r>
        <w:rPr>
          <w:rStyle w:val="Strong"/>
          <w:rFonts w:ascii="Segoe UI" w:hAnsi="Segoe UI" w:cs="Segoe UI"/>
          <w:color w:val="1F2933"/>
          <w:sz w:val="21"/>
          <w:szCs w:val="21"/>
          <w:lang w:val="en"/>
        </w:rPr>
        <w:t>30 days</w:t>
      </w:r>
      <w:r>
        <w:rPr>
          <w:rFonts w:ascii="Segoe UI" w:hAnsi="Segoe UI" w:cs="Segoe UI"/>
          <w:color w:val="1F2933"/>
          <w:sz w:val="21"/>
          <w:szCs w:val="21"/>
          <w:lang w:val="en"/>
        </w:rPr>
        <w:t xml:space="preserve"> from </w:t>
      </w:r>
      <w:r>
        <w:rPr>
          <w:rStyle w:val="Strong"/>
          <w:rFonts w:ascii="Segoe UI" w:hAnsi="Segoe UI" w:cs="Segoe UI"/>
          <w:color w:val="1F2933"/>
          <w:sz w:val="21"/>
          <w:szCs w:val="21"/>
          <w:lang w:val="en"/>
        </w:rPr>
        <w:t>[Date]</w:t>
      </w:r>
      <w:r>
        <w:rPr>
          <w:rFonts w:ascii="Segoe UI" w:hAnsi="Segoe UI" w:cs="Segoe UI"/>
          <w:color w:val="1F2933"/>
          <w:sz w:val="21"/>
          <w:szCs w:val="21"/>
          <w:lang w:val="en"/>
        </w:rPr>
        <w:t>. Beyond this period, pricing and availability are subject to reconfirmation by Altanfith Aldwaliah SPC.</w:t>
      </w:r>
    </w:p>
    <w:p w14:paraId="04A53D57" w14:textId="77777777" w:rsidR="007061B1" w:rsidRDefault="007061B1">
      <w:pPr>
        <w:pStyle w:val="NormalWeb"/>
        <w:rPr>
          <w:rFonts w:ascii="Segoe UI" w:hAnsi="Segoe UI" w:cs="Segoe UI"/>
          <w:color w:val="1F2933"/>
          <w:sz w:val="21"/>
          <w:szCs w:val="21"/>
          <w:lang w:val="en"/>
        </w:rPr>
      </w:pPr>
      <w:r>
        <w:rPr>
          <w:rFonts w:ascii="Segoe UI" w:hAnsi="Segoe UI" w:cs="Segoe UI"/>
          <w:color w:val="1F2933"/>
          <w:sz w:val="21"/>
          <w:szCs w:val="21"/>
          <w:lang w:val="en"/>
        </w:rPr>
        <w:t>This quotation is accepted and agreed by the signatories below on behalf of their respective organizations.</w:t>
      </w:r>
    </w:p>
    <w:tbl>
      <w:tblPr>
        <w:tblW w:w="5000" w:type="pct"/>
        <w:tblCellMar>
          <w:top w:w="15" w:type="dxa"/>
          <w:left w:w="15" w:type="dxa"/>
          <w:bottom w:w="15" w:type="dxa"/>
          <w:right w:w="15" w:type="dxa"/>
        </w:tblCellMar>
        <w:tblLook w:val="04A0" w:firstRow="1" w:lastRow="0" w:firstColumn="1" w:lastColumn="0" w:noHBand="0" w:noVBand="1"/>
      </w:tblPr>
      <w:tblGrid>
        <w:gridCol w:w="4809"/>
        <w:gridCol w:w="4810"/>
      </w:tblGrid>
      <w:tr w:rsidR="00000000" w14:paraId="1CFC653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22EE57B"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 xml:space="preserve">For </w:t>
            </w:r>
            <w:r>
              <w:rPr>
                <w:rStyle w:val="Strong"/>
                <w:rFonts w:ascii="Segoe UI" w:eastAsia="Times New Roman" w:hAnsi="Segoe UI" w:cs="Segoe UI"/>
                <w:color w:val="FFFFFF"/>
                <w:sz w:val="19"/>
                <w:szCs w:val="19"/>
              </w:rPr>
              <w:t>[Client Name]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C268655" w14:textId="77777777" w:rsidR="007061B1" w:rsidRDefault="007061B1">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For Altanfith Aldwaliah SPC</w:t>
            </w:r>
          </w:p>
        </w:tc>
      </w:tr>
      <w:tr w:rsidR="00000000" w14:paraId="4618B5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C4A077"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4CBDC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r>
      <w:tr w:rsidR="00000000" w14:paraId="3D77442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E7DF44"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6CF81D"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r>
      <w:tr w:rsidR="00000000" w14:paraId="76FEAEA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7E814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327D5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r>
      <w:tr w:rsidR="00000000" w14:paraId="550CFE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7ED373"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829EA5"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r>
    </w:tbl>
    <w:p w14:paraId="6E97D6A9" w14:textId="77777777" w:rsidR="007061B1" w:rsidRDefault="007061B1">
      <w:pPr>
        <w:pStyle w:val="Heading2"/>
        <w:rPr>
          <w:rFonts w:ascii="Segoe UI" w:eastAsia="Times New Roman" w:hAnsi="Segoe UI" w:cs="Segoe UI"/>
          <w:lang w:val="en"/>
        </w:rPr>
      </w:pPr>
      <w:r>
        <w:rPr>
          <w:rFonts w:ascii="Segoe UI" w:eastAsia="Times New Roman" w:hAnsi="Segoe UI" w:cs="Segoe UI"/>
          <w:lang w:val="en"/>
        </w:rPr>
        <w:t>6.1 Contact</w:t>
      </w:r>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618410B3" w14:textId="77777777">
        <w:tc>
          <w:tcPr>
            <w:tcW w:w="1600" w:type="pct"/>
            <w:tcBorders>
              <w:top w:val="nil"/>
              <w:left w:val="nil"/>
              <w:bottom w:val="nil"/>
              <w:right w:val="nil"/>
            </w:tcBorders>
            <w:tcMar>
              <w:top w:w="40" w:type="dxa"/>
              <w:left w:w="120" w:type="dxa"/>
              <w:bottom w:w="40" w:type="dxa"/>
              <w:right w:w="120" w:type="dxa"/>
            </w:tcMar>
            <w:hideMark/>
          </w:tcPr>
          <w:p w14:paraId="52130994"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Company</w:t>
            </w:r>
          </w:p>
        </w:tc>
        <w:tc>
          <w:tcPr>
            <w:tcW w:w="0" w:type="auto"/>
            <w:tcBorders>
              <w:top w:val="nil"/>
              <w:left w:val="nil"/>
              <w:bottom w:val="nil"/>
              <w:right w:val="nil"/>
            </w:tcBorders>
            <w:tcMar>
              <w:top w:w="40" w:type="dxa"/>
              <w:left w:w="120" w:type="dxa"/>
              <w:bottom w:w="40" w:type="dxa"/>
              <w:right w:w="120" w:type="dxa"/>
            </w:tcMar>
            <w:hideMark/>
          </w:tcPr>
          <w:p w14:paraId="3F635A18"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w:t>
            </w:r>
          </w:p>
        </w:tc>
      </w:tr>
      <w:tr w:rsidR="00000000" w14:paraId="662FA4A8" w14:textId="77777777">
        <w:tc>
          <w:tcPr>
            <w:tcW w:w="0" w:type="auto"/>
            <w:tcBorders>
              <w:top w:val="nil"/>
              <w:left w:val="nil"/>
              <w:bottom w:val="nil"/>
              <w:right w:val="nil"/>
            </w:tcBorders>
            <w:tcMar>
              <w:top w:w="40" w:type="dxa"/>
              <w:left w:w="120" w:type="dxa"/>
              <w:bottom w:w="40" w:type="dxa"/>
              <w:right w:w="120" w:type="dxa"/>
            </w:tcMar>
            <w:hideMark/>
          </w:tcPr>
          <w:p w14:paraId="228195E5"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nil"/>
              <w:left w:val="nil"/>
              <w:bottom w:val="nil"/>
              <w:right w:val="nil"/>
            </w:tcBorders>
            <w:tcMar>
              <w:top w:w="40" w:type="dxa"/>
              <w:left w:w="120" w:type="dxa"/>
              <w:bottom w:w="40" w:type="dxa"/>
              <w:right w:w="120" w:type="dxa"/>
            </w:tcMar>
            <w:hideMark/>
          </w:tcPr>
          <w:p w14:paraId="6060372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w:t>
            </w:r>
          </w:p>
        </w:tc>
      </w:tr>
      <w:tr w:rsidR="00000000" w14:paraId="193EE148" w14:textId="77777777">
        <w:tc>
          <w:tcPr>
            <w:tcW w:w="0" w:type="auto"/>
            <w:tcBorders>
              <w:top w:val="nil"/>
              <w:left w:val="nil"/>
              <w:bottom w:val="nil"/>
              <w:right w:val="nil"/>
            </w:tcBorders>
            <w:tcMar>
              <w:top w:w="40" w:type="dxa"/>
              <w:left w:w="120" w:type="dxa"/>
              <w:bottom w:w="40" w:type="dxa"/>
              <w:right w:w="120" w:type="dxa"/>
            </w:tcMar>
            <w:hideMark/>
          </w:tcPr>
          <w:p w14:paraId="4CCCBFA9"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65E18F2F"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r>
      <w:tr w:rsidR="00000000" w14:paraId="77376C83" w14:textId="77777777">
        <w:tc>
          <w:tcPr>
            <w:tcW w:w="0" w:type="auto"/>
            <w:tcBorders>
              <w:top w:val="nil"/>
              <w:left w:val="nil"/>
              <w:bottom w:val="nil"/>
              <w:right w:val="nil"/>
            </w:tcBorders>
            <w:tcMar>
              <w:top w:w="40" w:type="dxa"/>
              <w:left w:w="120" w:type="dxa"/>
              <w:bottom w:w="40" w:type="dxa"/>
              <w:right w:w="120" w:type="dxa"/>
            </w:tcMar>
            <w:hideMark/>
          </w:tcPr>
          <w:p w14:paraId="1C554D84"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Email</w:t>
            </w:r>
          </w:p>
        </w:tc>
        <w:tc>
          <w:tcPr>
            <w:tcW w:w="0" w:type="auto"/>
            <w:tcBorders>
              <w:top w:val="nil"/>
              <w:left w:val="nil"/>
              <w:bottom w:val="nil"/>
              <w:right w:val="nil"/>
            </w:tcBorders>
            <w:tcMar>
              <w:top w:w="40" w:type="dxa"/>
              <w:left w:w="120" w:type="dxa"/>
              <w:bottom w:w="40" w:type="dxa"/>
              <w:right w:w="120" w:type="dxa"/>
            </w:tcMar>
            <w:hideMark/>
          </w:tcPr>
          <w:p w14:paraId="0F8B89F0"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haitham@altanfith.com</w:t>
            </w:r>
          </w:p>
        </w:tc>
      </w:tr>
      <w:tr w:rsidR="00000000" w14:paraId="70181167" w14:textId="77777777">
        <w:tc>
          <w:tcPr>
            <w:tcW w:w="0" w:type="auto"/>
            <w:tcBorders>
              <w:top w:val="nil"/>
              <w:left w:val="nil"/>
              <w:bottom w:val="nil"/>
              <w:right w:val="nil"/>
            </w:tcBorders>
            <w:tcMar>
              <w:top w:w="40" w:type="dxa"/>
              <w:left w:w="120" w:type="dxa"/>
              <w:bottom w:w="40" w:type="dxa"/>
              <w:right w:w="120" w:type="dxa"/>
            </w:tcMar>
            <w:hideMark/>
          </w:tcPr>
          <w:p w14:paraId="244AE3DD"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Phone</w:t>
            </w:r>
          </w:p>
        </w:tc>
        <w:tc>
          <w:tcPr>
            <w:tcW w:w="0" w:type="auto"/>
            <w:tcBorders>
              <w:top w:val="nil"/>
              <w:left w:val="nil"/>
              <w:bottom w:val="nil"/>
              <w:right w:val="nil"/>
            </w:tcBorders>
            <w:tcMar>
              <w:top w:w="40" w:type="dxa"/>
              <w:left w:w="120" w:type="dxa"/>
              <w:bottom w:w="40" w:type="dxa"/>
              <w:right w:w="120" w:type="dxa"/>
            </w:tcMar>
            <w:hideMark/>
          </w:tcPr>
          <w:p w14:paraId="68145BF1"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+968 9937 1775</w:t>
            </w:r>
          </w:p>
        </w:tc>
      </w:tr>
      <w:tr w:rsidR="00000000" w14:paraId="24E4693C" w14:textId="77777777">
        <w:tc>
          <w:tcPr>
            <w:tcW w:w="0" w:type="auto"/>
            <w:tcBorders>
              <w:top w:val="nil"/>
              <w:left w:val="nil"/>
              <w:bottom w:val="nil"/>
              <w:right w:val="nil"/>
            </w:tcBorders>
            <w:tcMar>
              <w:top w:w="40" w:type="dxa"/>
              <w:left w:w="120" w:type="dxa"/>
              <w:bottom w:w="40" w:type="dxa"/>
              <w:right w:w="120" w:type="dxa"/>
            </w:tcMar>
            <w:hideMark/>
          </w:tcPr>
          <w:p w14:paraId="666088FD" w14:textId="77777777" w:rsidR="007061B1" w:rsidRDefault="007061B1">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Country</w:t>
            </w:r>
          </w:p>
        </w:tc>
        <w:tc>
          <w:tcPr>
            <w:tcW w:w="0" w:type="auto"/>
            <w:tcBorders>
              <w:top w:val="nil"/>
              <w:left w:val="nil"/>
              <w:bottom w:val="nil"/>
              <w:right w:val="nil"/>
            </w:tcBorders>
            <w:tcMar>
              <w:top w:w="40" w:type="dxa"/>
              <w:left w:w="120" w:type="dxa"/>
              <w:bottom w:w="40" w:type="dxa"/>
              <w:right w:w="120" w:type="dxa"/>
            </w:tcMar>
            <w:hideMark/>
          </w:tcPr>
          <w:p w14:paraId="20743365" w14:textId="77777777" w:rsidR="007061B1" w:rsidRDefault="007061B1">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Sultanate of Oman</w:t>
            </w:r>
          </w:p>
        </w:tc>
      </w:tr>
    </w:tbl>
    <w:p w14:paraId="69A5D778" w14:textId="77777777" w:rsidR="007061B1" w:rsidRDefault="007061B1">
      <w:pPr>
        <w:rPr>
          <w:rFonts w:eastAsia="Times New Roman"/>
        </w:rPr>
      </w:pPr>
    </w:p>
    <w:sectPr w:rsidR="007061B1" w:rsidSect="009C33A7">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797AB" w14:textId="77777777" w:rsidR="007061B1" w:rsidRDefault="007061B1" w:rsidP="009C33A7">
      <w:r>
        <w:separator/>
      </w:r>
    </w:p>
  </w:endnote>
  <w:endnote w:type="continuationSeparator" w:id="0">
    <w:p w14:paraId="126D9351" w14:textId="77777777" w:rsidR="007061B1" w:rsidRDefault="007061B1" w:rsidP="009C3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AD2DC" w14:textId="77777777" w:rsidR="009C33A7" w:rsidRDefault="009C33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6B0EF" w14:textId="19F62270" w:rsidR="009C33A7" w:rsidRPr="009C33A7" w:rsidRDefault="009C33A7" w:rsidP="009C33A7">
    <w:pPr>
      <w:pStyle w:val="Footer"/>
      <w:jc w:val="center"/>
      <w:rPr>
        <w:color w:val="5A6B7A"/>
        <w:sz w:val="16"/>
      </w:rPr>
    </w:pPr>
    <w:r w:rsidRPr="009C33A7">
      <w:rPr>
        <w:color w:val="5A6B7A"/>
        <w:sz w:val="16"/>
      </w:rPr>
      <w:t xml:space="preserve">Altanfith Aldwaliah SPC  |  Confidential  |  Page </w:t>
    </w:r>
    <w:r w:rsidRPr="009C33A7">
      <w:rPr>
        <w:color w:val="5A6B7A"/>
        <w:sz w:val="16"/>
      </w:rPr>
      <w:fldChar w:fldCharType="begin"/>
    </w:r>
    <w:r w:rsidRPr="009C33A7">
      <w:rPr>
        <w:color w:val="5A6B7A"/>
        <w:sz w:val="16"/>
      </w:rPr>
      <w:instrText xml:space="preserve"> PAGE  \* MERGEFORMAT </w:instrText>
    </w:r>
    <w:r w:rsidRPr="009C33A7">
      <w:rPr>
        <w:color w:val="5A6B7A"/>
        <w:sz w:val="16"/>
      </w:rPr>
      <w:fldChar w:fldCharType="separate"/>
    </w:r>
    <w:r w:rsidRPr="009C33A7">
      <w:rPr>
        <w:noProof/>
        <w:color w:val="5A6B7A"/>
        <w:sz w:val="16"/>
      </w:rPr>
      <w:t>1</w:t>
    </w:r>
    <w:r w:rsidRPr="009C33A7">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13A13" w14:textId="77777777" w:rsidR="009C33A7" w:rsidRDefault="009C33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69FF" w14:textId="77777777" w:rsidR="007061B1" w:rsidRDefault="007061B1" w:rsidP="009C33A7">
      <w:r>
        <w:separator/>
      </w:r>
    </w:p>
  </w:footnote>
  <w:footnote w:type="continuationSeparator" w:id="0">
    <w:p w14:paraId="762241FD" w14:textId="77777777" w:rsidR="007061B1" w:rsidRDefault="007061B1" w:rsidP="009C3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A7E6" w14:textId="77777777" w:rsidR="009C33A7" w:rsidRDefault="009C33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87E7B" w14:textId="77777777" w:rsidR="009C33A7" w:rsidRDefault="009C33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1528" w14:textId="77777777" w:rsidR="009C33A7" w:rsidRDefault="009C33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9D5523"/>
    <w:multiLevelType w:val="multilevel"/>
    <w:tmpl w:val="6696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9845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C33A7"/>
    <w:rsid w:val="007061B1"/>
    <w:rsid w:val="0085015C"/>
    <w:rsid w:val="009C33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BBDDBF"/>
  <w15:chartTrackingRefBased/>
  <w15:docId w15:val="{673C59FA-B496-4657-9616-16B05B84D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left w:val="single" w:sz="24" w:space="1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customStyle="1" w:styleId="badge-opt1">
    <w:name w:val="badge-opt1"/>
    <w:basedOn w:val="DefaultParagraphFont"/>
    <w:rPr>
      <w:b/>
      <w:bCs/>
      <w:color w:val="8A6D1D"/>
    </w:rPr>
  </w:style>
  <w:style w:type="paragraph" w:styleId="Header">
    <w:name w:val="header"/>
    <w:basedOn w:val="Normal"/>
    <w:link w:val="HeaderChar"/>
    <w:uiPriority w:val="99"/>
    <w:unhideWhenUsed/>
    <w:rsid w:val="009C33A7"/>
    <w:pPr>
      <w:tabs>
        <w:tab w:val="center" w:pos="4680"/>
        <w:tab w:val="right" w:pos="9360"/>
      </w:tabs>
    </w:pPr>
  </w:style>
  <w:style w:type="character" w:customStyle="1" w:styleId="HeaderChar">
    <w:name w:val="Header Char"/>
    <w:basedOn w:val="DefaultParagraphFont"/>
    <w:link w:val="Header"/>
    <w:uiPriority w:val="99"/>
    <w:rsid w:val="009C33A7"/>
    <w:rPr>
      <w:rFonts w:eastAsiaTheme="minorEastAsia"/>
      <w:sz w:val="24"/>
      <w:szCs w:val="24"/>
    </w:rPr>
  </w:style>
  <w:style w:type="paragraph" w:styleId="Footer">
    <w:name w:val="footer"/>
    <w:basedOn w:val="Normal"/>
    <w:link w:val="FooterChar"/>
    <w:uiPriority w:val="99"/>
    <w:unhideWhenUsed/>
    <w:rsid w:val="009C33A7"/>
    <w:pPr>
      <w:tabs>
        <w:tab w:val="center" w:pos="4680"/>
        <w:tab w:val="right" w:pos="9360"/>
      </w:tabs>
    </w:pPr>
  </w:style>
  <w:style w:type="character" w:customStyle="1" w:styleId="FooterChar">
    <w:name w:val="Footer Char"/>
    <w:basedOn w:val="DefaultParagraphFont"/>
    <w:link w:val="Footer"/>
    <w:uiPriority w:val="99"/>
    <w:rsid w:val="009C33A7"/>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1190</Words>
  <Characters>7580</Characters>
  <Application>Microsoft Office Word</Application>
  <DocSecurity>0</DocSecurity>
  <Lines>261</Lines>
  <Paragraphs>186</Paragraphs>
  <ScaleCrop>false</ScaleCrop>
  <Company/>
  <LinksUpToDate>false</LinksUpToDate>
  <CharactersWithSpaces>8606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Commercial Quotation</dc:title>
  <dc:subject/>
  <dc:creator>Haitham Al Lamki</dc:creator>
  <cp:keywords/>
  <dc:description/>
  <cp:lastModifiedBy>Haitham Al Lamki</cp:lastModifiedBy>
  <cp:revision>2</cp:revision>
  <dcterms:created xsi:type="dcterms:W3CDTF">2026-07-20T09:35:00Z</dcterms:created>
  <dcterms:modified xsi:type="dcterms:W3CDTF">2026-07-20T09:35:00Z</dcterms:modified>
</cp:coreProperties>
</file>