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top w:w="15" w:type="dxa"/>
          <w:left w:w="15" w:type="dxa"/>
          <w:bottom w:w="15" w:type="dxa"/>
          <w:right w:w="15" w:type="dxa"/>
        </w:tblCellMar>
        <w:tblLook w:val="04A0" w:firstRow="1" w:lastRow="0" w:firstColumn="1" w:lastColumn="0" w:noHBand="0" w:noVBand="1"/>
      </w:tblPr>
      <w:tblGrid>
        <w:gridCol w:w="9639"/>
      </w:tblGrid>
      <w:tr w:rsidR="00000000" w14:paraId="6657E957" w14:textId="77777777">
        <w:tc>
          <w:tcPr>
            <w:tcW w:w="0" w:type="auto"/>
            <w:tcBorders>
              <w:top w:val="nil"/>
              <w:left w:val="nil"/>
              <w:bottom w:val="nil"/>
              <w:right w:val="nil"/>
            </w:tcBorders>
            <w:shd w:val="clear" w:color="auto" w:fill="0B2239"/>
            <w:tcMar>
              <w:top w:w="1200" w:type="dxa"/>
              <w:left w:w="800" w:type="dxa"/>
              <w:bottom w:w="1200" w:type="dxa"/>
              <w:right w:w="800" w:type="dxa"/>
            </w:tcMar>
            <w:hideMark/>
          </w:tcPr>
          <w:p w14:paraId="3E2D590C" w14:textId="77777777" w:rsidR="00A34B1F" w:rsidRDefault="00A34B1F">
            <w:pPr>
              <w:pStyle w:val="NormalWeb"/>
              <w:rPr>
                <w:rFonts w:ascii="Segoe UI" w:hAnsi="Segoe UI" w:cs="Segoe UI"/>
                <w:color w:val="FFFFFF"/>
                <w:spacing w:val="20"/>
              </w:rPr>
            </w:pPr>
            <w:r>
              <w:rPr>
                <w:rFonts w:ascii="Segoe UI" w:hAnsi="Segoe UI" w:cs="Segoe UI"/>
                <w:color w:val="FFFFFF"/>
                <w:spacing w:val="20"/>
              </w:rPr>
              <w:t>ALTANFITH ALDWALIAH SPC</w:t>
            </w:r>
          </w:p>
          <w:p w14:paraId="6CBDF1E8" w14:textId="77777777" w:rsidR="00A34B1F" w:rsidRDefault="00A34B1F">
            <w:pPr>
              <w:pStyle w:val="NormalWeb"/>
              <w:spacing w:before="480" w:after="0"/>
              <w:rPr>
                <w:rFonts w:ascii="Segoe UI" w:hAnsi="Segoe UI" w:cs="Segoe UI"/>
                <w:b/>
                <w:bCs/>
                <w:color w:val="FFFFFF"/>
                <w:sz w:val="60"/>
                <w:szCs w:val="60"/>
              </w:rPr>
            </w:pPr>
            <w:r>
              <w:rPr>
                <w:rFonts w:ascii="Segoe UI" w:hAnsi="Segoe UI" w:cs="Segoe UI"/>
                <w:b/>
                <w:bCs/>
                <w:color w:val="FFFFFF"/>
                <w:sz w:val="60"/>
                <w:szCs w:val="60"/>
              </w:rPr>
              <w:t>LIVE QUIZ PLATFORM</w:t>
            </w:r>
          </w:p>
          <w:p w14:paraId="4DF6353C" w14:textId="77777777" w:rsidR="00A34B1F" w:rsidRDefault="00A34B1F">
            <w:pPr>
              <w:pStyle w:val="NormalWeb"/>
              <w:spacing w:before="0"/>
              <w:rPr>
                <w:rFonts w:ascii="Segoe UI" w:hAnsi="Segoe UI" w:cs="Segoe UI"/>
                <w:color w:val="FFFFFF"/>
                <w:sz w:val="30"/>
                <w:szCs w:val="30"/>
              </w:rPr>
            </w:pPr>
            <w:r>
              <w:rPr>
                <w:rFonts w:ascii="Segoe UI" w:hAnsi="Segoe UI" w:cs="Segoe UI"/>
                <w:color w:val="FFFFFF"/>
                <w:sz w:val="30"/>
                <w:szCs w:val="30"/>
              </w:rPr>
              <w:t>Technical &amp; Commercial Proposal</w:t>
            </w:r>
          </w:p>
          <w:p w14:paraId="7965249F" w14:textId="77777777" w:rsidR="00A34B1F" w:rsidRDefault="00A34B1F">
            <w:pPr>
              <w:pStyle w:val="NormalWeb"/>
              <w:spacing w:before="720"/>
              <w:rPr>
                <w:rFonts w:ascii="Segoe UI" w:hAnsi="Segoe UI" w:cs="Segoe UI"/>
                <w:color w:val="FFFFFF"/>
                <w:sz w:val="19"/>
                <w:szCs w:val="19"/>
              </w:rPr>
            </w:pPr>
            <w:r>
              <w:rPr>
                <w:rFonts w:ascii="Segoe UI" w:hAnsi="Segoe UI" w:cs="Segoe UI"/>
                <w:color w:val="FFFFFF"/>
                <w:sz w:val="19"/>
                <w:szCs w:val="19"/>
              </w:rPr>
              <w:t xml:space="preserve">Prepared for: </w:t>
            </w:r>
            <w:r>
              <w:rPr>
                <w:rStyle w:val="Strong"/>
                <w:rFonts w:ascii="Segoe UI" w:hAnsi="Segoe UI" w:cs="Segoe UI"/>
                <w:color w:val="FFFFFF"/>
                <w:sz w:val="19"/>
                <w:szCs w:val="19"/>
              </w:rPr>
              <w:t>[Client Name]</w:t>
            </w:r>
          </w:p>
          <w:p w14:paraId="383AE232" w14:textId="77777777" w:rsidR="00A34B1F" w:rsidRDefault="00A34B1F">
            <w:pPr>
              <w:pStyle w:val="NormalWeb"/>
              <w:rPr>
                <w:rFonts w:ascii="Segoe UI" w:hAnsi="Segoe UI" w:cs="Segoe UI"/>
                <w:color w:val="FFFFFF"/>
                <w:sz w:val="19"/>
                <w:szCs w:val="19"/>
              </w:rPr>
            </w:pPr>
            <w:r>
              <w:rPr>
                <w:rFonts w:ascii="Segoe UI" w:hAnsi="Segoe UI" w:cs="Segoe UI"/>
                <w:color w:val="FFFFFF"/>
                <w:sz w:val="19"/>
                <w:szCs w:val="19"/>
              </w:rPr>
              <w:t xml:space="preserve">Reference: </w:t>
            </w:r>
            <w:r>
              <w:rPr>
                <w:rStyle w:val="Strong"/>
                <w:rFonts w:ascii="Segoe UI" w:hAnsi="Segoe UI" w:cs="Segoe UI"/>
                <w:color w:val="FFFFFF"/>
                <w:sz w:val="19"/>
                <w:szCs w:val="19"/>
              </w:rPr>
              <w:t>[Proposal Reference]</w:t>
            </w:r>
          </w:p>
          <w:p w14:paraId="46046A83" w14:textId="77777777" w:rsidR="00A34B1F" w:rsidRDefault="00A34B1F">
            <w:pPr>
              <w:pStyle w:val="NormalWeb"/>
              <w:rPr>
                <w:rFonts w:ascii="Segoe UI" w:hAnsi="Segoe UI" w:cs="Segoe UI"/>
                <w:color w:val="FFFFFF"/>
                <w:sz w:val="19"/>
                <w:szCs w:val="19"/>
              </w:rPr>
            </w:pPr>
            <w:r>
              <w:rPr>
                <w:rFonts w:ascii="Segoe UI" w:hAnsi="Segoe UI" w:cs="Segoe UI"/>
                <w:color w:val="FFFFFF"/>
                <w:sz w:val="19"/>
                <w:szCs w:val="19"/>
              </w:rPr>
              <w:t xml:space="preserve">Version: </w:t>
            </w:r>
            <w:r>
              <w:rPr>
                <w:rStyle w:val="Strong"/>
                <w:rFonts w:ascii="Segoe UI" w:hAnsi="Segoe UI" w:cs="Segoe UI"/>
                <w:color w:val="FFFFFF"/>
                <w:sz w:val="19"/>
                <w:szCs w:val="19"/>
              </w:rPr>
              <w:t>1.0</w:t>
            </w:r>
          </w:p>
          <w:p w14:paraId="3276EEF8" w14:textId="77777777" w:rsidR="00A34B1F" w:rsidRDefault="00A34B1F">
            <w:pPr>
              <w:pStyle w:val="NormalWeb"/>
              <w:rPr>
                <w:rFonts w:ascii="Segoe UI" w:hAnsi="Segoe UI" w:cs="Segoe UI"/>
                <w:color w:val="FFFFFF"/>
                <w:sz w:val="19"/>
                <w:szCs w:val="19"/>
              </w:rPr>
            </w:pPr>
            <w:r>
              <w:rPr>
                <w:rFonts w:ascii="Segoe UI" w:hAnsi="Segoe UI" w:cs="Segoe UI"/>
                <w:color w:val="FFFFFF"/>
                <w:sz w:val="19"/>
                <w:szCs w:val="19"/>
              </w:rPr>
              <w:t xml:space="preserve">Date: </w:t>
            </w:r>
            <w:r>
              <w:rPr>
                <w:rStyle w:val="Strong"/>
                <w:rFonts w:ascii="Segoe UI" w:hAnsi="Segoe UI" w:cs="Segoe UI"/>
                <w:color w:val="FFFFFF"/>
                <w:sz w:val="19"/>
                <w:szCs w:val="19"/>
              </w:rPr>
              <w:t>[Date]</w:t>
            </w:r>
          </w:p>
          <w:p w14:paraId="17BA6F98" w14:textId="77777777" w:rsidR="00A34B1F" w:rsidRDefault="00A34B1F">
            <w:pPr>
              <w:pStyle w:val="tag"/>
              <w:spacing w:before="720" w:beforeAutospacing="0" w:after="120" w:afterAutospacing="0"/>
              <w:rPr>
                <w:rFonts w:ascii="Segoe UI" w:hAnsi="Segoe UI" w:cs="Segoe UI"/>
                <w:spacing w:val="40"/>
              </w:rPr>
            </w:pPr>
            <w:r>
              <w:rPr>
                <w:rFonts w:ascii="Segoe UI" w:hAnsi="Segoe UI" w:cs="Segoe UI"/>
                <w:spacing w:val="40"/>
              </w:rPr>
              <w:t>CONFIDENTIAL</w:t>
            </w:r>
          </w:p>
        </w:tc>
      </w:tr>
    </w:tbl>
    <w:p w14:paraId="559FA79D" w14:textId="77777777" w:rsidR="00A34B1F" w:rsidRDefault="00A34B1F">
      <w:pPr>
        <w:pStyle w:val="Heading1"/>
        <w:rPr>
          <w:rFonts w:ascii="Segoe UI" w:eastAsia="Times New Roman" w:hAnsi="Segoe UI" w:cs="Segoe UI"/>
          <w:lang w:val="en"/>
        </w:rPr>
      </w:pPr>
      <w:bookmarkStart w:id="0" w:name="_Toc235440555"/>
      <w:r>
        <w:rPr>
          <w:rFonts w:ascii="Segoe UI" w:eastAsia="Times New Roman" w:hAnsi="Segoe UI" w:cs="Segoe UI"/>
          <w:lang w:val="en"/>
        </w:rPr>
        <w:lastRenderedPageBreak/>
        <w:t>2. Confidentiality Notice</w:t>
      </w:r>
      <w:bookmarkEnd w:id="0"/>
    </w:p>
    <w:p w14:paraId="68EE1949" w14:textId="77777777" w:rsidR="00A34B1F" w:rsidRDefault="00A34B1F">
      <w:pPr>
        <w:pStyle w:val="NormalWeb"/>
        <w:shd w:val="clear" w:color="auto" w:fill="F2F4F7"/>
        <w:divId w:val="721631929"/>
        <w:rPr>
          <w:rFonts w:ascii="Segoe UI" w:hAnsi="Segoe UI" w:cs="Segoe UI"/>
          <w:color w:val="1F2933"/>
          <w:sz w:val="21"/>
          <w:szCs w:val="21"/>
          <w:lang w:val="en"/>
        </w:rPr>
      </w:pPr>
      <w:r>
        <w:rPr>
          <w:rFonts w:ascii="Segoe UI" w:hAnsi="Segoe UI" w:cs="Segoe UI"/>
          <w:color w:val="1F2933"/>
          <w:sz w:val="21"/>
          <w:szCs w:val="21"/>
          <w:lang w:val="en"/>
        </w:rPr>
        <w:t xml:space="preserve">This document and all information contained within it constitute confidential commercial and technical information of Altanfith Aldwaliah SPC. It is provided exclusively for the use of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for the purpose of evaluating the Live Quiz Platform solution described herein.</w:t>
      </w:r>
    </w:p>
    <w:p w14:paraId="114CEAE7"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No part of this proposal may be reproduced, copied, distributed, disclosed to any third party, or used for any purpose other than the evaluation of this proposal without the prior written consent of Altanfith Aldwaliah SPC. This restriction applies to the commercial terms, technical architecture, pricing, and methodology described in this document, all of which are proprietary to Altanfith Aldwaliah SPC.</w:t>
      </w:r>
    </w:p>
    <w:p w14:paraId="4EDC4A2D"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Should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decide not to proceed with this proposal, it is requested that all copies of this document, whether physical or electronic, be returned or securely destroyed, and that its contents not be shared with any competing vendor or unrelated third party.</w:t>
      </w:r>
    </w:p>
    <w:p w14:paraId="74168B44"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By retaining and reviewing this document,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acknowledges and agrees to treat its contents as confidential in accordance with the terms above and any separate non-disclosure agreement that may be in place between the parties.</w:t>
      </w:r>
    </w:p>
    <w:p w14:paraId="1FE9B7A0" w14:textId="77777777" w:rsidR="00A34B1F" w:rsidRDefault="00A34B1F">
      <w:pPr>
        <w:pStyle w:val="Heading1"/>
        <w:rPr>
          <w:rFonts w:ascii="Segoe UI" w:eastAsia="Times New Roman" w:hAnsi="Segoe UI" w:cs="Segoe UI"/>
          <w:lang w:val="en"/>
        </w:rPr>
      </w:pPr>
      <w:bookmarkStart w:id="1" w:name="_Toc235440556"/>
      <w:r>
        <w:rPr>
          <w:rFonts w:ascii="Segoe UI" w:eastAsia="Times New Roman" w:hAnsi="Segoe UI" w:cs="Segoe UI"/>
          <w:lang w:val="en"/>
        </w:rPr>
        <w:lastRenderedPageBreak/>
        <w:t>3. Document Control</w:t>
      </w:r>
      <w:bookmarkEnd w:id="1"/>
    </w:p>
    <w:p w14:paraId="64363BC8" w14:textId="77777777" w:rsidR="00A34B1F" w:rsidRDefault="00A34B1F">
      <w:pPr>
        <w:pStyle w:val="Heading2"/>
        <w:rPr>
          <w:rFonts w:ascii="Segoe UI" w:eastAsia="Times New Roman" w:hAnsi="Segoe UI" w:cs="Segoe UI"/>
          <w:lang w:val="en"/>
        </w:rPr>
      </w:pPr>
      <w:bookmarkStart w:id="2" w:name="_Toc235440557"/>
      <w:r>
        <w:rPr>
          <w:rFonts w:ascii="Segoe UI" w:eastAsia="Times New Roman" w:hAnsi="Segoe UI" w:cs="Segoe UI"/>
          <w:lang w:val="en"/>
        </w:rPr>
        <w:t>3.1 Document Information</w:t>
      </w:r>
      <w:bookmarkEnd w:id="2"/>
    </w:p>
    <w:tbl>
      <w:tblPr>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16328A85" w14:textId="77777777">
        <w:tc>
          <w:tcPr>
            <w:tcW w:w="1600" w:type="pct"/>
            <w:tcBorders>
              <w:top w:val="nil"/>
              <w:left w:val="nil"/>
              <w:bottom w:val="nil"/>
              <w:right w:val="nil"/>
            </w:tcBorders>
            <w:tcMar>
              <w:top w:w="40" w:type="dxa"/>
              <w:left w:w="120" w:type="dxa"/>
              <w:bottom w:w="40" w:type="dxa"/>
              <w:right w:w="120" w:type="dxa"/>
            </w:tcMar>
            <w:hideMark/>
          </w:tcPr>
          <w:p w14:paraId="0FA04C83"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Title</w:t>
            </w:r>
          </w:p>
        </w:tc>
        <w:tc>
          <w:tcPr>
            <w:tcW w:w="0" w:type="auto"/>
            <w:tcBorders>
              <w:top w:val="nil"/>
              <w:left w:val="nil"/>
              <w:bottom w:val="nil"/>
              <w:right w:val="nil"/>
            </w:tcBorders>
            <w:tcMar>
              <w:top w:w="40" w:type="dxa"/>
              <w:left w:w="120" w:type="dxa"/>
              <w:bottom w:w="40" w:type="dxa"/>
              <w:right w:w="120" w:type="dxa"/>
            </w:tcMar>
            <w:hideMark/>
          </w:tcPr>
          <w:p w14:paraId="13A403C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 — Technical &amp; Commercial Proposal</w:t>
            </w:r>
          </w:p>
        </w:tc>
      </w:tr>
      <w:tr w:rsidR="00000000" w14:paraId="5ADC46D3" w14:textId="77777777">
        <w:tc>
          <w:tcPr>
            <w:tcW w:w="0" w:type="auto"/>
            <w:tcBorders>
              <w:top w:val="nil"/>
              <w:left w:val="nil"/>
              <w:bottom w:val="nil"/>
              <w:right w:val="nil"/>
            </w:tcBorders>
            <w:tcMar>
              <w:top w:w="40" w:type="dxa"/>
              <w:left w:w="120" w:type="dxa"/>
              <w:bottom w:w="40" w:type="dxa"/>
              <w:right w:w="120" w:type="dxa"/>
            </w:tcMar>
            <w:hideMark/>
          </w:tcPr>
          <w:p w14:paraId="2BF8C8E4"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Reference</w:t>
            </w:r>
          </w:p>
        </w:tc>
        <w:tc>
          <w:tcPr>
            <w:tcW w:w="0" w:type="auto"/>
            <w:tcBorders>
              <w:top w:val="nil"/>
              <w:left w:val="nil"/>
              <w:bottom w:val="nil"/>
              <w:right w:val="nil"/>
            </w:tcBorders>
            <w:tcMar>
              <w:top w:w="40" w:type="dxa"/>
              <w:left w:w="120" w:type="dxa"/>
              <w:bottom w:w="40" w:type="dxa"/>
              <w:right w:w="120" w:type="dxa"/>
            </w:tcMar>
            <w:hideMark/>
          </w:tcPr>
          <w:p w14:paraId="023F8BA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[Proposal Reference] </w:t>
            </w:r>
            <w:r>
              <w:rPr>
                <w:rStyle w:val="muted1"/>
                <w:rFonts w:ascii="Segoe UI" w:eastAsia="Times New Roman" w:hAnsi="Segoe UI" w:cs="Segoe UI"/>
              </w:rPr>
              <w:t>(example format: ATD-LQP-2026-XXX — placeholder, to be assigned)</w:t>
            </w:r>
          </w:p>
        </w:tc>
      </w:tr>
      <w:tr w:rsidR="00000000" w14:paraId="200889E0" w14:textId="77777777">
        <w:tc>
          <w:tcPr>
            <w:tcW w:w="0" w:type="auto"/>
            <w:tcBorders>
              <w:top w:val="nil"/>
              <w:left w:val="nil"/>
              <w:bottom w:val="nil"/>
              <w:right w:val="nil"/>
            </w:tcBorders>
            <w:tcMar>
              <w:top w:w="40" w:type="dxa"/>
              <w:left w:w="120" w:type="dxa"/>
              <w:bottom w:w="40" w:type="dxa"/>
              <w:right w:w="120" w:type="dxa"/>
            </w:tcMar>
            <w:hideMark/>
          </w:tcPr>
          <w:p w14:paraId="4F95F45B"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Version</w:t>
            </w:r>
          </w:p>
        </w:tc>
        <w:tc>
          <w:tcPr>
            <w:tcW w:w="0" w:type="auto"/>
            <w:tcBorders>
              <w:top w:val="nil"/>
              <w:left w:val="nil"/>
              <w:bottom w:val="nil"/>
              <w:right w:val="nil"/>
            </w:tcBorders>
            <w:tcMar>
              <w:top w:w="40" w:type="dxa"/>
              <w:left w:w="120" w:type="dxa"/>
              <w:bottom w:w="40" w:type="dxa"/>
              <w:right w:w="120" w:type="dxa"/>
            </w:tcMar>
            <w:hideMark/>
          </w:tcPr>
          <w:p w14:paraId="46CC208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r>
      <w:tr w:rsidR="00000000" w14:paraId="0CD37FA2" w14:textId="77777777">
        <w:tc>
          <w:tcPr>
            <w:tcW w:w="0" w:type="auto"/>
            <w:tcBorders>
              <w:top w:val="nil"/>
              <w:left w:val="nil"/>
              <w:bottom w:val="nil"/>
              <w:right w:val="nil"/>
            </w:tcBorders>
            <w:tcMar>
              <w:top w:w="40" w:type="dxa"/>
              <w:left w:w="120" w:type="dxa"/>
              <w:bottom w:w="40" w:type="dxa"/>
              <w:right w:w="120" w:type="dxa"/>
            </w:tcMar>
            <w:hideMark/>
          </w:tcPr>
          <w:p w14:paraId="029E1E03"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Date</w:t>
            </w:r>
          </w:p>
        </w:tc>
        <w:tc>
          <w:tcPr>
            <w:tcW w:w="0" w:type="auto"/>
            <w:tcBorders>
              <w:top w:val="nil"/>
              <w:left w:val="nil"/>
              <w:bottom w:val="nil"/>
              <w:right w:val="nil"/>
            </w:tcBorders>
            <w:tcMar>
              <w:top w:w="40" w:type="dxa"/>
              <w:left w:w="120" w:type="dxa"/>
              <w:bottom w:w="40" w:type="dxa"/>
              <w:right w:w="120" w:type="dxa"/>
            </w:tcMar>
            <w:hideMark/>
          </w:tcPr>
          <w:p w14:paraId="06F1FF1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w:t>
            </w:r>
          </w:p>
        </w:tc>
      </w:tr>
      <w:tr w:rsidR="00000000" w14:paraId="292FA8DE" w14:textId="77777777">
        <w:tc>
          <w:tcPr>
            <w:tcW w:w="0" w:type="auto"/>
            <w:tcBorders>
              <w:top w:val="nil"/>
              <w:left w:val="nil"/>
              <w:bottom w:val="nil"/>
              <w:right w:val="nil"/>
            </w:tcBorders>
            <w:tcMar>
              <w:top w:w="40" w:type="dxa"/>
              <w:left w:w="120" w:type="dxa"/>
              <w:bottom w:w="40" w:type="dxa"/>
              <w:right w:w="120" w:type="dxa"/>
            </w:tcMar>
            <w:hideMark/>
          </w:tcPr>
          <w:p w14:paraId="28D41A66"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Prepared by</w:t>
            </w:r>
          </w:p>
        </w:tc>
        <w:tc>
          <w:tcPr>
            <w:tcW w:w="0" w:type="auto"/>
            <w:tcBorders>
              <w:top w:val="nil"/>
              <w:left w:val="nil"/>
              <w:bottom w:val="nil"/>
              <w:right w:val="nil"/>
            </w:tcBorders>
            <w:tcMar>
              <w:top w:w="40" w:type="dxa"/>
              <w:left w:w="120" w:type="dxa"/>
              <w:bottom w:w="40" w:type="dxa"/>
              <w:right w:w="120" w:type="dxa"/>
            </w:tcMar>
            <w:hideMark/>
          </w:tcPr>
          <w:p w14:paraId="6C057A3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 Altanfith Aldwaliah SPC</w:t>
            </w:r>
          </w:p>
        </w:tc>
      </w:tr>
      <w:tr w:rsidR="00000000" w14:paraId="406BC5F9" w14:textId="77777777">
        <w:tc>
          <w:tcPr>
            <w:tcW w:w="0" w:type="auto"/>
            <w:tcBorders>
              <w:top w:val="nil"/>
              <w:left w:val="nil"/>
              <w:bottom w:val="nil"/>
              <w:right w:val="nil"/>
            </w:tcBorders>
            <w:tcMar>
              <w:top w:w="40" w:type="dxa"/>
              <w:left w:w="120" w:type="dxa"/>
              <w:bottom w:w="40" w:type="dxa"/>
              <w:right w:w="120" w:type="dxa"/>
            </w:tcMar>
            <w:hideMark/>
          </w:tcPr>
          <w:p w14:paraId="246E085E"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Classification</w:t>
            </w:r>
          </w:p>
        </w:tc>
        <w:tc>
          <w:tcPr>
            <w:tcW w:w="0" w:type="auto"/>
            <w:tcBorders>
              <w:top w:val="nil"/>
              <w:left w:val="nil"/>
              <w:bottom w:val="nil"/>
              <w:right w:val="nil"/>
            </w:tcBorders>
            <w:tcMar>
              <w:top w:w="40" w:type="dxa"/>
              <w:left w:w="120" w:type="dxa"/>
              <w:bottom w:w="40" w:type="dxa"/>
              <w:right w:w="120" w:type="dxa"/>
            </w:tcMar>
            <w:hideMark/>
          </w:tcPr>
          <w:p w14:paraId="2C43CF1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Confidential</w:t>
            </w:r>
          </w:p>
        </w:tc>
      </w:tr>
    </w:tbl>
    <w:p w14:paraId="0196B289" w14:textId="77777777" w:rsidR="00A34B1F" w:rsidRDefault="00A34B1F">
      <w:pPr>
        <w:pStyle w:val="Heading2"/>
        <w:rPr>
          <w:rFonts w:ascii="Segoe UI" w:eastAsia="Times New Roman" w:hAnsi="Segoe UI" w:cs="Segoe UI"/>
          <w:lang w:val="en"/>
        </w:rPr>
      </w:pPr>
      <w:bookmarkStart w:id="3" w:name="_Toc235440558"/>
      <w:r>
        <w:rPr>
          <w:rFonts w:ascii="Segoe UI" w:eastAsia="Times New Roman" w:hAnsi="Segoe UI" w:cs="Segoe UI"/>
          <w:lang w:val="en"/>
        </w:rPr>
        <w:t>3.2 Revision History</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1937"/>
        <w:gridCol w:w="1587"/>
        <w:gridCol w:w="3629"/>
        <w:gridCol w:w="2466"/>
      </w:tblGrid>
      <w:tr w:rsidR="00000000" w14:paraId="2997148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D4BD36A"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Version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0FA5257"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Date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E35A7DE"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Author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B7599B9"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Change</w:t>
            </w:r>
          </w:p>
        </w:tc>
      </w:tr>
      <w:tr w:rsidR="00000000" w14:paraId="7B23EE7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FB57C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6289B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49FBF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53D52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Initial issue</w:t>
            </w:r>
          </w:p>
        </w:tc>
      </w:tr>
    </w:tbl>
    <w:p w14:paraId="2C80FE4A" w14:textId="77777777" w:rsidR="00A34B1F" w:rsidRDefault="00A34B1F">
      <w:pPr>
        <w:pStyle w:val="Heading1"/>
        <w:rPr>
          <w:rFonts w:ascii="Segoe UI" w:eastAsia="Times New Roman" w:hAnsi="Segoe UI" w:cs="Segoe UI"/>
          <w:lang w:val="en"/>
        </w:rPr>
      </w:pPr>
      <w:bookmarkStart w:id="4" w:name="_Toc235440559"/>
      <w:r>
        <w:rPr>
          <w:rFonts w:ascii="Segoe UI" w:eastAsia="Times New Roman" w:hAnsi="Segoe UI" w:cs="Segoe UI"/>
          <w:lang w:val="en"/>
        </w:rPr>
        <w:lastRenderedPageBreak/>
        <w:t>4. Table of Contents</w:t>
      </w:r>
      <w:bookmarkEnd w:id="4"/>
    </w:p>
    <w:p w14:paraId="56944174" w14:textId="372283E3" w:rsidR="00B7190A" w:rsidRDefault="00B7190A" w:rsidP="00B7190A">
      <w:pPr>
        <w:pStyle w:val="TOC1"/>
        <w:tabs>
          <w:tab w:val="right" w:leader="dot" w:pos="9629"/>
        </w:tabs>
        <w:rPr>
          <w:rFonts w:asciiTheme="minorHAnsi" w:hAnsiTheme="minorHAnsi" w:cstheme="minorBidi"/>
          <w:noProof/>
          <w:kern w:val="2"/>
          <w14:ligatures w14:val="standardContextual"/>
        </w:rPr>
      </w:pPr>
      <w:r>
        <w:rPr>
          <w:rFonts w:ascii="Segoe UI" w:hAnsi="Segoe UI" w:cs="Segoe UI"/>
          <w:color w:val="1F2933"/>
          <w:sz w:val="21"/>
          <w:szCs w:val="21"/>
          <w:lang w:val="en"/>
        </w:rPr>
        <w:fldChar w:fldCharType="begin"/>
      </w:r>
      <w:r>
        <w:rPr>
          <w:rFonts w:ascii="Segoe UI" w:hAnsi="Segoe UI" w:cs="Segoe UI"/>
          <w:color w:val="1F2933"/>
          <w:sz w:val="21"/>
          <w:szCs w:val="21"/>
          <w:lang w:val="en"/>
        </w:rPr>
        <w:instrText xml:space="preserve"> TOC \o "1-2" </w:instrText>
      </w:r>
      <w:r>
        <w:rPr>
          <w:rFonts w:ascii="Segoe UI" w:hAnsi="Segoe UI" w:cs="Segoe UI"/>
          <w:color w:val="1F2933"/>
          <w:sz w:val="21"/>
          <w:szCs w:val="21"/>
          <w:lang w:val="en"/>
        </w:rPr>
        <w:fldChar w:fldCharType="separate"/>
      </w:r>
      <w:r w:rsidRPr="00665207">
        <w:rPr>
          <w:rFonts w:ascii="Segoe UI" w:eastAsia="Times New Roman" w:hAnsi="Segoe UI" w:cs="Segoe UI"/>
          <w:noProof/>
          <w:lang w:val="en"/>
        </w:rPr>
        <w:t>2. Confidentiality Notice</w:t>
      </w:r>
      <w:r>
        <w:rPr>
          <w:noProof/>
        </w:rPr>
        <w:tab/>
      </w:r>
      <w:r>
        <w:rPr>
          <w:noProof/>
        </w:rPr>
        <w:fldChar w:fldCharType="begin"/>
      </w:r>
      <w:r>
        <w:rPr>
          <w:noProof/>
        </w:rPr>
        <w:instrText xml:space="preserve"> PAGEREF _Toc235440555 \h </w:instrText>
      </w:r>
      <w:r>
        <w:rPr>
          <w:noProof/>
        </w:rPr>
      </w:r>
      <w:r>
        <w:rPr>
          <w:noProof/>
        </w:rPr>
        <w:fldChar w:fldCharType="separate"/>
      </w:r>
      <w:r>
        <w:rPr>
          <w:noProof/>
        </w:rPr>
        <w:t>2</w:t>
      </w:r>
      <w:r>
        <w:rPr>
          <w:noProof/>
        </w:rPr>
        <w:fldChar w:fldCharType="end"/>
      </w:r>
    </w:p>
    <w:p w14:paraId="109FE63F" w14:textId="736431AD"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3. Document Control</w:t>
      </w:r>
      <w:r>
        <w:rPr>
          <w:noProof/>
        </w:rPr>
        <w:tab/>
      </w:r>
      <w:r>
        <w:rPr>
          <w:noProof/>
        </w:rPr>
        <w:fldChar w:fldCharType="begin"/>
      </w:r>
      <w:r>
        <w:rPr>
          <w:noProof/>
        </w:rPr>
        <w:instrText xml:space="preserve"> PAGEREF _Toc235440556 \h </w:instrText>
      </w:r>
      <w:r>
        <w:rPr>
          <w:noProof/>
        </w:rPr>
      </w:r>
      <w:r>
        <w:rPr>
          <w:noProof/>
        </w:rPr>
        <w:fldChar w:fldCharType="separate"/>
      </w:r>
      <w:r>
        <w:rPr>
          <w:noProof/>
        </w:rPr>
        <w:t>3</w:t>
      </w:r>
      <w:r>
        <w:rPr>
          <w:noProof/>
        </w:rPr>
        <w:fldChar w:fldCharType="end"/>
      </w:r>
    </w:p>
    <w:p w14:paraId="6150AFF7" w14:textId="5DE2715E"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3.1 Document Information</w:t>
      </w:r>
      <w:r>
        <w:rPr>
          <w:noProof/>
        </w:rPr>
        <w:tab/>
      </w:r>
      <w:r>
        <w:rPr>
          <w:noProof/>
        </w:rPr>
        <w:fldChar w:fldCharType="begin"/>
      </w:r>
      <w:r>
        <w:rPr>
          <w:noProof/>
        </w:rPr>
        <w:instrText xml:space="preserve"> PAGEREF _Toc235440557 \h </w:instrText>
      </w:r>
      <w:r>
        <w:rPr>
          <w:noProof/>
        </w:rPr>
      </w:r>
      <w:r>
        <w:rPr>
          <w:noProof/>
        </w:rPr>
        <w:fldChar w:fldCharType="separate"/>
      </w:r>
      <w:r>
        <w:rPr>
          <w:noProof/>
        </w:rPr>
        <w:t>3</w:t>
      </w:r>
      <w:r>
        <w:rPr>
          <w:noProof/>
        </w:rPr>
        <w:fldChar w:fldCharType="end"/>
      </w:r>
    </w:p>
    <w:p w14:paraId="6F7B6F98" w14:textId="29A14592"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3.2 Revision History</w:t>
      </w:r>
      <w:r>
        <w:rPr>
          <w:noProof/>
        </w:rPr>
        <w:tab/>
      </w:r>
      <w:r>
        <w:rPr>
          <w:noProof/>
        </w:rPr>
        <w:fldChar w:fldCharType="begin"/>
      </w:r>
      <w:r>
        <w:rPr>
          <w:noProof/>
        </w:rPr>
        <w:instrText xml:space="preserve"> PAGEREF _Toc235440558 \h </w:instrText>
      </w:r>
      <w:r>
        <w:rPr>
          <w:noProof/>
        </w:rPr>
      </w:r>
      <w:r>
        <w:rPr>
          <w:noProof/>
        </w:rPr>
        <w:fldChar w:fldCharType="separate"/>
      </w:r>
      <w:r>
        <w:rPr>
          <w:noProof/>
        </w:rPr>
        <w:t>3</w:t>
      </w:r>
      <w:r>
        <w:rPr>
          <w:noProof/>
        </w:rPr>
        <w:fldChar w:fldCharType="end"/>
      </w:r>
    </w:p>
    <w:p w14:paraId="6D750464" w14:textId="577439DE"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4. Table of Contents</w:t>
      </w:r>
      <w:r>
        <w:rPr>
          <w:noProof/>
        </w:rPr>
        <w:tab/>
      </w:r>
      <w:r>
        <w:rPr>
          <w:noProof/>
        </w:rPr>
        <w:fldChar w:fldCharType="begin"/>
      </w:r>
      <w:r>
        <w:rPr>
          <w:noProof/>
        </w:rPr>
        <w:instrText xml:space="preserve"> PAGEREF _Toc235440559 \h </w:instrText>
      </w:r>
      <w:r>
        <w:rPr>
          <w:noProof/>
        </w:rPr>
      </w:r>
      <w:r>
        <w:rPr>
          <w:noProof/>
        </w:rPr>
        <w:fldChar w:fldCharType="separate"/>
      </w:r>
      <w:r>
        <w:rPr>
          <w:noProof/>
        </w:rPr>
        <w:t>4</w:t>
      </w:r>
      <w:r>
        <w:rPr>
          <w:noProof/>
        </w:rPr>
        <w:fldChar w:fldCharType="end"/>
      </w:r>
    </w:p>
    <w:p w14:paraId="3D365901" w14:textId="557BB39F"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5. Letter of Submission</w:t>
      </w:r>
      <w:r>
        <w:rPr>
          <w:noProof/>
        </w:rPr>
        <w:tab/>
      </w:r>
      <w:r>
        <w:rPr>
          <w:noProof/>
        </w:rPr>
        <w:fldChar w:fldCharType="begin"/>
      </w:r>
      <w:r>
        <w:rPr>
          <w:noProof/>
        </w:rPr>
        <w:instrText xml:space="preserve"> PAGEREF _Toc235440560 \h </w:instrText>
      </w:r>
      <w:r>
        <w:rPr>
          <w:noProof/>
        </w:rPr>
      </w:r>
      <w:r>
        <w:rPr>
          <w:noProof/>
        </w:rPr>
        <w:fldChar w:fldCharType="separate"/>
      </w:r>
      <w:r>
        <w:rPr>
          <w:noProof/>
        </w:rPr>
        <w:t>6</w:t>
      </w:r>
      <w:r>
        <w:rPr>
          <w:noProof/>
        </w:rPr>
        <w:fldChar w:fldCharType="end"/>
      </w:r>
    </w:p>
    <w:p w14:paraId="69014BC2" w14:textId="6790A7EF"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6. Executive Summary</w:t>
      </w:r>
      <w:r>
        <w:rPr>
          <w:noProof/>
        </w:rPr>
        <w:tab/>
      </w:r>
      <w:r>
        <w:rPr>
          <w:noProof/>
        </w:rPr>
        <w:fldChar w:fldCharType="begin"/>
      </w:r>
      <w:r>
        <w:rPr>
          <w:noProof/>
        </w:rPr>
        <w:instrText xml:space="preserve"> PAGEREF _Toc235440561 \h </w:instrText>
      </w:r>
      <w:r>
        <w:rPr>
          <w:noProof/>
        </w:rPr>
      </w:r>
      <w:r>
        <w:rPr>
          <w:noProof/>
        </w:rPr>
        <w:fldChar w:fldCharType="separate"/>
      </w:r>
      <w:r>
        <w:rPr>
          <w:noProof/>
        </w:rPr>
        <w:t>7</w:t>
      </w:r>
      <w:r>
        <w:rPr>
          <w:noProof/>
        </w:rPr>
        <w:fldChar w:fldCharType="end"/>
      </w:r>
    </w:p>
    <w:p w14:paraId="71C44DDB" w14:textId="6D55253E"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7. About Altanfith Aldwaliah SPC</w:t>
      </w:r>
      <w:r>
        <w:rPr>
          <w:noProof/>
        </w:rPr>
        <w:tab/>
      </w:r>
      <w:r>
        <w:rPr>
          <w:noProof/>
        </w:rPr>
        <w:fldChar w:fldCharType="begin"/>
      </w:r>
      <w:r>
        <w:rPr>
          <w:noProof/>
        </w:rPr>
        <w:instrText xml:space="preserve"> PAGEREF _Toc235440562 \h </w:instrText>
      </w:r>
      <w:r>
        <w:rPr>
          <w:noProof/>
        </w:rPr>
      </w:r>
      <w:r>
        <w:rPr>
          <w:noProof/>
        </w:rPr>
        <w:fldChar w:fldCharType="separate"/>
      </w:r>
      <w:r>
        <w:rPr>
          <w:noProof/>
        </w:rPr>
        <w:t>9</w:t>
      </w:r>
      <w:r>
        <w:rPr>
          <w:noProof/>
        </w:rPr>
        <w:fldChar w:fldCharType="end"/>
      </w:r>
    </w:p>
    <w:p w14:paraId="12EBB87B" w14:textId="0D2FA55D"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8. Understanding of Client Requirements</w:t>
      </w:r>
      <w:r>
        <w:rPr>
          <w:noProof/>
        </w:rPr>
        <w:tab/>
      </w:r>
      <w:r>
        <w:rPr>
          <w:noProof/>
        </w:rPr>
        <w:fldChar w:fldCharType="begin"/>
      </w:r>
      <w:r>
        <w:rPr>
          <w:noProof/>
        </w:rPr>
        <w:instrText xml:space="preserve"> PAGEREF _Toc235440563 \h </w:instrText>
      </w:r>
      <w:r>
        <w:rPr>
          <w:noProof/>
        </w:rPr>
      </w:r>
      <w:r>
        <w:rPr>
          <w:noProof/>
        </w:rPr>
        <w:fldChar w:fldCharType="separate"/>
      </w:r>
      <w:r>
        <w:rPr>
          <w:noProof/>
        </w:rPr>
        <w:t>10</w:t>
      </w:r>
      <w:r>
        <w:rPr>
          <w:noProof/>
        </w:rPr>
        <w:fldChar w:fldCharType="end"/>
      </w:r>
    </w:p>
    <w:p w14:paraId="78110C24" w14:textId="09272BEA"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9. Business Challenges</w:t>
      </w:r>
      <w:r>
        <w:rPr>
          <w:noProof/>
        </w:rPr>
        <w:tab/>
      </w:r>
      <w:r>
        <w:rPr>
          <w:noProof/>
        </w:rPr>
        <w:fldChar w:fldCharType="begin"/>
      </w:r>
      <w:r>
        <w:rPr>
          <w:noProof/>
        </w:rPr>
        <w:instrText xml:space="preserve"> PAGEREF _Toc235440564 \h </w:instrText>
      </w:r>
      <w:r>
        <w:rPr>
          <w:noProof/>
        </w:rPr>
      </w:r>
      <w:r>
        <w:rPr>
          <w:noProof/>
        </w:rPr>
        <w:fldChar w:fldCharType="separate"/>
      </w:r>
      <w:r>
        <w:rPr>
          <w:noProof/>
        </w:rPr>
        <w:t>11</w:t>
      </w:r>
      <w:r>
        <w:rPr>
          <w:noProof/>
        </w:rPr>
        <w:fldChar w:fldCharType="end"/>
      </w:r>
    </w:p>
    <w:p w14:paraId="410BA987" w14:textId="415965FF"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10. Proposed Solution</w:t>
      </w:r>
      <w:r>
        <w:rPr>
          <w:noProof/>
        </w:rPr>
        <w:tab/>
      </w:r>
      <w:r>
        <w:rPr>
          <w:noProof/>
        </w:rPr>
        <w:fldChar w:fldCharType="begin"/>
      </w:r>
      <w:r>
        <w:rPr>
          <w:noProof/>
        </w:rPr>
        <w:instrText xml:space="preserve"> PAGEREF _Toc235440565 \h </w:instrText>
      </w:r>
      <w:r>
        <w:rPr>
          <w:noProof/>
        </w:rPr>
      </w:r>
      <w:r>
        <w:rPr>
          <w:noProof/>
        </w:rPr>
        <w:fldChar w:fldCharType="separate"/>
      </w:r>
      <w:r>
        <w:rPr>
          <w:noProof/>
        </w:rPr>
        <w:t>12</w:t>
      </w:r>
      <w:r>
        <w:rPr>
          <w:noProof/>
        </w:rPr>
        <w:fldChar w:fldCharType="end"/>
      </w:r>
    </w:p>
    <w:p w14:paraId="777381F9" w14:textId="3A04000C"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11. Platform Overview</w:t>
      </w:r>
      <w:r>
        <w:rPr>
          <w:noProof/>
        </w:rPr>
        <w:tab/>
      </w:r>
      <w:r>
        <w:rPr>
          <w:noProof/>
        </w:rPr>
        <w:fldChar w:fldCharType="begin"/>
      </w:r>
      <w:r>
        <w:rPr>
          <w:noProof/>
        </w:rPr>
        <w:instrText xml:space="preserve"> PAGEREF _Toc235440566 \h </w:instrText>
      </w:r>
      <w:r>
        <w:rPr>
          <w:noProof/>
        </w:rPr>
      </w:r>
      <w:r>
        <w:rPr>
          <w:noProof/>
        </w:rPr>
        <w:fldChar w:fldCharType="separate"/>
      </w:r>
      <w:r>
        <w:rPr>
          <w:noProof/>
        </w:rPr>
        <w:t>13</w:t>
      </w:r>
      <w:r>
        <w:rPr>
          <w:noProof/>
        </w:rPr>
        <w:fldChar w:fldCharType="end"/>
      </w:r>
    </w:p>
    <w:p w14:paraId="254E16CF" w14:textId="1A5A64CB"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12. Current Use Case</w:t>
      </w:r>
      <w:r>
        <w:rPr>
          <w:noProof/>
        </w:rPr>
        <w:tab/>
      </w:r>
      <w:r>
        <w:rPr>
          <w:noProof/>
        </w:rPr>
        <w:fldChar w:fldCharType="begin"/>
      </w:r>
      <w:r>
        <w:rPr>
          <w:noProof/>
        </w:rPr>
        <w:instrText xml:space="preserve"> PAGEREF _Toc235440567 \h </w:instrText>
      </w:r>
      <w:r>
        <w:rPr>
          <w:noProof/>
        </w:rPr>
      </w:r>
      <w:r>
        <w:rPr>
          <w:noProof/>
        </w:rPr>
        <w:fldChar w:fldCharType="separate"/>
      </w:r>
      <w:r>
        <w:rPr>
          <w:noProof/>
        </w:rPr>
        <w:t>14</w:t>
      </w:r>
      <w:r>
        <w:rPr>
          <w:noProof/>
        </w:rPr>
        <w:fldChar w:fldCharType="end"/>
      </w:r>
    </w:p>
    <w:p w14:paraId="3FCDC5A9" w14:textId="697C5F7F"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13. Functional Scope</w:t>
      </w:r>
      <w:r>
        <w:rPr>
          <w:noProof/>
        </w:rPr>
        <w:tab/>
      </w:r>
      <w:r>
        <w:rPr>
          <w:noProof/>
        </w:rPr>
        <w:fldChar w:fldCharType="begin"/>
      </w:r>
      <w:r>
        <w:rPr>
          <w:noProof/>
        </w:rPr>
        <w:instrText xml:space="preserve"> PAGEREF _Toc235440568 \h </w:instrText>
      </w:r>
      <w:r>
        <w:rPr>
          <w:noProof/>
        </w:rPr>
      </w:r>
      <w:r>
        <w:rPr>
          <w:noProof/>
        </w:rPr>
        <w:fldChar w:fldCharType="separate"/>
      </w:r>
      <w:r>
        <w:rPr>
          <w:noProof/>
        </w:rPr>
        <w:t>15</w:t>
      </w:r>
      <w:r>
        <w:rPr>
          <w:noProof/>
        </w:rPr>
        <w:fldChar w:fldCharType="end"/>
      </w:r>
    </w:p>
    <w:p w14:paraId="5424C2A7" w14:textId="3B5D69CC"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13.1 Quiz Creation &amp; Content</w:t>
      </w:r>
      <w:r>
        <w:rPr>
          <w:noProof/>
        </w:rPr>
        <w:tab/>
      </w:r>
      <w:r>
        <w:rPr>
          <w:noProof/>
        </w:rPr>
        <w:fldChar w:fldCharType="begin"/>
      </w:r>
      <w:r>
        <w:rPr>
          <w:noProof/>
        </w:rPr>
        <w:instrText xml:space="preserve"> PAGEREF _Toc235440569 \h </w:instrText>
      </w:r>
      <w:r>
        <w:rPr>
          <w:noProof/>
        </w:rPr>
      </w:r>
      <w:r>
        <w:rPr>
          <w:noProof/>
        </w:rPr>
        <w:fldChar w:fldCharType="separate"/>
      </w:r>
      <w:r>
        <w:rPr>
          <w:noProof/>
        </w:rPr>
        <w:t>15</w:t>
      </w:r>
      <w:r>
        <w:rPr>
          <w:noProof/>
        </w:rPr>
        <w:fldChar w:fldCharType="end"/>
      </w:r>
    </w:p>
    <w:p w14:paraId="214C6DD7" w14:textId="550353F7"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13.2 Live Hosting &amp; Participation</w:t>
      </w:r>
      <w:r>
        <w:rPr>
          <w:noProof/>
        </w:rPr>
        <w:tab/>
      </w:r>
      <w:r>
        <w:rPr>
          <w:noProof/>
        </w:rPr>
        <w:fldChar w:fldCharType="begin"/>
      </w:r>
      <w:r>
        <w:rPr>
          <w:noProof/>
        </w:rPr>
        <w:instrText xml:space="preserve"> PAGEREF _Toc235440570 \h </w:instrText>
      </w:r>
      <w:r>
        <w:rPr>
          <w:noProof/>
        </w:rPr>
      </w:r>
      <w:r>
        <w:rPr>
          <w:noProof/>
        </w:rPr>
        <w:fldChar w:fldCharType="separate"/>
      </w:r>
      <w:r>
        <w:rPr>
          <w:noProof/>
        </w:rPr>
        <w:t>16</w:t>
      </w:r>
      <w:r>
        <w:rPr>
          <w:noProof/>
        </w:rPr>
        <w:fldChar w:fldCharType="end"/>
      </w:r>
    </w:p>
    <w:p w14:paraId="0C1E9D89" w14:textId="07AB7BC7"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13.3 Branding &amp; Experience</w:t>
      </w:r>
      <w:r>
        <w:rPr>
          <w:noProof/>
        </w:rPr>
        <w:tab/>
      </w:r>
      <w:r>
        <w:rPr>
          <w:noProof/>
        </w:rPr>
        <w:fldChar w:fldCharType="begin"/>
      </w:r>
      <w:r>
        <w:rPr>
          <w:noProof/>
        </w:rPr>
        <w:instrText xml:space="preserve"> PAGEREF _Toc235440571 \h </w:instrText>
      </w:r>
      <w:r>
        <w:rPr>
          <w:noProof/>
        </w:rPr>
      </w:r>
      <w:r>
        <w:rPr>
          <w:noProof/>
        </w:rPr>
        <w:fldChar w:fldCharType="separate"/>
      </w:r>
      <w:r>
        <w:rPr>
          <w:noProof/>
        </w:rPr>
        <w:t>16</w:t>
      </w:r>
      <w:r>
        <w:rPr>
          <w:noProof/>
        </w:rPr>
        <w:fldChar w:fldCharType="end"/>
      </w:r>
    </w:p>
    <w:p w14:paraId="0D8E4EBD" w14:textId="2FB02583"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13.4 Reporting &amp; Analytics</w:t>
      </w:r>
      <w:r>
        <w:rPr>
          <w:noProof/>
        </w:rPr>
        <w:tab/>
      </w:r>
      <w:r>
        <w:rPr>
          <w:noProof/>
        </w:rPr>
        <w:fldChar w:fldCharType="begin"/>
      </w:r>
      <w:r>
        <w:rPr>
          <w:noProof/>
        </w:rPr>
        <w:instrText xml:space="preserve"> PAGEREF _Toc235440572 \h </w:instrText>
      </w:r>
      <w:r>
        <w:rPr>
          <w:noProof/>
        </w:rPr>
      </w:r>
      <w:r>
        <w:rPr>
          <w:noProof/>
        </w:rPr>
        <w:fldChar w:fldCharType="separate"/>
      </w:r>
      <w:r>
        <w:rPr>
          <w:noProof/>
        </w:rPr>
        <w:t>17</w:t>
      </w:r>
      <w:r>
        <w:rPr>
          <w:noProof/>
        </w:rPr>
        <w:fldChar w:fldCharType="end"/>
      </w:r>
    </w:p>
    <w:p w14:paraId="276F6474" w14:textId="5F73CD83"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13.5 Administration &amp; Governance</w:t>
      </w:r>
      <w:r>
        <w:rPr>
          <w:noProof/>
        </w:rPr>
        <w:tab/>
      </w:r>
      <w:r>
        <w:rPr>
          <w:noProof/>
        </w:rPr>
        <w:fldChar w:fldCharType="begin"/>
      </w:r>
      <w:r>
        <w:rPr>
          <w:noProof/>
        </w:rPr>
        <w:instrText xml:space="preserve"> PAGEREF _Toc235440573 \h </w:instrText>
      </w:r>
      <w:r>
        <w:rPr>
          <w:noProof/>
        </w:rPr>
      </w:r>
      <w:r>
        <w:rPr>
          <w:noProof/>
        </w:rPr>
        <w:fldChar w:fldCharType="separate"/>
      </w:r>
      <w:r>
        <w:rPr>
          <w:noProof/>
        </w:rPr>
        <w:t>18</w:t>
      </w:r>
      <w:r>
        <w:rPr>
          <w:noProof/>
        </w:rPr>
        <w:fldChar w:fldCharType="end"/>
      </w:r>
    </w:p>
    <w:p w14:paraId="776D8E07" w14:textId="2CA763AB"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13.6 AI Capabilities</w:t>
      </w:r>
      <w:r>
        <w:rPr>
          <w:noProof/>
        </w:rPr>
        <w:tab/>
      </w:r>
      <w:r>
        <w:rPr>
          <w:noProof/>
        </w:rPr>
        <w:fldChar w:fldCharType="begin"/>
      </w:r>
      <w:r>
        <w:rPr>
          <w:noProof/>
        </w:rPr>
        <w:instrText xml:space="preserve"> PAGEREF _Toc235440574 \h </w:instrText>
      </w:r>
      <w:r>
        <w:rPr>
          <w:noProof/>
        </w:rPr>
      </w:r>
      <w:r>
        <w:rPr>
          <w:noProof/>
        </w:rPr>
        <w:fldChar w:fldCharType="separate"/>
      </w:r>
      <w:r>
        <w:rPr>
          <w:noProof/>
        </w:rPr>
        <w:t>19</w:t>
      </w:r>
      <w:r>
        <w:rPr>
          <w:noProof/>
        </w:rPr>
        <w:fldChar w:fldCharType="end"/>
      </w:r>
    </w:p>
    <w:p w14:paraId="40EEA538" w14:textId="2B248764"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14. AI Capabilities</w:t>
      </w:r>
      <w:r>
        <w:rPr>
          <w:noProof/>
        </w:rPr>
        <w:tab/>
      </w:r>
      <w:r>
        <w:rPr>
          <w:noProof/>
        </w:rPr>
        <w:fldChar w:fldCharType="begin"/>
      </w:r>
      <w:r>
        <w:rPr>
          <w:noProof/>
        </w:rPr>
        <w:instrText xml:space="preserve"> PAGEREF _Toc235440575 \h </w:instrText>
      </w:r>
      <w:r>
        <w:rPr>
          <w:noProof/>
        </w:rPr>
      </w:r>
      <w:r>
        <w:rPr>
          <w:noProof/>
        </w:rPr>
        <w:fldChar w:fldCharType="separate"/>
      </w:r>
      <w:r>
        <w:rPr>
          <w:noProof/>
        </w:rPr>
        <w:t>20</w:t>
      </w:r>
      <w:r>
        <w:rPr>
          <w:noProof/>
        </w:rPr>
        <w:fldChar w:fldCharType="end"/>
      </w:r>
    </w:p>
    <w:p w14:paraId="1E4526CB" w14:textId="2372E125"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14.1 Current Capabilities (Included)</w:t>
      </w:r>
      <w:r>
        <w:rPr>
          <w:noProof/>
        </w:rPr>
        <w:tab/>
      </w:r>
      <w:r>
        <w:rPr>
          <w:noProof/>
        </w:rPr>
        <w:fldChar w:fldCharType="begin"/>
      </w:r>
      <w:r>
        <w:rPr>
          <w:noProof/>
        </w:rPr>
        <w:instrText xml:space="preserve"> PAGEREF _Toc235440576 \h </w:instrText>
      </w:r>
      <w:r>
        <w:rPr>
          <w:noProof/>
        </w:rPr>
      </w:r>
      <w:r>
        <w:rPr>
          <w:noProof/>
        </w:rPr>
        <w:fldChar w:fldCharType="separate"/>
      </w:r>
      <w:r>
        <w:rPr>
          <w:noProof/>
        </w:rPr>
        <w:t>20</w:t>
      </w:r>
      <w:r>
        <w:rPr>
          <w:noProof/>
        </w:rPr>
        <w:fldChar w:fldCharType="end"/>
      </w:r>
    </w:p>
    <w:p w14:paraId="5DEDFE3B" w14:textId="2BE6A5F0"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14.2 Optional Capabilities (Scoped per Engagement)</w:t>
      </w:r>
      <w:r>
        <w:rPr>
          <w:noProof/>
        </w:rPr>
        <w:tab/>
      </w:r>
      <w:r>
        <w:rPr>
          <w:noProof/>
        </w:rPr>
        <w:fldChar w:fldCharType="begin"/>
      </w:r>
      <w:r>
        <w:rPr>
          <w:noProof/>
        </w:rPr>
        <w:instrText xml:space="preserve"> PAGEREF _Toc235440577 \h </w:instrText>
      </w:r>
      <w:r>
        <w:rPr>
          <w:noProof/>
        </w:rPr>
      </w:r>
      <w:r>
        <w:rPr>
          <w:noProof/>
        </w:rPr>
        <w:fldChar w:fldCharType="separate"/>
      </w:r>
      <w:r>
        <w:rPr>
          <w:noProof/>
        </w:rPr>
        <w:t>20</w:t>
      </w:r>
      <w:r>
        <w:rPr>
          <w:noProof/>
        </w:rPr>
        <w:fldChar w:fldCharType="end"/>
      </w:r>
    </w:p>
    <w:p w14:paraId="0E3EF806" w14:textId="156D9B95"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14.3 Future Roadmap</w:t>
      </w:r>
      <w:r>
        <w:rPr>
          <w:noProof/>
        </w:rPr>
        <w:tab/>
      </w:r>
      <w:r>
        <w:rPr>
          <w:noProof/>
        </w:rPr>
        <w:fldChar w:fldCharType="begin"/>
      </w:r>
      <w:r>
        <w:rPr>
          <w:noProof/>
        </w:rPr>
        <w:instrText xml:space="preserve"> PAGEREF _Toc235440578 \h </w:instrText>
      </w:r>
      <w:r>
        <w:rPr>
          <w:noProof/>
        </w:rPr>
      </w:r>
      <w:r>
        <w:rPr>
          <w:noProof/>
        </w:rPr>
        <w:fldChar w:fldCharType="separate"/>
      </w:r>
      <w:r>
        <w:rPr>
          <w:noProof/>
        </w:rPr>
        <w:t>21</w:t>
      </w:r>
      <w:r>
        <w:rPr>
          <w:noProof/>
        </w:rPr>
        <w:fldChar w:fldCharType="end"/>
      </w:r>
    </w:p>
    <w:p w14:paraId="20BDC8CF" w14:textId="0C235878"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15. User Roles</w:t>
      </w:r>
      <w:r>
        <w:rPr>
          <w:noProof/>
        </w:rPr>
        <w:tab/>
      </w:r>
      <w:r>
        <w:rPr>
          <w:noProof/>
        </w:rPr>
        <w:fldChar w:fldCharType="begin"/>
      </w:r>
      <w:r>
        <w:rPr>
          <w:noProof/>
        </w:rPr>
        <w:instrText xml:space="preserve"> PAGEREF _Toc235440579 \h </w:instrText>
      </w:r>
      <w:r>
        <w:rPr>
          <w:noProof/>
        </w:rPr>
      </w:r>
      <w:r>
        <w:rPr>
          <w:noProof/>
        </w:rPr>
        <w:fldChar w:fldCharType="separate"/>
      </w:r>
      <w:r>
        <w:rPr>
          <w:noProof/>
        </w:rPr>
        <w:t>22</w:t>
      </w:r>
      <w:r>
        <w:rPr>
          <w:noProof/>
        </w:rPr>
        <w:fldChar w:fldCharType="end"/>
      </w:r>
    </w:p>
    <w:p w14:paraId="2BCD83BE" w14:textId="4B03EDEB"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16. Reporting and Analytics</w:t>
      </w:r>
      <w:r>
        <w:rPr>
          <w:noProof/>
        </w:rPr>
        <w:tab/>
      </w:r>
      <w:r>
        <w:rPr>
          <w:noProof/>
        </w:rPr>
        <w:fldChar w:fldCharType="begin"/>
      </w:r>
      <w:r>
        <w:rPr>
          <w:noProof/>
        </w:rPr>
        <w:instrText xml:space="preserve"> PAGEREF _Toc235440580 \h </w:instrText>
      </w:r>
      <w:r>
        <w:rPr>
          <w:noProof/>
        </w:rPr>
      </w:r>
      <w:r>
        <w:rPr>
          <w:noProof/>
        </w:rPr>
        <w:fldChar w:fldCharType="separate"/>
      </w:r>
      <w:r>
        <w:rPr>
          <w:noProof/>
        </w:rPr>
        <w:t>23</w:t>
      </w:r>
      <w:r>
        <w:rPr>
          <w:noProof/>
        </w:rPr>
        <w:fldChar w:fldCharType="end"/>
      </w:r>
    </w:p>
    <w:p w14:paraId="0643E200" w14:textId="3CA0B0FB"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17. Technical Architecture</w:t>
      </w:r>
      <w:r>
        <w:rPr>
          <w:noProof/>
        </w:rPr>
        <w:tab/>
      </w:r>
      <w:r>
        <w:rPr>
          <w:noProof/>
        </w:rPr>
        <w:fldChar w:fldCharType="begin"/>
      </w:r>
      <w:r>
        <w:rPr>
          <w:noProof/>
        </w:rPr>
        <w:instrText xml:space="preserve"> PAGEREF _Toc235440581 \h </w:instrText>
      </w:r>
      <w:r>
        <w:rPr>
          <w:noProof/>
        </w:rPr>
      </w:r>
      <w:r>
        <w:rPr>
          <w:noProof/>
        </w:rPr>
        <w:fldChar w:fldCharType="separate"/>
      </w:r>
      <w:r>
        <w:rPr>
          <w:noProof/>
        </w:rPr>
        <w:t>25</w:t>
      </w:r>
      <w:r>
        <w:rPr>
          <w:noProof/>
        </w:rPr>
        <w:fldChar w:fldCharType="end"/>
      </w:r>
    </w:p>
    <w:p w14:paraId="7541C289" w14:textId="0489357A"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17.1 Technology Stack</w:t>
      </w:r>
      <w:r>
        <w:rPr>
          <w:noProof/>
        </w:rPr>
        <w:tab/>
      </w:r>
      <w:r>
        <w:rPr>
          <w:noProof/>
        </w:rPr>
        <w:fldChar w:fldCharType="begin"/>
      </w:r>
      <w:r>
        <w:rPr>
          <w:noProof/>
        </w:rPr>
        <w:instrText xml:space="preserve"> PAGEREF _Toc235440582 \h </w:instrText>
      </w:r>
      <w:r>
        <w:rPr>
          <w:noProof/>
        </w:rPr>
      </w:r>
      <w:r>
        <w:rPr>
          <w:noProof/>
        </w:rPr>
        <w:fldChar w:fldCharType="separate"/>
      </w:r>
      <w:r>
        <w:rPr>
          <w:noProof/>
        </w:rPr>
        <w:t>25</w:t>
      </w:r>
      <w:r>
        <w:rPr>
          <w:noProof/>
        </w:rPr>
        <w:fldChar w:fldCharType="end"/>
      </w:r>
    </w:p>
    <w:p w14:paraId="76D0E5DF" w14:textId="78309142"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17.2 Architecture Diagram</w:t>
      </w:r>
      <w:r>
        <w:rPr>
          <w:noProof/>
        </w:rPr>
        <w:tab/>
      </w:r>
      <w:r>
        <w:rPr>
          <w:noProof/>
        </w:rPr>
        <w:fldChar w:fldCharType="begin"/>
      </w:r>
      <w:r>
        <w:rPr>
          <w:noProof/>
        </w:rPr>
        <w:instrText xml:space="preserve"> PAGEREF _Toc235440583 \h </w:instrText>
      </w:r>
      <w:r>
        <w:rPr>
          <w:noProof/>
        </w:rPr>
      </w:r>
      <w:r>
        <w:rPr>
          <w:noProof/>
        </w:rPr>
        <w:fldChar w:fldCharType="separate"/>
      </w:r>
      <w:r>
        <w:rPr>
          <w:noProof/>
        </w:rPr>
        <w:t>25</w:t>
      </w:r>
      <w:r>
        <w:rPr>
          <w:noProof/>
        </w:rPr>
        <w:fldChar w:fldCharType="end"/>
      </w:r>
    </w:p>
    <w:p w14:paraId="470F8FA0" w14:textId="3E54BB83"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18. Real-Time Architecture</w:t>
      </w:r>
      <w:r>
        <w:rPr>
          <w:noProof/>
        </w:rPr>
        <w:tab/>
      </w:r>
      <w:r>
        <w:rPr>
          <w:noProof/>
        </w:rPr>
        <w:fldChar w:fldCharType="begin"/>
      </w:r>
      <w:r>
        <w:rPr>
          <w:noProof/>
        </w:rPr>
        <w:instrText xml:space="preserve"> PAGEREF _Toc235440584 \h </w:instrText>
      </w:r>
      <w:r>
        <w:rPr>
          <w:noProof/>
        </w:rPr>
      </w:r>
      <w:r>
        <w:rPr>
          <w:noProof/>
        </w:rPr>
        <w:fldChar w:fldCharType="separate"/>
      </w:r>
      <w:r>
        <w:rPr>
          <w:noProof/>
        </w:rPr>
        <w:t>27</w:t>
      </w:r>
      <w:r>
        <w:rPr>
          <w:noProof/>
        </w:rPr>
        <w:fldChar w:fldCharType="end"/>
      </w:r>
    </w:p>
    <w:p w14:paraId="3B05D174" w14:textId="4CA2058B"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18.1 Session Flow</w:t>
      </w:r>
      <w:r>
        <w:rPr>
          <w:noProof/>
        </w:rPr>
        <w:tab/>
      </w:r>
      <w:r>
        <w:rPr>
          <w:noProof/>
        </w:rPr>
        <w:fldChar w:fldCharType="begin"/>
      </w:r>
      <w:r>
        <w:rPr>
          <w:noProof/>
        </w:rPr>
        <w:instrText xml:space="preserve"> PAGEREF _Toc235440585 \h </w:instrText>
      </w:r>
      <w:r>
        <w:rPr>
          <w:noProof/>
        </w:rPr>
      </w:r>
      <w:r>
        <w:rPr>
          <w:noProof/>
        </w:rPr>
        <w:fldChar w:fldCharType="separate"/>
      </w:r>
      <w:r>
        <w:rPr>
          <w:noProof/>
        </w:rPr>
        <w:t>27</w:t>
      </w:r>
      <w:r>
        <w:rPr>
          <w:noProof/>
        </w:rPr>
        <w:fldChar w:fldCharType="end"/>
      </w:r>
    </w:p>
    <w:p w14:paraId="6941314B" w14:textId="7D91AF90"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18.2 Server-Authoritative Timing, Reconnection, and Why It Matters at Scale</w:t>
      </w:r>
      <w:r>
        <w:rPr>
          <w:noProof/>
        </w:rPr>
        <w:tab/>
      </w:r>
      <w:r>
        <w:rPr>
          <w:noProof/>
        </w:rPr>
        <w:fldChar w:fldCharType="begin"/>
      </w:r>
      <w:r>
        <w:rPr>
          <w:noProof/>
        </w:rPr>
        <w:instrText xml:space="preserve"> PAGEREF _Toc235440586 \h </w:instrText>
      </w:r>
      <w:r>
        <w:rPr>
          <w:noProof/>
        </w:rPr>
      </w:r>
      <w:r>
        <w:rPr>
          <w:noProof/>
        </w:rPr>
        <w:fldChar w:fldCharType="separate"/>
      </w:r>
      <w:r>
        <w:rPr>
          <w:noProof/>
        </w:rPr>
        <w:t>27</w:t>
      </w:r>
      <w:r>
        <w:rPr>
          <w:noProof/>
        </w:rPr>
        <w:fldChar w:fldCharType="end"/>
      </w:r>
    </w:p>
    <w:p w14:paraId="050D0881" w14:textId="4C3B675C"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lastRenderedPageBreak/>
        <w:t>19. Deployment Options</w:t>
      </w:r>
      <w:r>
        <w:rPr>
          <w:noProof/>
        </w:rPr>
        <w:tab/>
      </w:r>
      <w:r>
        <w:rPr>
          <w:noProof/>
        </w:rPr>
        <w:fldChar w:fldCharType="begin"/>
      </w:r>
      <w:r>
        <w:rPr>
          <w:noProof/>
        </w:rPr>
        <w:instrText xml:space="preserve"> PAGEREF _Toc235440587 \h </w:instrText>
      </w:r>
      <w:r>
        <w:rPr>
          <w:noProof/>
        </w:rPr>
      </w:r>
      <w:r>
        <w:rPr>
          <w:noProof/>
        </w:rPr>
        <w:fldChar w:fldCharType="separate"/>
      </w:r>
      <w:r>
        <w:rPr>
          <w:noProof/>
        </w:rPr>
        <w:t>28</w:t>
      </w:r>
      <w:r>
        <w:rPr>
          <w:noProof/>
        </w:rPr>
        <w:fldChar w:fldCharType="end"/>
      </w:r>
    </w:p>
    <w:p w14:paraId="600BF2CF" w14:textId="766894B9"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19.1 Cloud / SaaS</w:t>
      </w:r>
      <w:r>
        <w:rPr>
          <w:noProof/>
        </w:rPr>
        <w:tab/>
      </w:r>
      <w:r>
        <w:rPr>
          <w:noProof/>
        </w:rPr>
        <w:fldChar w:fldCharType="begin"/>
      </w:r>
      <w:r>
        <w:rPr>
          <w:noProof/>
        </w:rPr>
        <w:instrText xml:space="preserve"> PAGEREF _Toc235440588 \h </w:instrText>
      </w:r>
      <w:r>
        <w:rPr>
          <w:noProof/>
        </w:rPr>
      </w:r>
      <w:r>
        <w:rPr>
          <w:noProof/>
        </w:rPr>
        <w:fldChar w:fldCharType="separate"/>
      </w:r>
      <w:r>
        <w:rPr>
          <w:noProof/>
        </w:rPr>
        <w:t>28</w:t>
      </w:r>
      <w:r>
        <w:rPr>
          <w:noProof/>
        </w:rPr>
        <w:fldChar w:fldCharType="end"/>
      </w:r>
    </w:p>
    <w:p w14:paraId="456EE702" w14:textId="1F2546A7"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19.2 On-Premises</w:t>
      </w:r>
      <w:r>
        <w:rPr>
          <w:noProof/>
        </w:rPr>
        <w:tab/>
      </w:r>
      <w:r>
        <w:rPr>
          <w:noProof/>
        </w:rPr>
        <w:fldChar w:fldCharType="begin"/>
      </w:r>
      <w:r>
        <w:rPr>
          <w:noProof/>
        </w:rPr>
        <w:instrText xml:space="preserve"> PAGEREF _Toc235440589 \h </w:instrText>
      </w:r>
      <w:r>
        <w:rPr>
          <w:noProof/>
        </w:rPr>
      </w:r>
      <w:r>
        <w:rPr>
          <w:noProof/>
        </w:rPr>
        <w:fldChar w:fldCharType="separate"/>
      </w:r>
      <w:r>
        <w:rPr>
          <w:noProof/>
        </w:rPr>
        <w:t>28</w:t>
      </w:r>
      <w:r>
        <w:rPr>
          <w:noProof/>
        </w:rPr>
        <w:fldChar w:fldCharType="end"/>
      </w:r>
    </w:p>
    <w:p w14:paraId="4AA12293" w14:textId="478DDFFF"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19.3 Hybrid</w:t>
      </w:r>
      <w:r>
        <w:rPr>
          <w:noProof/>
        </w:rPr>
        <w:tab/>
      </w:r>
      <w:r>
        <w:rPr>
          <w:noProof/>
        </w:rPr>
        <w:fldChar w:fldCharType="begin"/>
      </w:r>
      <w:r>
        <w:rPr>
          <w:noProof/>
        </w:rPr>
        <w:instrText xml:space="preserve"> PAGEREF _Toc235440590 \h </w:instrText>
      </w:r>
      <w:r>
        <w:rPr>
          <w:noProof/>
        </w:rPr>
      </w:r>
      <w:r>
        <w:rPr>
          <w:noProof/>
        </w:rPr>
        <w:fldChar w:fldCharType="separate"/>
      </w:r>
      <w:r>
        <w:rPr>
          <w:noProof/>
        </w:rPr>
        <w:t>29</w:t>
      </w:r>
      <w:r>
        <w:rPr>
          <w:noProof/>
        </w:rPr>
        <w:fldChar w:fldCharType="end"/>
      </w:r>
    </w:p>
    <w:p w14:paraId="22B83BFE" w14:textId="5EFEB663"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20. Cybersecurity</w:t>
      </w:r>
      <w:r>
        <w:rPr>
          <w:noProof/>
        </w:rPr>
        <w:tab/>
      </w:r>
      <w:r>
        <w:rPr>
          <w:noProof/>
        </w:rPr>
        <w:fldChar w:fldCharType="begin"/>
      </w:r>
      <w:r>
        <w:rPr>
          <w:noProof/>
        </w:rPr>
        <w:instrText xml:space="preserve"> PAGEREF _Toc235440591 \h </w:instrText>
      </w:r>
      <w:r>
        <w:rPr>
          <w:noProof/>
        </w:rPr>
      </w:r>
      <w:r>
        <w:rPr>
          <w:noProof/>
        </w:rPr>
        <w:fldChar w:fldCharType="separate"/>
      </w:r>
      <w:r>
        <w:rPr>
          <w:noProof/>
        </w:rPr>
        <w:t>30</w:t>
      </w:r>
      <w:r>
        <w:rPr>
          <w:noProof/>
        </w:rPr>
        <w:fldChar w:fldCharType="end"/>
      </w:r>
    </w:p>
    <w:p w14:paraId="10E249E8" w14:textId="7D979D9B"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21. Data Protection</w:t>
      </w:r>
      <w:r>
        <w:rPr>
          <w:noProof/>
        </w:rPr>
        <w:tab/>
      </w:r>
      <w:r>
        <w:rPr>
          <w:noProof/>
        </w:rPr>
        <w:fldChar w:fldCharType="begin"/>
      </w:r>
      <w:r>
        <w:rPr>
          <w:noProof/>
        </w:rPr>
        <w:instrText xml:space="preserve"> PAGEREF _Toc235440592 \h </w:instrText>
      </w:r>
      <w:r>
        <w:rPr>
          <w:noProof/>
        </w:rPr>
      </w:r>
      <w:r>
        <w:rPr>
          <w:noProof/>
        </w:rPr>
        <w:fldChar w:fldCharType="separate"/>
      </w:r>
      <w:r>
        <w:rPr>
          <w:noProof/>
        </w:rPr>
        <w:t>31</w:t>
      </w:r>
      <w:r>
        <w:rPr>
          <w:noProof/>
        </w:rPr>
        <w:fldChar w:fldCharType="end"/>
      </w:r>
    </w:p>
    <w:p w14:paraId="5439F976" w14:textId="0679C319"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22. Data Ownership</w:t>
      </w:r>
      <w:r>
        <w:rPr>
          <w:noProof/>
        </w:rPr>
        <w:tab/>
      </w:r>
      <w:r>
        <w:rPr>
          <w:noProof/>
        </w:rPr>
        <w:fldChar w:fldCharType="begin"/>
      </w:r>
      <w:r>
        <w:rPr>
          <w:noProof/>
        </w:rPr>
        <w:instrText xml:space="preserve"> PAGEREF _Toc235440593 \h </w:instrText>
      </w:r>
      <w:r>
        <w:rPr>
          <w:noProof/>
        </w:rPr>
      </w:r>
      <w:r>
        <w:rPr>
          <w:noProof/>
        </w:rPr>
        <w:fldChar w:fldCharType="separate"/>
      </w:r>
      <w:r>
        <w:rPr>
          <w:noProof/>
        </w:rPr>
        <w:t>32</w:t>
      </w:r>
      <w:r>
        <w:rPr>
          <w:noProof/>
        </w:rPr>
        <w:fldChar w:fldCharType="end"/>
      </w:r>
    </w:p>
    <w:p w14:paraId="4F23F5D7" w14:textId="597BDA67"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23. Integration Options</w:t>
      </w:r>
      <w:r>
        <w:rPr>
          <w:noProof/>
        </w:rPr>
        <w:tab/>
      </w:r>
      <w:r>
        <w:rPr>
          <w:noProof/>
        </w:rPr>
        <w:fldChar w:fldCharType="begin"/>
      </w:r>
      <w:r>
        <w:rPr>
          <w:noProof/>
        </w:rPr>
        <w:instrText xml:space="preserve"> PAGEREF _Toc235440594 \h </w:instrText>
      </w:r>
      <w:r>
        <w:rPr>
          <w:noProof/>
        </w:rPr>
      </w:r>
      <w:r>
        <w:rPr>
          <w:noProof/>
        </w:rPr>
        <w:fldChar w:fldCharType="separate"/>
      </w:r>
      <w:r>
        <w:rPr>
          <w:noProof/>
        </w:rPr>
        <w:t>33</w:t>
      </w:r>
      <w:r>
        <w:rPr>
          <w:noProof/>
        </w:rPr>
        <w:fldChar w:fldCharType="end"/>
      </w:r>
    </w:p>
    <w:p w14:paraId="319B0802" w14:textId="0246236A"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24. Performance and Scalability</w:t>
      </w:r>
      <w:r>
        <w:rPr>
          <w:noProof/>
        </w:rPr>
        <w:tab/>
      </w:r>
      <w:r>
        <w:rPr>
          <w:noProof/>
        </w:rPr>
        <w:fldChar w:fldCharType="begin"/>
      </w:r>
      <w:r>
        <w:rPr>
          <w:noProof/>
        </w:rPr>
        <w:instrText xml:space="preserve"> PAGEREF _Toc235440595 \h </w:instrText>
      </w:r>
      <w:r>
        <w:rPr>
          <w:noProof/>
        </w:rPr>
      </w:r>
      <w:r>
        <w:rPr>
          <w:noProof/>
        </w:rPr>
        <w:fldChar w:fldCharType="separate"/>
      </w:r>
      <w:r>
        <w:rPr>
          <w:noProof/>
        </w:rPr>
        <w:t>34</w:t>
      </w:r>
      <w:r>
        <w:rPr>
          <w:noProof/>
        </w:rPr>
        <w:fldChar w:fldCharType="end"/>
      </w:r>
    </w:p>
    <w:p w14:paraId="238EF278" w14:textId="62CE97DF"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25. Implementation Methodology</w:t>
      </w:r>
      <w:r>
        <w:rPr>
          <w:noProof/>
        </w:rPr>
        <w:tab/>
      </w:r>
      <w:r>
        <w:rPr>
          <w:noProof/>
        </w:rPr>
        <w:fldChar w:fldCharType="begin"/>
      </w:r>
      <w:r>
        <w:rPr>
          <w:noProof/>
        </w:rPr>
        <w:instrText xml:space="preserve"> PAGEREF _Toc235440596 \h </w:instrText>
      </w:r>
      <w:r>
        <w:rPr>
          <w:noProof/>
        </w:rPr>
      </w:r>
      <w:r>
        <w:rPr>
          <w:noProof/>
        </w:rPr>
        <w:fldChar w:fldCharType="separate"/>
      </w:r>
      <w:r>
        <w:rPr>
          <w:noProof/>
        </w:rPr>
        <w:t>35</w:t>
      </w:r>
      <w:r>
        <w:rPr>
          <w:noProof/>
        </w:rPr>
        <w:fldChar w:fldCharType="end"/>
      </w:r>
    </w:p>
    <w:p w14:paraId="3DF8B2D8" w14:textId="1ED47C90"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26. Project Timeline</w:t>
      </w:r>
      <w:r>
        <w:rPr>
          <w:noProof/>
        </w:rPr>
        <w:tab/>
      </w:r>
      <w:r>
        <w:rPr>
          <w:noProof/>
        </w:rPr>
        <w:fldChar w:fldCharType="begin"/>
      </w:r>
      <w:r>
        <w:rPr>
          <w:noProof/>
        </w:rPr>
        <w:instrText xml:space="preserve"> PAGEREF _Toc235440597 \h </w:instrText>
      </w:r>
      <w:r>
        <w:rPr>
          <w:noProof/>
        </w:rPr>
      </w:r>
      <w:r>
        <w:rPr>
          <w:noProof/>
        </w:rPr>
        <w:fldChar w:fldCharType="separate"/>
      </w:r>
      <w:r>
        <w:rPr>
          <w:noProof/>
        </w:rPr>
        <w:t>37</w:t>
      </w:r>
      <w:r>
        <w:rPr>
          <w:noProof/>
        </w:rPr>
        <w:fldChar w:fldCharType="end"/>
      </w:r>
    </w:p>
    <w:p w14:paraId="08F1ECBA" w14:textId="2958B237" w:rsidR="00B7190A" w:rsidRDefault="00B7190A" w:rsidP="00B7190A">
      <w:pPr>
        <w:pStyle w:val="TOC2"/>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26.1 Milestones</w:t>
      </w:r>
      <w:r>
        <w:rPr>
          <w:noProof/>
        </w:rPr>
        <w:tab/>
      </w:r>
      <w:r>
        <w:rPr>
          <w:noProof/>
        </w:rPr>
        <w:fldChar w:fldCharType="begin"/>
      </w:r>
      <w:r>
        <w:rPr>
          <w:noProof/>
        </w:rPr>
        <w:instrText xml:space="preserve"> PAGEREF _Toc235440598 \h </w:instrText>
      </w:r>
      <w:r>
        <w:rPr>
          <w:noProof/>
        </w:rPr>
      </w:r>
      <w:r>
        <w:rPr>
          <w:noProof/>
        </w:rPr>
        <w:fldChar w:fldCharType="separate"/>
      </w:r>
      <w:r>
        <w:rPr>
          <w:noProof/>
        </w:rPr>
        <w:t>37</w:t>
      </w:r>
      <w:r>
        <w:rPr>
          <w:noProof/>
        </w:rPr>
        <w:fldChar w:fldCharType="end"/>
      </w:r>
    </w:p>
    <w:p w14:paraId="44135065" w14:textId="50D7E348"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27. Project Governance</w:t>
      </w:r>
      <w:r>
        <w:rPr>
          <w:noProof/>
        </w:rPr>
        <w:tab/>
      </w:r>
      <w:r>
        <w:rPr>
          <w:noProof/>
        </w:rPr>
        <w:fldChar w:fldCharType="begin"/>
      </w:r>
      <w:r>
        <w:rPr>
          <w:noProof/>
        </w:rPr>
        <w:instrText xml:space="preserve"> PAGEREF _Toc235440599 \h </w:instrText>
      </w:r>
      <w:r>
        <w:rPr>
          <w:noProof/>
        </w:rPr>
      </w:r>
      <w:r>
        <w:rPr>
          <w:noProof/>
        </w:rPr>
        <w:fldChar w:fldCharType="separate"/>
      </w:r>
      <w:r>
        <w:rPr>
          <w:noProof/>
        </w:rPr>
        <w:t>39</w:t>
      </w:r>
      <w:r>
        <w:rPr>
          <w:noProof/>
        </w:rPr>
        <w:fldChar w:fldCharType="end"/>
      </w:r>
    </w:p>
    <w:p w14:paraId="34000EB4" w14:textId="3107784C"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28. Deliverables</w:t>
      </w:r>
      <w:r>
        <w:rPr>
          <w:noProof/>
        </w:rPr>
        <w:tab/>
      </w:r>
      <w:r>
        <w:rPr>
          <w:noProof/>
        </w:rPr>
        <w:fldChar w:fldCharType="begin"/>
      </w:r>
      <w:r>
        <w:rPr>
          <w:noProof/>
        </w:rPr>
        <w:instrText xml:space="preserve"> PAGEREF _Toc235440600 \h </w:instrText>
      </w:r>
      <w:r>
        <w:rPr>
          <w:noProof/>
        </w:rPr>
      </w:r>
      <w:r>
        <w:rPr>
          <w:noProof/>
        </w:rPr>
        <w:fldChar w:fldCharType="separate"/>
      </w:r>
      <w:r>
        <w:rPr>
          <w:noProof/>
        </w:rPr>
        <w:t>40</w:t>
      </w:r>
      <w:r>
        <w:rPr>
          <w:noProof/>
        </w:rPr>
        <w:fldChar w:fldCharType="end"/>
      </w:r>
    </w:p>
    <w:p w14:paraId="0140EB55" w14:textId="14EB5FE9"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29. Training and Knowledge Transfer</w:t>
      </w:r>
      <w:r>
        <w:rPr>
          <w:noProof/>
        </w:rPr>
        <w:tab/>
      </w:r>
      <w:r>
        <w:rPr>
          <w:noProof/>
        </w:rPr>
        <w:fldChar w:fldCharType="begin"/>
      </w:r>
      <w:r>
        <w:rPr>
          <w:noProof/>
        </w:rPr>
        <w:instrText xml:space="preserve"> PAGEREF _Toc235440601 \h </w:instrText>
      </w:r>
      <w:r>
        <w:rPr>
          <w:noProof/>
        </w:rPr>
      </w:r>
      <w:r>
        <w:rPr>
          <w:noProof/>
        </w:rPr>
        <w:fldChar w:fldCharType="separate"/>
      </w:r>
      <w:r>
        <w:rPr>
          <w:noProof/>
        </w:rPr>
        <w:t>42</w:t>
      </w:r>
      <w:r>
        <w:rPr>
          <w:noProof/>
        </w:rPr>
        <w:fldChar w:fldCharType="end"/>
      </w:r>
    </w:p>
    <w:p w14:paraId="3290CA7C" w14:textId="2293F37A"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30. Testing and Acceptance</w:t>
      </w:r>
      <w:r>
        <w:rPr>
          <w:noProof/>
        </w:rPr>
        <w:tab/>
      </w:r>
      <w:r>
        <w:rPr>
          <w:noProof/>
        </w:rPr>
        <w:fldChar w:fldCharType="begin"/>
      </w:r>
      <w:r>
        <w:rPr>
          <w:noProof/>
        </w:rPr>
        <w:instrText xml:space="preserve"> PAGEREF _Toc235440602 \h </w:instrText>
      </w:r>
      <w:r>
        <w:rPr>
          <w:noProof/>
        </w:rPr>
      </w:r>
      <w:r>
        <w:rPr>
          <w:noProof/>
        </w:rPr>
        <w:fldChar w:fldCharType="separate"/>
      </w:r>
      <w:r>
        <w:rPr>
          <w:noProof/>
        </w:rPr>
        <w:t>43</w:t>
      </w:r>
      <w:r>
        <w:rPr>
          <w:noProof/>
        </w:rPr>
        <w:fldChar w:fldCharType="end"/>
      </w:r>
    </w:p>
    <w:p w14:paraId="77B4D022" w14:textId="3C64BC1A"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31. Support and Maintenance</w:t>
      </w:r>
      <w:r>
        <w:rPr>
          <w:noProof/>
        </w:rPr>
        <w:tab/>
      </w:r>
      <w:r>
        <w:rPr>
          <w:noProof/>
        </w:rPr>
        <w:fldChar w:fldCharType="begin"/>
      </w:r>
      <w:r>
        <w:rPr>
          <w:noProof/>
        </w:rPr>
        <w:instrText xml:space="preserve"> PAGEREF _Toc235440603 \h </w:instrText>
      </w:r>
      <w:r>
        <w:rPr>
          <w:noProof/>
        </w:rPr>
      </w:r>
      <w:r>
        <w:rPr>
          <w:noProof/>
        </w:rPr>
        <w:fldChar w:fldCharType="separate"/>
      </w:r>
      <w:r>
        <w:rPr>
          <w:noProof/>
        </w:rPr>
        <w:t>44</w:t>
      </w:r>
      <w:r>
        <w:rPr>
          <w:noProof/>
        </w:rPr>
        <w:fldChar w:fldCharType="end"/>
      </w:r>
    </w:p>
    <w:p w14:paraId="6EA1B2EE" w14:textId="7811FC38" w:rsidR="00B7190A" w:rsidRDefault="00B7190A" w:rsidP="00B7190A">
      <w:pPr>
        <w:pStyle w:val="TOC1"/>
        <w:tabs>
          <w:tab w:val="right" w:leader="dot" w:pos="9629"/>
        </w:tabs>
        <w:rPr>
          <w:rFonts w:asciiTheme="minorHAnsi" w:hAnsiTheme="minorHAnsi" w:cstheme="minorBidi"/>
          <w:noProof/>
          <w:kern w:val="2"/>
          <w14:ligatures w14:val="standardContextual"/>
        </w:rPr>
      </w:pPr>
      <w:r w:rsidRPr="00665207">
        <w:rPr>
          <w:rFonts w:ascii="Segoe UI" w:eastAsia="Times New Roman" w:hAnsi="Segoe UI" w:cs="Segoe UI"/>
          <w:noProof/>
          <w:lang w:val="en"/>
        </w:rPr>
        <w:t>32. SLA</w:t>
      </w:r>
      <w:r>
        <w:rPr>
          <w:noProof/>
        </w:rPr>
        <w:tab/>
      </w:r>
      <w:r>
        <w:rPr>
          <w:noProof/>
        </w:rPr>
        <w:fldChar w:fldCharType="begin"/>
      </w:r>
      <w:r>
        <w:rPr>
          <w:noProof/>
        </w:rPr>
        <w:instrText xml:space="preserve"> PAGEREF _Toc235440604 \h </w:instrText>
      </w:r>
      <w:r>
        <w:rPr>
          <w:noProof/>
        </w:rPr>
      </w:r>
      <w:r>
        <w:rPr>
          <w:noProof/>
        </w:rPr>
        <w:fldChar w:fldCharType="separate"/>
      </w:r>
      <w:r>
        <w:rPr>
          <w:noProof/>
        </w:rPr>
        <w:t>45</w:t>
      </w:r>
      <w:r>
        <w:rPr>
          <w:noProof/>
        </w:rPr>
        <w:fldChar w:fldCharType="end"/>
      </w:r>
    </w:p>
    <w:p w14:paraId="6BA81E71" w14:textId="4C5A3F62" w:rsidR="00A34B1F" w:rsidRDefault="00B7190A" w:rsidP="00B7190A">
      <w:pPr>
        <w:pStyle w:val="NormalWeb"/>
        <w:rPr>
          <w:rFonts w:ascii="Segoe UI" w:hAnsi="Segoe UI" w:cs="Segoe UI"/>
          <w:color w:val="1F2933"/>
          <w:sz w:val="21"/>
          <w:szCs w:val="21"/>
          <w:lang w:val="en"/>
        </w:rPr>
      </w:pPr>
      <w:r>
        <w:rPr>
          <w:rFonts w:ascii="Segoe UI" w:hAnsi="Segoe UI" w:cs="Segoe UI"/>
          <w:color w:val="1F2933"/>
          <w:sz w:val="21"/>
          <w:szCs w:val="21"/>
          <w:lang w:val="en"/>
        </w:rPr>
        <w:fldChar w:fldCharType="end"/>
      </w:r>
    </w:p>
    <w:p w14:paraId="2BA4D2C8" w14:textId="77777777" w:rsidR="00A34B1F" w:rsidRDefault="00A34B1F">
      <w:pPr>
        <w:pStyle w:val="Heading1"/>
        <w:rPr>
          <w:rFonts w:ascii="Segoe UI" w:eastAsia="Times New Roman" w:hAnsi="Segoe UI" w:cs="Segoe UI"/>
          <w:lang w:val="en"/>
        </w:rPr>
      </w:pPr>
      <w:bookmarkStart w:id="5" w:name="_Toc235440560"/>
      <w:r>
        <w:rPr>
          <w:rFonts w:ascii="Segoe UI" w:eastAsia="Times New Roman" w:hAnsi="Segoe UI" w:cs="Segoe UI"/>
          <w:lang w:val="en"/>
        </w:rPr>
        <w:lastRenderedPageBreak/>
        <w:t>5. Letter of Submission</w:t>
      </w:r>
      <w:bookmarkEnd w:id="5"/>
    </w:p>
    <w:p w14:paraId="6D3714B3"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[Client Name]</w:t>
      </w:r>
    </w:p>
    <w:p w14:paraId="75221341" w14:textId="77777777" w:rsidR="00A34B1F" w:rsidRDefault="00A34B1F">
      <w:pPr>
        <w:pStyle w:val="muted"/>
        <w:spacing w:before="120" w:beforeAutospacing="0" w:after="120" w:afterAutospacing="0"/>
        <w:rPr>
          <w:rFonts w:ascii="Segoe UI" w:hAnsi="Segoe UI" w:cs="Segoe UI"/>
          <w:lang w:val="en"/>
        </w:rPr>
      </w:pPr>
      <w:r>
        <w:rPr>
          <w:rFonts w:ascii="Segoe UI" w:hAnsi="Segoe UI" w:cs="Segoe UI"/>
          <w:lang w:val="en"/>
        </w:rPr>
        <w:t>[Date]</w:t>
      </w:r>
    </w:p>
    <w:p w14:paraId="3749AB1C"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Dear Sir / Madam,</w:t>
      </w:r>
    </w:p>
    <w:p w14:paraId="20362CD0" w14:textId="77777777" w:rsidR="00A34B1F" w:rsidRDefault="00A34B1F">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Subject: Proposal for the Supply, Configuration, and Support of the Live Quiz Platform</w:t>
      </w:r>
    </w:p>
    <w:p w14:paraId="5961E0A8"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On behalf of Altanfith Aldwaliah SPC, I would like to thank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for the opportunity to submit this proposal. We appreciate the time and consideration your team has invested in reviewing our solution, and we welcome the opportunity to support your organization's engagement, training, and assessment objectives.</w:t>
      </w:r>
    </w:p>
    <w:p w14:paraId="1AF4769C"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presents the Live Quiz Platform as an enterprise engagement, assessment, and analytics solution designed to help organizations such as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run live sessions, structured assessments, and knowledge-evaluation activities with the branding control, reporting depth, and security posture that a large organization requires — going beyond what general-purpose public quiz tools are built to offer. The following sections set out our understanding of your requirements, the proposed solution, our technical architecture and delivery methodology, and the commercial models available for this engagement.</w:t>
      </w:r>
    </w:p>
    <w:p w14:paraId="2F76EF87"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including its commercial terms, is valid for a period of 30 days from the date shown above. We remain available throughout this period to answer questions, arrange a live demonstration, or refine any aspect of this proposal to better reflect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requirements.</w:t>
      </w:r>
    </w:p>
    <w:p w14:paraId="00CFD202"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look forward to the possibility of working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and would welcome the opportunity to discuss this proposal further at your convenience.</w:t>
      </w:r>
    </w:p>
    <w:p w14:paraId="3FB84089" w14:textId="77777777" w:rsidR="00A34B1F" w:rsidRDefault="00A34B1F">
      <w:pPr>
        <w:pStyle w:val="NormalWeb"/>
        <w:spacing w:before="480"/>
        <w:rPr>
          <w:rFonts w:ascii="Segoe UI" w:hAnsi="Segoe UI" w:cs="Segoe UI"/>
          <w:color w:val="1F2933"/>
          <w:sz w:val="21"/>
          <w:szCs w:val="21"/>
          <w:lang w:val="en"/>
        </w:rPr>
      </w:pPr>
      <w:r>
        <w:rPr>
          <w:rFonts w:ascii="Segoe UI" w:hAnsi="Segoe UI" w:cs="Segoe UI"/>
          <w:color w:val="1F2933"/>
          <w:sz w:val="21"/>
          <w:szCs w:val="21"/>
          <w:lang w:val="en"/>
        </w:rPr>
        <w:t>Yours faithfully,</w:t>
      </w:r>
    </w:p>
    <w:p w14:paraId="1A90AF40" w14:textId="77777777" w:rsidR="00A34B1F" w:rsidRDefault="00A34B1F">
      <w:pPr>
        <w:pStyle w:val="NormalWeb"/>
        <w:spacing w:before="480"/>
        <w:rPr>
          <w:rFonts w:ascii="Segoe UI" w:hAnsi="Segoe UI" w:cs="Segoe UI"/>
          <w:color w:val="1F2933"/>
          <w:sz w:val="21"/>
          <w:szCs w:val="21"/>
          <w:lang w:val="en"/>
        </w:rPr>
      </w:pPr>
      <w:r>
        <w:rPr>
          <w:rStyle w:val="Strong"/>
          <w:rFonts w:ascii="Segoe UI" w:hAnsi="Segoe UI" w:cs="Segoe UI"/>
          <w:color w:val="1F2933"/>
          <w:sz w:val="21"/>
          <w:szCs w:val="21"/>
          <w:lang w:val="en"/>
        </w:rPr>
        <w:t>Haitham Al Lamki</w:t>
      </w:r>
      <w:r>
        <w:rPr>
          <w:rFonts w:ascii="Segoe UI" w:hAnsi="Segoe UI" w:cs="Segoe UI"/>
          <w:color w:val="1F2933"/>
          <w:sz w:val="21"/>
          <w:szCs w:val="21"/>
          <w:lang w:val="en"/>
        </w:rPr>
        <w:br/>
      </w:r>
      <w:r>
        <w:rPr>
          <w:rFonts w:ascii="Segoe UI" w:hAnsi="Segoe UI" w:cs="Segoe UI"/>
          <w:color w:val="1F2933"/>
          <w:sz w:val="21"/>
          <w:szCs w:val="21"/>
          <w:lang w:val="en"/>
        </w:rPr>
        <w:t>Altanfith Aldwaliah SPC</w:t>
      </w:r>
      <w:r>
        <w:rPr>
          <w:rFonts w:ascii="Segoe UI" w:hAnsi="Segoe UI" w:cs="Segoe UI"/>
          <w:color w:val="1F2933"/>
          <w:sz w:val="21"/>
          <w:szCs w:val="21"/>
          <w:lang w:val="en"/>
        </w:rPr>
        <w:br/>
        <w:t>Email: haitham@altanfith.com</w:t>
      </w:r>
      <w:r>
        <w:rPr>
          <w:rFonts w:ascii="Segoe UI" w:hAnsi="Segoe UI" w:cs="Segoe UI"/>
          <w:color w:val="1F2933"/>
          <w:sz w:val="21"/>
          <w:szCs w:val="21"/>
          <w:lang w:val="en"/>
        </w:rPr>
        <w:br/>
        <w:t>Phone: +968 9937 1775</w:t>
      </w:r>
      <w:r>
        <w:rPr>
          <w:rFonts w:ascii="Segoe UI" w:hAnsi="Segoe UI" w:cs="Segoe UI"/>
          <w:color w:val="1F2933"/>
          <w:sz w:val="21"/>
          <w:szCs w:val="21"/>
          <w:lang w:val="en"/>
        </w:rPr>
        <w:br/>
        <w:t>Sultanate of Oman</w:t>
      </w:r>
    </w:p>
    <w:p w14:paraId="3B9FE345" w14:textId="77777777" w:rsidR="00A34B1F" w:rsidRDefault="00A34B1F">
      <w:pPr>
        <w:pStyle w:val="Heading1"/>
        <w:rPr>
          <w:rFonts w:ascii="Segoe UI" w:eastAsia="Times New Roman" w:hAnsi="Segoe UI" w:cs="Segoe UI"/>
          <w:lang w:val="en"/>
        </w:rPr>
      </w:pPr>
      <w:bookmarkStart w:id="6" w:name="_Toc235440561"/>
      <w:r>
        <w:rPr>
          <w:rFonts w:ascii="Segoe UI" w:eastAsia="Times New Roman" w:hAnsi="Segoe UI" w:cs="Segoe UI"/>
          <w:lang w:val="en"/>
        </w:rPr>
        <w:lastRenderedPageBreak/>
        <w:t>6. Executive Summary</w:t>
      </w:r>
      <w:bookmarkEnd w:id="6"/>
    </w:p>
    <w:p w14:paraId="7FDEB0AB"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is pleased to present the Live Quiz Platform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as an enterprise engagement, assessment, and knowledge-evaluation platform — a flexible, customizable alternative to general public quiz tools, purpose-built for organizations that require organizational branding, structured reporting, and enterprise-grade controls around how live sessions and assessments are run.</w:t>
      </w:r>
    </w:p>
    <w:p w14:paraId="1D2C91D3"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not a concept or a prototype. It is already in real operational use at Abraj Energy Services, where it supports HSE meetings and employee engagement activities, with single live sessions that have brought together more than 100 participants at once. This production track record gives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confidence that the core platform is stable, functional, and capable of supporting real organizational events at meaningful scale, rather than a solution that exists only on paper.</w:t>
      </w:r>
    </w:p>
    <w:p w14:paraId="51E30F50"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 is bilingual by design, with a fully localized Arabic and English interface including complete right-to-left (RTL) support for Arabic — a capability that matters for organizations operating across Oman and the wider Gulf region, where sessions, dashboards, and reports need to be equally usable in either language.</w:t>
      </w:r>
    </w:p>
    <w:p w14:paraId="0ECF4ABB"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Content creation is accelerated through AI-assisted generation: administrators can generate a complete quiz from a topic or title, or from an uploaded PDF, Word document, URL, or pasted text, with the AI assigning suggested difficulty levels and answer explanations. Every AI-generated item is presented to an administrator for review and editing before it is used in a live session — the platform is designed to keep a human reviewer in the loop rather than publishing AI output automatically. Additional AI cap</w:t>
      </w:r>
      <w:r>
        <w:rPr>
          <w:rFonts w:ascii="Segoe UI" w:hAnsi="Segoe UI" w:cs="Segoe UI"/>
          <w:color w:val="1F2933"/>
          <w:sz w:val="21"/>
          <w:szCs w:val="21"/>
          <w:lang w:val="en"/>
        </w:rPr>
        <w:t xml:space="preserve">abilities, such as AI-assisted rewriting, suggestions, and generated visual themes, are available as optional, separately scoped additions, and a further set of AI-driven insights and reporting features sits on our future roadmap. </w:t>
      </w:r>
    </w:p>
    <w:p w14:paraId="4172932B" w14:textId="77777777" w:rsidR="00A34B1F" w:rsidRDefault="00A34B1F">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choose how the platform is hosted and delivered. Three deployment models are available: a fully managed cloud/SaaS option, a fully on-premises option in which the Express.js backend runs entirely within the client's own infrastructure, and a hybrid option that splits components between the two — the right choice depends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data residency, network, and cybersecurity requirements, and is confirmed through a dedicated infrastructure assessment rather than assumed in advance. Commercially, </w:t>
      </w:r>
      <w:r>
        <w:rPr>
          <w:rFonts w:ascii="Segoe UI" w:hAnsi="Segoe UI" w:cs="Segoe UI"/>
          <w:color w:val="1F2933"/>
          <w:sz w:val="21"/>
          <w:szCs w:val="21"/>
          <w:lang w:val="en"/>
        </w:rPr>
        <w:t xml:space="preserve">the platform is available under three models — an annual SaaS subscription, a one-time perpetual license, and an enterprise custom development partnership —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ownership and cost structure that best fits its procurement approach.</w:t>
      </w:r>
    </w:p>
    <w:p w14:paraId="6384AB0A"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Underpinning all of this is the fact that Altanfith Aldwaliah SPC is an Omani company: delivery, support, and communication happen locally, in Arabic and English, without the delays or handover friction that come with an offshore vendor. This local presence supports the value of the platform — it is the foundation the offer is delivered on, not the offer itself.</w:t>
      </w:r>
    </w:p>
    <w:tbl>
      <w:tblPr>
        <w:tblW w:w="5000" w:type="pct"/>
        <w:tblCellMar>
          <w:top w:w="15" w:type="dxa"/>
          <w:left w:w="15" w:type="dxa"/>
          <w:bottom w:w="15" w:type="dxa"/>
          <w:right w:w="15" w:type="dxa"/>
        </w:tblCellMar>
        <w:tblLook w:val="04A0" w:firstRow="1" w:lastRow="0" w:firstColumn="1" w:lastColumn="0" w:noHBand="0" w:noVBand="1"/>
      </w:tblPr>
      <w:tblGrid>
        <w:gridCol w:w="1851"/>
        <w:gridCol w:w="7768"/>
      </w:tblGrid>
      <w:tr w:rsidR="00000000" w14:paraId="4BEFE3F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3A29757"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Proposal at a glance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F94D659" w14:textId="77777777" w:rsidR="00A34B1F" w:rsidRDefault="00A34B1F">
            <w:pPr>
              <w:spacing w:before="160" w:after="160"/>
              <w:rPr>
                <w:rFonts w:ascii="Segoe UI" w:eastAsia="Times New Roman" w:hAnsi="Segoe UI" w:cs="Segoe UI"/>
                <w:b/>
                <w:bCs/>
                <w:color w:val="FFFFFF"/>
                <w:sz w:val="19"/>
                <w:szCs w:val="19"/>
              </w:rPr>
            </w:pPr>
          </w:p>
        </w:tc>
      </w:tr>
      <w:tr w:rsidR="00000000" w14:paraId="61A8A6E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09F13E"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Solution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78C84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Enterprise engagement, assessment &amp; analytics platform — Live Quiz Platform</w:t>
            </w:r>
          </w:p>
        </w:tc>
      </w:tr>
      <w:tr w:rsidR="00000000" w14:paraId="719AF58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170A70"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Proven use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F8387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 production at Abraj Energy Services — HSE meetings &amp; engagement sessions with 100+ live participants</w:t>
            </w:r>
          </w:p>
        </w:tc>
      </w:tr>
      <w:tr w:rsidR="00000000" w14:paraId="4218694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CA6D8C"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Deployment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D9798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Cloud/SaaS, fully on-premises, or hybrid — confirmed via infrastructure assessment</w:t>
            </w:r>
          </w:p>
        </w:tc>
      </w:tr>
      <w:tr w:rsidR="00000000" w14:paraId="0C1ECF2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8B3024"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Commercial models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C2B82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SaaS subscription · perpetual license · enterprise custom development partnership</w:t>
            </w:r>
          </w:p>
        </w:tc>
      </w:tr>
      <w:tr w:rsidR="00000000" w14:paraId="6CCD23F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FD42F1"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AI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FDC72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quiz generation from topic, PDF, document, URL, or text — always reviewed by an administrator before use</w:t>
            </w:r>
          </w:p>
        </w:tc>
      </w:tr>
      <w:tr w:rsidR="00000000" w14:paraId="31EE011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E89E0F"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Support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04604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Bronze / Silver / Gold packages, delivered locally from Oman in Arabic and English</w:t>
            </w:r>
          </w:p>
        </w:tc>
      </w:tr>
    </w:tbl>
    <w:p w14:paraId="12ACE13E" w14:textId="77777777" w:rsidR="00A34B1F" w:rsidRDefault="00A34B1F">
      <w:pPr>
        <w:pStyle w:val="Heading1"/>
        <w:rPr>
          <w:rFonts w:ascii="Segoe UI" w:eastAsia="Times New Roman" w:hAnsi="Segoe UI" w:cs="Segoe UI"/>
          <w:lang w:val="en"/>
        </w:rPr>
      </w:pPr>
      <w:bookmarkStart w:id="7" w:name="_Toc235440562"/>
      <w:r>
        <w:rPr>
          <w:rFonts w:ascii="Segoe UI" w:eastAsia="Times New Roman" w:hAnsi="Segoe UI" w:cs="Segoe UI"/>
          <w:lang w:val="en"/>
        </w:rPr>
        <w:lastRenderedPageBreak/>
        <w:t>7. About Altanfith Aldwaliah SPC</w:t>
      </w:r>
      <w:bookmarkEnd w:id="7"/>
    </w:p>
    <w:p w14:paraId="0D49D41B"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Altanfith Aldwaliah SPC is a Sultanate of Oman-based software company focused on designing, building, and supporting enterprise digital platforms for government, oil &amp; gas, education, and private-sector organizations. Our work centers on delivering software that is not simply installed and left running, but actively configured, branded, and adapted around each client's operational, reporting, and security requirements.</w:t>
      </w:r>
    </w:p>
    <w:p w14:paraId="645AB559"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Our core capability areas span custom application development, enterprise platform configuration, and applied artificial intelligence — including AI-assisted content generation of the kind used within the Live Quiz Platform itself. We combine this technical capability with a practical understanding of how large Omani organizations operate: the governance structures they answer to, the security review processes their IT and cybersecurity teams require, and the bilingual Arabic/English environment in which th</w:t>
      </w:r>
      <w:r>
        <w:rPr>
          <w:rFonts w:ascii="Segoe UI" w:hAnsi="Segoe UI" w:cs="Segoe UI"/>
          <w:color w:val="1F2933"/>
          <w:sz w:val="21"/>
          <w:szCs w:val="21"/>
          <w:lang w:val="en"/>
        </w:rPr>
        <w:t>eir staff and stakeholders work.</w:t>
      </w:r>
    </w:p>
    <w:p w14:paraId="06EBF140"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a direct expression of this approach. Rather than offering a generic, one-size-fits-all quiz tool, we designed and continue to develop a platform that can be shaped around each client's branding, workflows, integration landscape, and deployment preferences — and that is already proven in real operational use, as set out in Section 12 of this proposal.</w:t>
      </w:r>
    </w:p>
    <w:p w14:paraId="2492D687"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As an Omani company, Altanfith Aldwaliah SPC is able to engage directly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teams throughout discovery, delivery, and ongoing support, in Arabic and English, without reliance on an intermediary or an offshore support desk operating outside Gulf business hours.</w:t>
      </w:r>
    </w:p>
    <w:p w14:paraId="303CCE50" w14:textId="77777777" w:rsidR="00A34B1F" w:rsidRDefault="00A34B1F">
      <w:pPr>
        <w:pStyle w:val="Heading1"/>
        <w:rPr>
          <w:rFonts w:ascii="Segoe UI" w:eastAsia="Times New Roman" w:hAnsi="Segoe UI" w:cs="Segoe UI"/>
          <w:lang w:val="en"/>
        </w:rPr>
      </w:pPr>
      <w:bookmarkStart w:id="8" w:name="_Toc235440563"/>
      <w:r>
        <w:rPr>
          <w:rFonts w:ascii="Segoe UI" w:eastAsia="Times New Roman" w:hAnsi="Segoe UI" w:cs="Segoe UI"/>
          <w:lang w:val="en"/>
        </w:rPr>
        <w:lastRenderedPageBreak/>
        <w:t>8. Understanding of Client Requirements</w:t>
      </w:r>
      <w:bookmarkEnd w:id="8"/>
    </w:p>
    <w:p w14:paraId="27C3A1AA"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Large Omani organizations — whether in government, oil &amp; gas, education, or the private sector — typically approach an engagement and assessment platform with a common set of expectations that go well beyond what a free or public quiz tool is designed to provide. Based on our experience delivering the Live Quiz Platform into a live production environment, we understand these expectations to include the following.</w:t>
      </w:r>
    </w:p>
    <w:tbl>
      <w:tblPr>
        <w:tblW w:w="5000" w:type="pct"/>
        <w:tblCellMar>
          <w:top w:w="15" w:type="dxa"/>
          <w:left w:w="15" w:type="dxa"/>
          <w:bottom w:w="15" w:type="dxa"/>
          <w:right w:w="15" w:type="dxa"/>
        </w:tblCellMar>
        <w:tblLook w:val="04A0" w:firstRow="1" w:lastRow="0" w:firstColumn="1" w:lastColumn="0" w:noHBand="0" w:noVBand="1"/>
      </w:tblPr>
      <w:tblGrid>
        <w:gridCol w:w="3408"/>
        <w:gridCol w:w="6211"/>
      </w:tblGrid>
      <w:tr w:rsidR="00000000" w14:paraId="63C215B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71DBEFE"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Requirement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B34CDA5"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Our response</w:t>
            </w:r>
          </w:p>
        </w:tc>
      </w:tr>
      <w:tr w:rsidR="00000000" w14:paraId="30D1D76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C7371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control over branding, so that sessions and materials reflect the organization's own visual identity rather than a generic third-party look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9936A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Per-tenant organization branding, including logo and color customization, custom themes, custom backgrounds, and custom UI text, is built into the platform</w:t>
            </w:r>
          </w:p>
        </w:tc>
      </w:tr>
      <w:tr w:rsidR="00000000" w14:paraId="5F82A00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41F34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Control over where data resides and how it is retained, including the ability to keep sensitive data within the organization's own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1F72C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 fully on-premises deployment option is available, in which the backend and database can run entirely within </w:t>
            </w: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data retention and export terms are defined in the commercial agreement, and final data residency arrangements are confirmed during discovery and infrastructure assessment</w:t>
            </w:r>
          </w:p>
        </w:tc>
      </w:tr>
      <w:tr w:rsidR="00000000" w14:paraId="253F7AB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42B3D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genuinely bilingual Arabic and English experience, not a partial translation layered onto an English-first product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FA23E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interface, including full right-to-left (RTL) layout, is available in Arabic and English as a core, included capability</w:t>
            </w:r>
          </w:p>
        </w:tc>
      </w:tr>
      <w:tr w:rsidR="00000000" w14:paraId="6186DE2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5330E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Compatibility with the organization's internal cybersecurity review and approval process before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8885E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is developed with awareness of the OWASP Top 10 and includes controls such as role-based access, audit logging, and API rate limiting; the full architecture is made available for client security review, and deployment is subject to the client's cybersecurity assessment as described in Section 20</w:t>
            </w:r>
          </w:p>
        </w:tc>
      </w:tr>
      <w:tr w:rsidR="00000000" w14:paraId="0417860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04ED6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Practical integration paths into the organization's existing systems (identity, HR, reporting) rather than a fully closed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13AE6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REST APIs and a defined set of integration options are available; specific integrations such as single sign-on, HR systems, or Power BI can be configured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environment and are scoped individually, as described in Section 23</w:t>
            </w:r>
          </w:p>
        </w:tc>
      </w:tr>
      <w:tr w:rsidR="00000000" w14:paraId="046AD2C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7DB34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Local support that understands the organization's language, working hours, and escalation expectations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528FF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Aldwaliah SPC is based in the Sultanate of Oman and delivers support in Arabic and English under Bronze, Silver, and Gold packages, as described in Section 31</w:t>
            </w:r>
          </w:p>
        </w:tc>
      </w:tr>
    </w:tbl>
    <w:p w14:paraId="1124C50F"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These requirements shape both the design of the platform and the structure of this proposal: the sections that follow set out how the Live Quiz Platform, its architecture, and our delivery methodology are built to answer each of them directly.</w:t>
      </w:r>
    </w:p>
    <w:p w14:paraId="4AA87CBB" w14:textId="77777777" w:rsidR="00A34B1F" w:rsidRDefault="00A34B1F">
      <w:pPr>
        <w:pStyle w:val="Heading1"/>
        <w:rPr>
          <w:rFonts w:ascii="Segoe UI" w:eastAsia="Times New Roman" w:hAnsi="Segoe UI" w:cs="Segoe UI"/>
          <w:lang w:val="en"/>
        </w:rPr>
      </w:pPr>
      <w:bookmarkStart w:id="9" w:name="_Toc235440564"/>
      <w:r>
        <w:rPr>
          <w:rFonts w:ascii="Segoe UI" w:eastAsia="Times New Roman" w:hAnsi="Segoe UI" w:cs="Segoe UI"/>
          <w:lang w:val="en"/>
        </w:rPr>
        <w:lastRenderedPageBreak/>
        <w:t>9. Business Challenges</w:t>
      </w:r>
      <w:bookmarkEnd w:id="9"/>
    </w:p>
    <w:p w14:paraId="3CC5F92F"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Organizations that rely on free or general-purpose public quiz tools for internal engagement, training, or assessment activities commonly encounter a consistent set of limitations once usage moves beyond a single informal session.</w:t>
      </w:r>
    </w:p>
    <w:tbl>
      <w:tblPr>
        <w:tblW w:w="5000" w:type="pct"/>
        <w:tblCellMar>
          <w:top w:w="15" w:type="dxa"/>
          <w:left w:w="15" w:type="dxa"/>
          <w:bottom w:w="15" w:type="dxa"/>
          <w:right w:w="15" w:type="dxa"/>
        </w:tblCellMar>
        <w:tblLook w:val="04A0" w:firstRow="1" w:lastRow="0" w:firstColumn="1" w:lastColumn="0" w:noHBand="0" w:noVBand="1"/>
      </w:tblPr>
      <w:tblGrid>
        <w:gridCol w:w="3839"/>
        <w:gridCol w:w="5780"/>
      </w:tblGrid>
      <w:tr w:rsidR="00000000" w14:paraId="10CB9AC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F56575"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Challenge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E41E3C4"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Consequence</w:t>
            </w:r>
          </w:p>
        </w:tc>
      </w:tr>
      <w:tr w:rsidR="00000000" w14:paraId="40184A4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FD0C6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Generic public quiz tools are built for open, consumer use and lack enterprise controls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D16B9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 organizational branding, no role-based administration, and no ability to enforce the organization's own access and data-handling requirements</w:t>
            </w:r>
          </w:p>
        </w:tc>
      </w:tr>
      <w:tr w:rsidR="00000000" w14:paraId="00BE4DB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E767C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and question content is created ad hoc and scattered across individual accounts, files, and departments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8433A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Content cannot be reused, standardized, or governed centrally, and is often lost when the individual who created it moves on</w:t>
            </w:r>
          </w:p>
        </w:tc>
      </w:tr>
      <w:tr w:rsidR="00000000" w14:paraId="145D16E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B8E46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tools offer little to no organizational-level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1E818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cannot see participation, performance, or engagement trends across departments, sessions, or time — results exist only as isolated, per-session snapshots</w:t>
            </w:r>
          </w:p>
        </w:tc>
      </w:tr>
      <w:tr w:rsidR="00000000" w14:paraId="276EA5E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43F30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 created and collected through a public, third-party tool sits outside the organization's own environment and control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CFD6C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This raises data residency and governance concerns for organizations subject to internal compliance requirements or operating in regulated sectors, particularly where session content or participant data is sensitive</w:t>
            </w:r>
          </w:p>
        </w:tc>
      </w:tr>
      <w:tr w:rsidR="00000000" w14:paraId="7A925B3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DF1EB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Repetitive use of the same generic tool and format across HSE briefings and training sessions leads to engagement fatigue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AAABE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Participation and attention decline over time, undermining the safety and learning objectives the sessions are intended to support</w:t>
            </w:r>
          </w:p>
        </w:tc>
      </w:tr>
      <w:tr w:rsidR="00000000" w14:paraId="1A50310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C24F0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tools typically offer only a single, English-first interface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5FB28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Arabic-speaking participants and administrators are left with a translated or inconsistent experience, reducing usability and adoption across a bilingual workforce</w:t>
            </w:r>
          </w:p>
        </w:tc>
      </w:tr>
    </w:tbl>
    <w:p w14:paraId="11764A97"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and the enterprise delivery model set out in this proposal, are designed specifically to address these gaps — as described in the sections that follow.</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49B9FD6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18434C" w14:textId="77777777" w:rsidR="00A34B1F" w:rsidRDefault="00A34B1F">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TWO</w:t>
            </w:r>
          </w:p>
          <w:p w14:paraId="77DA762D" w14:textId="77777777" w:rsidR="00A34B1F" w:rsidRDefault="00A34B1F">
            <w:pPr>
              <w:pStyle w:val="NormalWeb"/>
              <w:rPr>
                <w:rFonts w:ascii="Segoe UI" w:hAnsi="Segoe UI" w:cs="Segoe UI"/>
                <w:b/>
                <w:bCs/>
                <w:color w:val="FFFFFF"/>
                <w:sz w:val="44"/>
                <w:szCs w:val="44"/>
              </w:rPr>
            </w:pPr>
            <w:r>
              <w:rPr>
                <w:rFonts w:ascii="Segoe UI" w:hAnsi="Segoe UI" w:cs="Segoe UI"/>
                <w:b/>
                <w:bCs/>
                <w:color w:val="FFFFFF"/>
                <w:sz w:val="44"/>
                <w:szCs w:val="44"/>
              </w:rPr>
              <w:t>The Solution</w:t>
            </w:r>
          </w:p>
          <w:p w14:paraId="12F485B4" w14:textId="77777777" w:rsidR="00A34B1F" w:rsidRDefault="00A34B1F">
            <w:pPr>
              <w:pStyle w:val="NormalWeb"/>
              <w:rPr>
                <w:rFonts w:ascii="Segoe UI" w:hAnsi="Segoe UI" w:cs="Segoe UI"/>
                <w:color w:val="1F2933"/>
              </w:rPr>
            </w:pPr>
            <w:r>
              <w:rPr>
                <w:rFonts w:ascii="Segoe UI" w:hAnsi="Segoe UI" w:cs="Segoe UI"/>
                <w:color w:val="1F2933"/>
              </w:rPr>
              <w:t>How the Live Quiz Platform answers the requirements and challenges set out above</w:t>
            </w:r>
          </w:p>
        </w:tc>
      </w:tr>
    </w:tbl>
    <w:p w14:paraId="7F3BC018" w14:textId="77777777" w:rsidR="00A34B1F" w:rsidRDefault="00A34B1F">
      <w:pPr>
        <w:pStyle w:val="Heading1"/>
        <w:rPr>
          <w:rFonts w:ascii="Segoe UI" w:eastAsia="Times New Roman" w:hAnsi="Segoe UI" w:cs="Segoe UI"/>
          <w:lang w:val="en"/>
        </w:rPr>
      </w:pPr>
      <w:bookmarkStart w:id="10" w:name="_Toc235440565"/>
      <w:r>
        <w:rPr>
          <w:rFonts w:ascii="Segoe UI" w:eastAsia="Times New Roman" w:hAnsi="Segoe UI" w:cs="Segoe UI"/>
          <w:lang w:val="en"/>
        </w:rPr>
        <w:lastRenderedPageBreak/>
        <w:t>10. Proposed Solution</w:t>
      </w:r>
      <w:bookmarkEnd w:id="10"/>
    </w:p>
    <w:p w14:paraId="32454AD6"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proposes the Live Quiz Platform as a single platform that brings together live engagement, structured assessment, and organizational analytics,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does not need to operate separate tools for running a live session, evaluating knowledge, and reporting on the results.</w:t>
      </w:r>
    </w:p>
    <w:p w14:paraId="2754BFCC"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designed to support a broad range of use cases across a large organization, from safety and training activities to recruitment and internal communication. The table below reflects the categories of use the platform is built to support; the specific mix relevant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be confirmed during discovery.</w:t>
      </w:r>
    </w:p>
    <w:tbl>
      <w:tblPr>
        <w:tblW w:w="5000" w:type="pct"/>
        <w:tblCellMar>
          <w:top w:w="15" w:type="dxa"/>
          <w:left w:w="15" w:type="dxa"/>
          <w:bottom w:w="15" w:type="dxa"/>
          <w:right w:w="15" w:type="dxa"/>
        </w:tblCellMar>
        <w:tblLook w:val="04A0" w:firstRow="1" w:lastRow="0" w:firstColumn="1" w:lastColumn="0" w:noHBand="0" w:noVBand="1"/>
      </w:tblPr>
      <w:tblGrid>
        <w:gridCol w:w="2621"/>
        <w:gridCol w:w="3518"/>
        <w:gridCol w:w="3480"/>
      </w:tblGrid>
      <w:tr w:rsidR="00000000" w14:paraId="0CCF2C5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94EB698"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Engagement &amp; Training</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BBFDBFB"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Assessment &amp; Evaluation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A670246"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Organizational &amp; Institutional</w:t>
            </w:r>
          </w:p>
        </w:tc>
      </w:tr>
      <w:tr w:rsidR="00000000" w14:paraId="0143F63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E4070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HSE meetings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EF5F9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Knowledge assessments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32932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Government awareness campaigns</w:t>
            </w:r>
          </w:p>
        </w:tc>
      </w:tr>
      <w:tr w:rsidR="00000000" w14:paraId="7CCB1CC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4A35F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Employee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03FF5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Recruitment assessments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68B3E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Educational institutions</w:t>
            </w:r>
          </w:p>
        </w:tc>
      </w:tr>
      <w:tr w:rsidR="00000000" w14:paraId="6D3A882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1BF96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Corporate workshops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3BA8A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Interviews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C2E0E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Schools &amp; universities</w:t>
            </w:r>
          </w:p>
        </w:tc>
      </w:tr>
      <w:tr w:rsidR="00000000" w14:paraId="0432F01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87487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Team-building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F4E64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Surveys &amp; polls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344B2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compliance assessments</w:t>
            </w:r>
          </w:p>
        </w:tc>
      </w:tr>
      <w:tr w:rsidR="00000000" w14:paraId="7D8F1B0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3106D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Corporate events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E0E65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Certification preparation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F2395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Employee onboarding</w:t>
            </w:r>
          </w:p>
        </w:tc>
      </w:tr>
      <w:tr w:rsidR="00000000" w14:paraId="07B847C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0D5DA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Competitions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CF5FE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Learning &amp; development programs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9E373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Safety awareness</w:t>
            </w:r>
          </w:p>
        </w:tc>
      </w:tr>
    </w:tbl>
    <w:p w14:paraId="43A5F26F"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It is important to be clear about how we position the Live Quiz Platform. Live, buzzer-style quiz tools such as Kahoot are widely known and are a useful category reference for the live-session experience — but the Live Quiz Platform is not a copy of any such tool. It is an enterprise platform: customizable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operational workflows, branding, reporting requirements, security posture, and integration landscape, and deployable in a way a general public tool is not, including fully on-premises within the client's own infrastructure. The sections that follow set out the platform itself (Sections 11–16), its technical architecture and deployment options (Sections 17–24), our delivery methodology (Sections 25–32), and the commercial terms under which it is offered (Sections 33 onward).</w:t>
      </w:r>
    </w:p>
    <w:p w14:paraId="50526A0F" w14:textId="77777777" w:rsidR="00A34B1F" w:rsidRDefault="00A34B1F">
      <w:pPr>
        <w:pStyle w:val="Heading1"/>
        <w:rPr>
          <w:rFonts w:ascii="Segoe UI" w:eastAsia="Times New Roman" w:hAnsi="Segoe UI" w:cs="Segoe UI"/>
          <w:lang w:val="en"/>
        </w:rPr>
      </w:pPr>
      <w:bookmarkStart w:id="11" w:name="_Toc235440566"/>
      <w:r>
        <w:rPr>
          <w:rFonts w:ascii="Segoe UI" w:eastAsia="Times New Roman" w:hAnsi="Segoe UI" w:cs="Segoe UI"/>
          <w:lang w:val="en"/>
        </w:rPr>
        <w:lastRenderedPageBreak/>
        <w:t>11. Platform Overview</w:t>
      </w:r>
      <w:bookmarkEnd w:id="11"/>
    </w:p>
    <w:p w14:paraId="04BBA435"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best understood through the lifecycle of a typical session, from creation through to reporting.</w:t>
      </w:r>
    </w:p>
    <w:p w14:paraId="2D97482B"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An administrator or quiz creator begins by building a quiz manually, or by using the platform's AI-assisted generation to produce a complete quiz from a topic, an uploaded PDF or Word document, a URL, or pasted text — with every AI-generated question reviewed and editable before use. The quiz is then branded with the organization's own logo, colors, and theme, and can be organized into a reusable question bank tagged by subject and difficulty for future sessions.</w:t>
      </w:r>
    </w:p>
    <w:p w14:paraId="1FB854F7"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When it is time to run a session, the host launches the quiz live. Participants join in seconds using a QR code, a direct link, or a session PIN, without needing to create an account. As the session runs, the platform is server-authoritative for timing and scoring: the server determines when a question opens and closes and calculates results, while participant and host devices render what is happening in real time — including live answer submission, a live leaderboard, and automatic reconnection if a partic</w:t>
      </w:r>
      <w:r>
        <w:rPr>
          <w:rFonts w:ascii="Segoe UI" w:hAnsi="Segoe UI" w:cs="Segoe UI"/>
          <w:color w:val="1F2933"/>
          <w:sz w:val="21"/>
          <w:szCs w:val="21"/>
          <w:lang w:val="en"/>
        </w:rPr>
        <w:t>ipant's network connection drops mid-session. At the close of the session, the top three participants are shown on a podium, alongside the full participant ranking.</w:t>
      </w:r>
    </w:p>
    <w:p w14:paraId="7DA05C2C"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After the session ends, results are not lost. They are captured in the platform's reporting and session history, giving administrators and management access to participation data, performance analysis, and historical comparisons across sessions — described in full in Section 16.</w:t>
      </w:r>
    </w:p>
    <w:p w14:paraId="0BFCF907"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Across this lifecycle, the platform's capability set is organized into six pillars, summarized below and detailed in full in Section 13.</w:t>
      </w:r>
    </w:p>
    <w:tbl>
      <w:tblPr>
        <w:tblW w:w="5000" w:type="pct"/>
        <w:tblCellMar>
          <w:top w:w="15" w:type="dxa"/>
          <w:left w:w="15" w:type="dxa"/>
          <w:bottom w:w="15" w:type="dxa"/>
          <w:right w:w="15" w:type="dxa"/>
        </w:tblCellMar>
        <w:tblLook w:val="04A0" w:firstRow="1" w:lastRow="0" w:firstColumn="1" w:lastColumn="0" w:noHBand="0" w:noVBand="1"/>
      </w:tblPr>
      <w:tblGrid>
        <w:gridCol w:w="2221"/>
        <w:gridCol w:w="7398"/>
      </w:tblGrid>
      <w:tr w:rsidR="00000000" w14:paraId="6215F61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2EA2A88"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Pillar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C6E6497"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covers</w:t>
            </w:r>
          </w:p>
        </w:tc>
      </w:tr>
      <w:tr w:rsidR="00000000" w14:paraId="04091C5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8F674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creation &amp; content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7B4B6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and question authoring, question banks, bulk import, templates, versioning, and auto-save/draft recovery</w:t>
            </w:r>
          </w:p>
        </w:tc>
      </w:tr>
      <w:tr w:rsidR="00000000" w14:paraId="703C85A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901E1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hosting &amp; participation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DF9AA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QR/link/PIN joining, real-time answers, live leaderboard, ranking, podium, and automatic reconnection</w:t>
            </w:r>
          </w:p>
        </w:tc>
      </w:tr>
      <w:tr w:rsidR="00000000" w14:paraId="5B68C1D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DF5BA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Branding &amp; experience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CC4B1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branding, custom themes and backgrounds, and a bilingual Arabic/English interface with full RTL support</w:t>
            </w:r>
          </w:p>
        </w:tc>
      </w:tr>
      <w:tr w:rsidR="00000000" w14:paraId="083432B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E20A5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&amp; analytics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B350E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Result summaries, performance and difficulty analysis, historical and department-level reporting, and Excel/CSV/PDF export</w:t>
            </w:r>
          </w:p>
        </w:tc>
      </w:tr>
      <w:tr w:rsidR="00000000" w14:paraId="2467611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8B880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Administration &amp; governance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EE48A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multi-tenant organization/department structure, multiple administrators, audit logs, and session history</w:t>
            </w:r>
          </w:p>
        </w:tc>
      </w:tr>
      <w:tr w:rsidR="00000000" w14:paraId="1DEBCAA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05022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capabilities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2F841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quiz generation from topic, document, URL, or text, with administrator review before use — detailed in Section 14</w:t>
            </w:r>
          </w:p>
        </w:tc>
      </w:tr>
    </w:tbl>
    <w:p w14:paraId="79CAA0D7" w14:textId="77777777" w:rsidR="00A34B1F" w:rsidRDefault="00A34B1F">
      <w:pPr>
        <w:pStyle w:val="Heading1"/>
        <w:rPr>
          <w:rFonts w:ascii="Segoe UI" w:eastAsia="Times New Roman" w:hAnsi="Segoe UI" w:cs="Segoe UI"/>
          <w:lang w:val="en"/>
        </w:rPr>
      </w:pPr>
      <w:bookmarkStart w:id="12" w:name="_Toc235440567"/>
      <w:r>
        <w:rPr>
          <w:rFonts w:ascii="Segoe UI" w:eastAsia="Times New Roman" w:hAnsi="Segoe UI" w:cs="Segoe UI"/>
          <w:lang w:val="en"/>
        </w:rPr>
        <w:lastRenderedPageBreak/>
        <w:t>12. Current Use Case</w:t>
      </w:r>
      <w:bookmarkEnd w:id="12"/>
    </w:p>
    <w:p w14:paraId="6D894413"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not a concept, prototype, or proof of demonstration — it is in real, ongoing operational use today.</w:t>
      </w:r>
    </w:p>
    <w:p w14:paraId="4605835D"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currently deployed and actively used within </w:t>
      </w:r>
      <w:r>
        <w:rPr>
          <w:rStyle w:val="Strong"/>
          <w:rFonts w:ascii="Segoe UI" w:hAnsi="Segoe UI" w:cs="Segoe UI"/>
          <w:color w:val="1F2933"/>
          <w:sz w:val="21"/>
          <w:szCs w:val="21"/>
          <w:lang w:val="en"/>
        </w:rPr>
        <w:t>Abraj Energy Services</w:t>
      </w:r>
      <w:r>
        <w:rPr>
          <w:rFonts w:ascii="Segoe UI" w:hAnsi="Segoe UI" w:cs="Segoe UI"/>
          <w:color w:val="1F2933"/>
          <w:sz w:val="21"/>
          <w:szCs w:val="21"/>
          <w:lang w:val="en"/>
        </w:rPr>
        <w:t>, where it supports HSE (Health, Safety, and Environment) meetings and employee engagement activities. Live sessions run on the platform have brought together more than 100 participants at once, joining and answering in real time within a single session.</w:t>
      </w:r>
    </w:p>
    <w:p w14:paraId="5C8D675E"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We present this use case as evidence that the core platform — live session hosting, real-time participation at meaningful scale, and the underlying engagement experience — is production-proven and functioning in a real organizational setting, rather than as a marketing claim or a controlled demonstration environment. We have not included any additional client references, dates, or testimonial statements beyond what is described above, and we will not represent any other deployment as a live production refer</w:t>
      </w:r>
      <w:r>
        <w:rPr>
          <w:rFonts w:ascii="Segoe UI" w:hAnsi="Segoe UI" w:cs="Segoe UI"/>
          <w:color w:val="1F2933"/>
          <w:sz w:val="21"/>
          <w:szCs w:val="21"/>
          <w:lang w:val="en"/>
        </w:rPr>
        <w:t>ence unless and until it is one.</w:t>
      </w:r>
    </w:p>
    <w:p w14:paraId="37C36029" w14:textId="77777777" w:rsidR="00A34B1F" w:rsidRDefault="00A34B1F">
      <w:pPr>
        <w:pStyle w:val="Heading1"/>
        <w:rPr>
          <w:rFonts w:ascii="Segoe UI" w:eastAsia="Times New Roman" w:hAnsi="Segoe UI" w:cs="Segoe UI"/>
          <w:lang w:val="en"/>
        </w:rPr>
      </w:pPr>
      <w:bookmarkStart w:id="13" w:name="_Toc235440568"/>
      <w:r>
        <w:rPr>
          <w:rFonts w:ascii="Segoe UI" w:eastAsia="Times New Roman" w:hAnsi="Segoe UI" w:cs="Segoe UI"/>
          <w:lang w:val="en"/>
        </w:rPr>
        <w:lastRenderedPageBreak/>
        <w:t>13. Functional Scope</w:t>
      </w:r>
      <w:bookmarkEnd w:id="13"/>
    </w:p>
    <w:p w14:paraId="5D4CC4A8"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tables below set out the platform's functional scope in full, grouped into six capability areas. Each capability is marked with its current status: </w:t>
      </w:r>
      <w:r>
        <w:rPr>
          <w:rStyle w:val="badge-inc1"/>
          <w:rFonts w:ascii="Segoe UI" w:hAnsi="Segoe UI" w:cs="Segoe UI"/>
          <w:sz w:val="21"/>
          <w:szCs w:val="21"/>
          <w:lang w:val="en"/>
        </w:rPr>
        <w:t>Included</w:t>
      </w:r>
      <w:r>
        <w:rPr>
          <w:rFonts w:ascii="Segoe UI" w:hAnsi="Segoe UI" w:cs="Segoe UI"/>
          <w:color w:val="1F2933"/>
          <w:sz w:val="21"/>
          <w:szCs w:val="21"/>
          <w:lang w:val="en"/>
        </w:rPr>
        <w:t xml:space="preserve"> capabilities are part of the core platform today;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capabilities are available as scoped additions; </w:t>
      </w:r>
      <w:r>
        <w:rPr>
          <w:rStyle w:val="badge-fut1"/>
          <w:rFonts w:ascii="Segoe UI" w:hAnsi="Segoe UI" w:cs="Segoe UI"/>
          <w:sz w:val="21"/>
          <w:szCs w:val="21"/>
          <w:lang w:val="en"/>
        </w:rPr>
        <w:t>Future enhancement</w:t>
      </w:r>
      <w:r>
        <w:rPr>
          <w:rFonts w:ascii="Segoe UI" w:hAnsi="Segoe UI" w:cs="Segoe UI"/>
          <w:color w:val="1F2933"/>
          <w:sz w:val="21"/>
          <w:szCs w:val="21"/>
          <w:lang w:val="en"/>
        </w:rPr>
        <w:t xml:space="preserve"> items are on our roadmap and not part of the current platform.</w:t>
      </w:r>
    </w:p>
    <w:p w14:paraId="652150F9" w14:textId="77777777" w:rsidR="00A34B1F" w:rsidRDefault="00A34B1F">
      <w:pPr>
        <w:pStyle w:val="Heading2"/>
        <w:rPr>
          <w:rFonts w:ascii="Segoe UI" w:eastAsia="Times New Roman" w:hAnsi="Segoe UI" w:cs="Segoe UI"/>
          <w:lang w:val="en"/>
        </w:rPr>
      </w:pPr>
      <w:bookmarkStart w:id="14" w:name="_Toc235440569"/>
      <w:r>
        <w:rPr>
          <w:rFonts w:ascii="Segoe UI" w:eastAsia="Times New Roman" w:hAnsi="Segoe UI" w:cs="Segoe UI"/>
          <w:lang w:val="en"/>
        </w:rPr>
        <w:t>13.1 Quiz Creation &amp; Content</w:t>
      </w:r>
      <w:bookmarkEnd w:id="14"/>
    </w:p>
    <w:tbl>
      <w:tblPr>
        <w:tblW w:w="5000" w:type="pct"/>
        <w:tblCellMar>
          <w:top w:w="15" w:type="dxa"/>
          <w:left w:w="15" w:type="dxa"/>
          <w:bottom w:w="15" w:type="dxa"/>
          <w:right w:w="15" w:type="dxa"/>
        </w:tblCellMar>
        <w:tblLook w:val="04A0" w:firstRow="1" w:lastRow="0" w:firstColumn="1" w:lastColumn="0" w:noHBand="0" w:noVBand="1"/>
      </w:tblPr>
      <w:tblGrid>
        <w:gridCol w:w="2261"/>
        <w:gridCol w:w="6344"/>
        <w:gridCol w:w="1014"/>
      </w:tblGrid>
      <w:tr w:rsidR="00000000" w14:paraId="65DD459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A2C4888"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FE76EB6"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C8F05C6"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1D30C10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C452D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creation &amp;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AB659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Create, edit, and manage quizzes from a central administration interface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651705"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9D7FEB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6A1BC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question types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B9AE1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Single-answer questions with 4–6 choices, multi-select questions, and true/false questions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59672D"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FD4727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52A1D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Polls &amp; surveys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18AC4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Non-scored question formats for gathering opinion or feedback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95BF31"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CB0045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38643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timers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69B78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time limits per question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B16657"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3B14BC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A2D38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Scoring &amp; points configuration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9885D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points and scoring rules per question or quiz</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52F5EC"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67E022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B40FF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&amp; private quizzes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D5634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Quizzes can be restricted to the organization or made available more broadly, per administrator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4F6261"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D3C2D1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26312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bank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38262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Central, reusable question repository organized by subject, tags, and difficulty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1C1AC7"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170D84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9BB62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Bulk import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A809B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Bulk import of questions from Excel, CSV, or Word files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890AD2"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673653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2517C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templates &amp; reuse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0DC3F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Reusable quiz templates to standardize content across sessions and departments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236200"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A13150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FF49F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Edit &amp; duplicate quizzes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C6930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Existing quizzes can be edited or duplicated as a starting point for new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025F6A"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72C81E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19F41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Auto-save during creation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B54A8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content is saved automatically while an administrator is authoring 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F8FDC7"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98287A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7F4C4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Draft recovery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9D70A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In-progress drafts can be recovered rather than lost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F83127"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0788CC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99D28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Versioning of quiz content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2E50D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Changes to quiz content are versioned over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E14DF5"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4BBD1019" w14:textId="77777777" w:rsidR="00A34B1F" w:rsidRDefault="00A34B1F">
      <w:pPr>
        <w:pStyle w:val="Heading2"/>
        <w:rPr>
          <w:rFonts w:ascii="Segoe UI" w:eastAsia="Times New Roman" w:hAnsi="Segoe UI" w:cs="Segoe UI"/>
          <w:lang w:val="en"/>
        </w:rPr>
      </w:pPr>
      <w:bookmarkStart w:id="15" w:name="_Toc235440570"/>
      <w:r>
        <w:rPr>
          <w:rFonts w:ascii="Segoe UI" w:eastAsia="Times New Roman" w:hAnsi="Segoe UI" w:cs="Segoe UI"/>
          <w:lang w:val="en"/>
        </w:rPr>
        <w:t>13.2 Live Hosting &amp; Participation</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2379"/>
        <w:gridCol w:w="6226"/>
        <w:gridCol w:w="1014"/>
      </w:tblGrid>
      <w:tr w:rsidR="00000000" w14:paraId="0292635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F1F6134"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1E0E4BA"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BB38F70"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7B0881F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F9445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hosting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C07C2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 a quiz as a live, timed session for a group of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66CE63"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D1AEFF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6F681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QR-code joining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F9994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a session by scanning a QR code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79AE28"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67DB37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7418B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Direct-link joining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E408D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via a direct shareable link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348922"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CE4641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59EAF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Game code / session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96E0D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by entering a short session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3B6D7F"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AF6B34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E1E1F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participant joining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A5848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appear in the host's lobby as they join, in real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D964A4"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1BB435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47AFF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answer submission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373B8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answers are submitted and processed in real time via WebSocket connection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F4645F"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D0A08E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1233B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leaderboard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57FE8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live leaderboard updates as answers are scored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CB65B8"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F25543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05581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107AA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 updates live throughout the session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3D9FB9"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867056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1DDF2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Top-three winners podium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060B1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podium view highlights the top three participants at session close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E384B6"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0BFF72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47C8C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EDDA7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Complete ranking of all participants, not only the top three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E2400C"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47BE4B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78A6F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Automatic reconnection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AA6D3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who lose network connectivity mid-session are automatically reconnected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2C606B"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00029727" w14:textId="77777777" w:rsidR="00A34B1F" w:rsidRDefault="00A34B1F">
      <w:pPr>
        <w:pStyle w:val="Heading2"/>
        <w:rPr>
          <w:rFonts w:ascii="Segoe UI" w:eastAsia="Times New Roman" w:hAnsi="Segoe UI" w:cs="Segoe UI"/>
          <w:lang w:val="en"/>
        </w:rPr>
      </w:pPr>
      <w:bookmarkStart w:id="16" w:name="_Toc235440571"/>
      <w:r>
        <w:rPr>
          <w:rFonts w:ascii="Segoe UI" w:eastAsia="Times New Roman" w:hAnsi="Segoe UI" w:cs="Segoe UI"/>
          <w:lang w:val="en"/>
        </w:rPr>
        <w:t>13.3 Branding &amp; Experience</w:t>
      </w:r>
      <w:bookmarkEnd w:id="16"/>
    </w:p>
    <w:tbl>
      <w:tblPr>
        <w:tblW w:w="5000" w:type="pct"/>
        <w:tblCellMar>
          <w:top w:w="15" w:type="dxa"/>
          <w:left w:w="15" w:type="dxa"/>
          <w:bottom w:w="15" w:type="dxa"/>
          <w:right w:w="15" w:type="dxa"/>
        </w:tblCellMar>
        <w:tblLook w:val="04A0" w:firstRow="1" w:lastRow="0" w:firstColumn="1" w:lastColumn="0" w:noHBand="0" w:noVBand="1"/>
      </w:tblPr>
      <w:tblGrid>
        <w:gridCol w:w="2200"/>
        <w:gridCol w:w="6401"/>
        <w:gridCol w:w="1018"/>
      </w:tblGrid>
      <w:tr w:rsidR="00000000" w14:paraId="42B0267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E6D7600"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lastRenderedPageBreak/>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854DF1A"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AFFCEDE"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2F28B70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C07AF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themes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3A70D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Visual themes can be selected or configured per organization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077537"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F013A4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01EDF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backgrounds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14057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background imagery for quizzes and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215D32"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6E32AD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24A97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branding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8598D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Per-tenant branding, including logo and color customization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443CF3"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C3CDFE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F0526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UI text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96056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Interface text can be adapted per organization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59D493"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E6BAD1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67366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 &amp; English interface with full RTL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9DF25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Complete bilingual interface with full right-to-left layout support for Arabic — positioned as a core enterprise bilingual capability, not an add-on translation layer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65E76B"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48D84C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DD290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languages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7C805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for interface languages beyond Arabic and English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5427F3"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742B5E31" w14:textId="77777777" w:rsidR="00A34B1F" w:rsidRDefault="00A34B1F">
      <w:pPr>
        <w:pStyle w:val="Heading2"/>
        <w:rPr>
          <w:rFonts w:ascii="Segoe UI" w:eastAsia="Times New Roman" w:hAnsi="Segoe UI" w:cs="Segoe UI"/>
          <w:lang w:val="en"/>
        </w:rPr>
      </w:pPr>
      <w:bookmarkStart w:id="17" w:name="_Toc235440572"/>
      <w:r>
        <w:rPr>
          <w:rFonts w:ascii="Segoe UI" w:eastAsia="Times New Roman" w:hAnsi="Segoe UI" w:cs="Segoe UI"/>
          <w:lang w:val="en"/>
        </w:rPr>
        <w:t>13.4 Reporting &amp; Analytics</w:t>
      </w:r>
      <w:bookmarkEnd w:id="17"/>
    </w:p>
    <w:tbl>
      <w:tblPr>
        <w:tblW w:w="5000" w:type="pct"/>
        <w:tblCellMar>
          <w:top w:w="15" w:type="dxa"/>
          <w:left w:w="15" w:type="dxa"/>
          <w:bottom w:w="15" w:type="dxa"/>
          <w:right w:w="15" w:type="dxa"/>
        </w:tblCellMar>
        <w:tblLook w:val="04A0" w:firstRow="1" w:lastRow="0" w:firstColumn="1" w:lastColumn="0" w:noHBand="0" w:noVBand="1"/>
      </w:tblPr>
      <w:tblGrid>
        <w:gridCol w:w="2581"/>
        <w:gridCol w:w="5154"/>
        <w:gridCol w:w="1884"/>
      </w:tblGrid>
      <w:tr w:rsidR="00000000" w14:paraId="734E1DD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EC97BE8"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2A341BB"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C1D8397"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1D37A8F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DB566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result summary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8DDDE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results at quiz and session level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8764ED"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E020F3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59256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FBCF6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Ranked results per 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519D08"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3C5216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0EFD5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 performers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18A66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Identification of top-performing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B57E90"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39D414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9FEE2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Correct/incorrect answer analysis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80E1D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Breakdown of correct versus incorrect responses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6465AC"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0E80F7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DE8A8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difficulty analysis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74297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Analysis of question-level difficulty based on response patterns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669ED5"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5CBD8E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A744D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completion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09C84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who completed a session and who did not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55E8AB"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00561A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4C648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B9E76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rolled up by department or organizational unit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F07D57"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177AB3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7FFE7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Historical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52CB7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to results and reports from past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537336"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A3410E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EF691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Session comparison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9E8B1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Comparison of results across multiple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4AC9FF"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FB105A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7962E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D3406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PDF format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5ABA7D"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54734A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33CDD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Excel &amp; 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6D4F1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Excel and CSV formats, with Arabic and English report headers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80A503"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8404E4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BB352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dashboard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F3984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Consolidated dashboard view for management-level oversight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26881B"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8D8382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06A9F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insights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B2615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4CF178" w14:textId="77777777" w:rsidR="00A34B1F" w:rsidRDefault="00A34B1F">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69EFD6EF" w14:textId="77777777" w:rsidR="00A34B1F" w:rsidRDefault="00A34B1F">
      <w:pPr>
        <w:pStyle w:val="Heading2"/>
        <w:rPr>
          <w:rFonts w:ascii="Segoe UI" w:eastAsia="Times New Roman" w:hAnsi="Segoe UI" w:cs="Segoe UI"/>
          <w:lang w:val="en"/>
        </w:rPr>
      </w:pPr>
      <w:bookmarkStart w:id="18" w:name="_Toc235440573"/>
      <w:r>
        <w:rPr>
          <w:rFonts w:ascii="Segoe UI" w:eastAsia="Times New Roman" w:hAnsi="Segoe UI" w:cs="Segoe UI"/>
          <w:lang w:val="en"/>
        </w:rPr>
        <w:t>13.5 Administration &amp; Governance</w:t>
      </w:r>
      <w:bookmarkEnd w:id="18"/>
    </w:p>
    <w:tbl>
      <w:tblPr>
        <w:tblW w:w="5000" w:type="pct"/>
        <w:tblCellMar>
          <w:top w:w="15" w:type="dxa"/>
          <w:left w:w="15" w:type="dxa"/>
          <w:bottom w:w="15" w:type="dxa"/>
          <w:right w:w="15" w:type="dxa"/>
        </w:tblCellMar>
        <w:tblLook w:val="04A0" w:firstRow="1" w:lastRow="0" w:firstColumn="1" w:lastColumn="0" w:noHBand="0" w:noVBand="1"/>
      </w:tblPr>
      <w:tblGrid>
        <w:gridCol w:w="2929"/>
        <w:gridCol w:w="5672"/>
        <w:gridCol w:w="1018"/>
      </w:tblGrid>
      <w:tr w:rsidR="00000000" w14:paraId="0B1F328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1157EB2"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0AA2D69"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B9CD835"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3EFED0D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E27DF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Administrative dashboard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0788E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Central dashboard for platform and content administration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1B0E43"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716AC9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9DCFC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user accounts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389D5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accounts scoped to the organization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F91E93"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32B6AF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E7153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26817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and permissions governed by role-based access control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4207A0"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0D8D26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B2E6B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departments/organizations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49A65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Multi-tenant support for multiple departments or organizations on one platform, each with isolated data</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7E2EDF"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D19C19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0C14B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administrators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83171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for more than one administrator per organization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194FDD"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E9F468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25158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Audit logs of administrative actions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B6A03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Administrative actions are recorded in an audit log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2C900F"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E8FAEE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61499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activity/login visibility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4FECB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user activity and login events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38BBF7"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97BE9C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3581E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session history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C628C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record of quiz sessions run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183A28"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824244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C4113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Soft-delete with archive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D5655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Deleted content is archived rather than permanently removed, supporting recovery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9D85D5"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F2B33B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919BC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Notification options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11FA2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notifications for administrators and/or participants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B6BADA"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476C748F" w14:textId="77777777" w:rsidR="00A34B1F" w:rsidRDefault="00A34B1F">
      <w:pPr>
        <w:pStyle w:val="Heading2"/>
        <w:rPr>
          <w:rFonts w:ascii="Segoe UI" w:eastAsia="Times New Roman" w:hAnsi="Segoe UI" w:cs="Segoe UI"/>
          <w:lang w:val="en"/>
        </w:rPr>
      </w:pPr>
      <w:bookmarkStart w:id="19" w:name="_Toc235440574"/>
      <w:r>
        <w:rPr>
          <w:rFonts w:ascii="Segoe UI" w:eastAsia="Times New Roman" w:hAnsi="Segoe UI" w:cs="Segoe UI"/>
          <w:lang w:val="en"/>
        </w:rPr>
        <w:t>13.6 AI Capabilities</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1649"/>
        <w:gridCol w:w="6929"/>
        <w:gridCol w:w="1041"/>
      </w:tblGrid>
      <w:tr w:rsidR="00000000" w14:paraId="1C88AC3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6C073CF"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0278838"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7A192C7"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0789A1C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44991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content generation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B20E0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 quizzes from a topic, an uploaded PDF or Word document, a URL, or pasted text, with administrator review before use. The full classification of current, optional, and future AI capabilities is set out in Section 14 (AI Capabilities)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CFFF8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See Section 14</w:t>
            </w:r>
          </w:p>
        </w:tc>
      </w:tr>
    </w:tbl>
    <w:p w14:paraId="460F0AD5" w14:textId="77777777" w:rsidR="00A34B1F" w:rsidRDefault="00A34B1F">
      <w:pPr>
        <w:pStyle w:val="Heading1"/>
        <w:rPr>
          <w:rFonts w:ascii="Segoe UI" w:eastAsia="Times New Roman" w:hAnsi="Segoe UI" w:cs="Segoe UI"/>
          <w:lang w:val="en"/>
        </w:rPr>
      </w:pPr>
      <w:bookmarkStart w:id="20" w:name="_Toc235440575"/>
      <w:r>
        <w:rPr>
          <w:rFonts w:ascii="Segoe UI" w:eastAsia="Times New Roman" w:hAnsi="Segoe UI" w:cs="Segoe UI"/>
          <w:lang w:val="en"/>
        </w:rPr>
        <w:lastRenderedPageBreak/>
        <w:t>14. AI Capabilities</w:t>
      </w:r>
      <w:bookmarkEnd w:id="20"/>
    </w:p>
    <w:p w14:paraId="4A1F5D2D"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includes AI-assisted content generation as a core, already-implemented capability, alongside a further set of AI features that are available as optional, separately scoped additions, and a set of AI-driven reporting capabilities that sit on our future roadmap. This section sets out the distinction clearly,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see exactly what is included today, what can be added, and what is planned for the future.</w:t>
      </w:r>
    </w:p>
    <w:p w14:paraId="30467259" w14:textId="77777777" w:rsidR="00A34B1F" w:rsidRDefault="00A34B1F">
      <w:pPr>
        <w:pStyle w:val="Heading2"/>
        <w:rPr>
          <w:rFonts w:ascii="Segoe UI" w:eastAsia="Times New Roman" w:hAnsi="Segoe UI" w:cs="Segoe UI"/>
          <w:lang w:val="en"/>
        </w:rPr>
      </w:pPr>
      <w:bookmarkStart w:id="21" w:name="_Toc235440576"/>
      <w:r>
        <w:rPr>
          <w:rFonts w:ascii="Segoe UI" w:eastAsia="Times New Roman" w:hAnsi="Segoe UI" w:cs="Segoe UI"/>
          <w:lang w:val="en"/>
        </w:rPr>
        <w:t>14.1 Current Capabilities (Included)</w:t>
      </w:r>
      <w:bookmarkEnd w:id="21"/>
    </w:p>
    <w:tbl>
      <w:tblPr>
        <w:tblW w:w="5000" w:type="pct"/>
        <w:tblCellMar>
          <w:top w:w="15" w:type="dxa"/>
          <w:left w:w="15" w:type="dxa"/>
          <w:bottom w:w="15" w:type="dxa"/>
          <w:right w:w="15" w:type="dxa"/>
        </w:tblCellMar>
        <w:tblLook w:val="04A0" w:firstRow="1" w:lastRow="0" w:firstColumn="1" w:lastColumn="0" w:noHBand="0" w:noVBand="1"/>
      </w:tblPr>
      <w:tblGrid>
        <w:gridCol w:w="2526"/>
        <w:gridCol w:w="6079"/>
        <w:gridCol w:w="1014"/>
      </w:tblGrid>
      <w:tr w:rsidR="00000000" w14:paraId="06C49E6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99D827F"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AA40486"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4E5FF9"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1117F35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FD080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 topic or title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29694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complete quiz, including questions and answer choices, is generated from a short topic or title prompt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B9A5BB"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5293F7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DE31F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an uploaded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3055E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the content of an uploaded PDF document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5D6CF2"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44BF1B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74202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an uploaded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0352C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the content of an uploaded Word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8BCD32"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C80FBC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860C8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 URL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9B25E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from the content of a supplied URL or webpage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09013B"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8FF53B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47650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pasted text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FC44D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text pasted into the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E9D0E2"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DF4166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3B05E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AI-assigned difficulty levels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5EE6E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Generated questions are automatically assigned a suggested difficulty level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CE1B25"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DB7FF3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0B9EE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answer explanations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DCF34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Generated questions include a suggested explanation for the correct answer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6E4E20"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01B7B6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C69AE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review before use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31530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All AI-generated content is presented to an administrator for review and editing before it is used in a live session or published to a question bank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4C1056"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3959CED3" w14:textId="77777777" w:rsidR="00A34B1F" w:rsidRDefault="00A34B1F">
      <w:pPr>
        <w:pStyle w:val="Heading2"/>
        <w:rPr>
          <w:rFonts w:ascii="Segoe UI" w:eastAsia="Times New Roman" w:hAnsi="Segoe UI" w:cs="Segoe UI"/>
          <w:lang w:val="en"/>
        </w:rPr>
      </w:pPr>
      <w:bookmarkStart w:id="22" w:name="_Toc235440577"/>
      <w:r>
        <w:rPr>
          <w:rFonts w:ascii="Segoe UI" w:eastAsia="Times New Roman" w:hAnsi="Segoe UI" w:cs="Segoe UI"/>
          <w:lang w:val="en"/>
        </w:rPr>
        <w:t>14.2 Optional Capabilities (Scoped per Engagement)</w:t>
      </w:r>
      <w:bookmarkEnd w:id="22"/>
    </w:p>
    <w:p w14:paraId="4560352B"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following AI capabilities are not part of the current platform but can be added as a separately scoped engagement.</w:t>
      </w:r>
    </w:p>
    <w:tbl>
      <w:tblPr>
        <w:tblW w:w="5000" w:type="pct"/>
        <w:tblCellMar>
          <w:top w:w="15" w:type="dxa"/>
          <w:left w:w="15" w:type="dxa"/>
          <w:bottom w:w="15" w:type="dxa"/>
          <w:right w:w="15" w:type="dxa"/>
        </w:tblCellMar>
        <w:tblLook w:val="04A0" w:firstRow="1" w:lastRow="0" w:firstColumn="1" w:lastColumn="0" w:noHBand="0" w:noVBand="1"/>
      </w:tblPr>
      <w:tblGrid>
        <w:gridCol w:w="2665"/>
        <w:gridCol w:w="5936"/>
        <w:gridCol w:w="1018"/>
      </w:tblGrid>
      <w:tr w:rsidR="00000000" w14:paraId="1B28E1C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6E4838C"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lastRenderedPageBreak/>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7974BED"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248BA88"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7EBEBB3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6A582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question suggestions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C38C6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AI-suggested questions offered while an administrator authors a quiz manually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ED4D63"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7F38D58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21D8B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answer suggestions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82EDB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AI-suggested answer choices for a manually authored question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E68994"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43F03D0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64389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question rewriting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DBDAA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rewriting of existing question text for clarity or tone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5F7AA1"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28FABE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629E9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difficulty re-adjustment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6A1D2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review and re-adjustment of difficulty levels across an existing question bank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EC6FF4"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7C24C96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C167C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quiz backgrounds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B5ED2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background imagery for quizzes and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57675A"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38132E2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4F48D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themes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AB150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visual themes for the platform interface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52D070"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5D44148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DF7E3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result summaries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F9E63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narrative summary of a single session's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01847A"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17D3B76A" w14:textId="77777777" w:rsidR="00A34B1F" w:rsidRDefault="00A34B1F">
      <w:pPr>
        <w:pStyle w:val="Heading2"/>
        <w:rPr>
          <w:rFonts w:ascii="Segoe UI" w:eastAsia="Times New Roman" w:hAnsi="Segoe UI" w:cs="Segoe UI"/>
          <w:lang w:val="en"/>
        </w:rPr>
      </w:pPr>
      <w:bookmarkStart w:id="23" w:name="_Toc235440578"/>
      <w:r>
        <w:rPr>
          <w:rFonts w:ascii="Segoe UI" w:eastAsia="Times New Roman" w:hAnsi="Segoe UI" w:cs="Segoe UI"/>
          <w:lang w:val="en"/>
        </w:rPr>
        <w:t>14.3 Future Roadmap</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842"/>
        <w:gridCol w:w="4920"/>
        <w:gridCol w:w="1857"/>
      </w:tblGrid>
      <w:tr w:rsidR="00000000" w14:paraId="75BED50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0301E79"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10DCDF1"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9A2630D"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326B562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FEFED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83C98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and trend analysis across historical session data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D76C88" w14:textId="77777777" w:rsidR="00A34B1F" w:rsidRDefault="00A34B1F">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r w:rsidR="00000000" w14:paraId="04B7290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D3F6B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management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ACDCA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summary reports intended for management-level review</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9A4E35" w14:textId="77777777" w:rsidR="00A34B1F" w:rsidRDefault="00A34B1F">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01AE19B0" w14:textId="77777777" w:rsidR="00A34B1F" w:rsidRDefault="00A34B1F">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AI features are delivered using a commercial large-language-model API; usage allowances, and any associated API costs, are defined in the applicable commercial model (see Section 33). Cloud-based AI generation requires internet connectivity. A private, on-premises AI deployment is a future roadmap option that would depend on separate, dedicated infrastructure and is not part of the current platform. As with any AI-generated content,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should review AI-generated quizzes, questions, and summaries before they are used in a live or published context.</w:t>
      </w:r>
    </w:p>
    <w:p w14:paraId="0F1C1922" w14:textId="77777777" w:rsidR="00A34B1F" w:rsidRDefault="00A34B1F">
      <w:pPr>
        <w:pStyle w:val="Heading1"/>
        <w:rPr>
          <w:rFonts w:ascii="Segoe UI" w:eastAsia="Times New Roman" w:hAnsi="Segoe UI" w:cs="Segoe UI"/>
          <w:lang w:val="en"/>
        </w:rPr>
      </w:pPr>
      <w:bookmarkStart w:id="24" w:name="_Toc235440579"/>
      <w:r>
        <w:rPr>
          <w:rFonts w:ascii="Segoe UI" w:eastAsia="Times New Roman" w:hAnsi="Segoe UI" w:cs="Segoe UI"/>
          <w:lang w:val="en"/>
        </w:rPr>
        <w:lastRenderedPageBreak/>
        <w:t>15. User Roles</w:t>
      </w:r>
      <w:bookmarkEnd w:id="24"/>
    </w:p>
    <w:p w14:paraId="43FCD691"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platform's role-based access model is designed to reflect how a large organization actually assigns administrative and operational responsibility, rather than offering a single flat administrator account.</w:t>
      </w:r>
    </w:p>
    <w:tbl>
      <w:tblPr>
        <w:tblW w:w="5000" w:type="pct"/>
        <w:tblCellMar>
          <w:top w:w="15" w:type="dxa"/>
          <w:left w:w="15" w:type="dxa"/>
          <w:bottom w:w="15" w:type="dxa"/>
          <w:right w:w="15" w:type="dxa"/>
        </w:tblCellMar>
        <w:tblLook w:val="04A0" w:firstRow="1" w:lastRow="0" w:firstColumn="1" w:lastColumn="0" w:noHBand="0" w:noVBand="1"/>
      </w:tblPr>
      <w:tblGrid>
        <w:gridCol w:w="2735"/>
        <w:gridCol w:w="6884"/>
      </w:tblGrid>
      <w:tr w:rsidR="00000000" w14:paraId="7319506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5C03F68"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B4D649A"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w:t>
            </w:r>
          </w:p>
        </w:tc>
      </w:tr>
      <w:tr w:rsidR="00000000" w14:paraId="78DF83E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2E147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Super Administrator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D4417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platform administration across all organizations and departments</w:t>
            </w:r>
          </w:p>
        </w:tc>
      </w:tr>
      <w:tr w:rsidR="00000000" w14:paraId="0F9CDA3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D559A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Administrator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DCBF1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Manages a single organization, including its users, branding, and content</w:t>
            </w:r>
          </w:p>
        </w:tc>
      </w:tr>
      <w:tr w:rsidR="00000000" w14:paraId="6E0310D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6CFEB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 Administrator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73D6C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Manages a department's content and users within an organization</w:t>
            </w:r>
          </w:p>
        </w:tc>
      </w:tr>
      <w:tr w:rsidR="00000000" w14:paraId="5DDF2C4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A9062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Creator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5EEE0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Authors quizzes and question banks</w:t>
            </w:r>
          </w:p>
        </w:tc>
      </w:tr>
      <w:tr w:rsidR="00000000" w14:paraId="60B0FC3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B3A66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03466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Runs training-oriented sessions</w:t>
            </w:r>
          </w:p>
        </w:tc>
      </w:tr>
      <w:tr w:rsidR="00000000" w14:paraId="46729A6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C7B9A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2AB51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Runs live sessions</w:t>
            </w:r>
          </w:p>
        </w:tc>
      </w:tr>
      <w:tr w:rsidR="00000000" w14:paraId="711109F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9B808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Viewer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9FC33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Views results</w:t>
            </w:r>
          </w:p>
        </w:tc>
      </w:tr>
      <w:tr w:rsidR="00000000" w14:paraId="1F155F1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B7512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B0D62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Joins and answers in a live session — no account required</w:t>
            </w:r>
          </w:p>
        </w:tc>
      </w:tr>
      <w:tr w:rsidR="00000000" w14:paraId="6EF6B2A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EE51B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Auditor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C1E18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access to audit and activity logs</w:t>
            </w:r>
          </w:p>
        </w:tc>
      </w:tr>
      <w:tr w:rsidR="00000000" w14:paraId="36CE0F1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3118E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User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93F94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access to dashboards and reports</w:t>
            </w:r>
          </w:p>
        </w:tc>
      </w:tr>
    </w:tbl>
    <w:p w14:paraId="1A252B4A" w14:textId="77777777" w:rsidR="00A34B1F" w:rsidRDefault="00A34B1F">
      <w:pPr>
        <w:pStyle w:val="muted"/>
        <w:spacing w:before="120" w:beforeAutospacing="0" w:after="120" w:afterAutospacing="0"/>
        <w:rPr>
          <w:rFonts w:ascii="Segoe UI" w:hAnsi="Segoe UI" w:cs="Segoe UI"/>
          <w:lang w:val="en"/>
        </w:rPr>
      </w:pPr>
      <w:r>
        <w:rPr>
          <w:rFonts w:ascii="Segoe UI" w:hAnsi="Segoe UI" w:cs="Segoe UI"/>
          <w:lang w:val="en"/>
        </w:rPr>
        <w:t xml:space="preserve">The final role model applied for </w:t>
      </w:r>
      <w:r>
        <w:rPr>
          <w:rStyle w:val="Strong"/>
          <w:rFonts w:ascii="Segoe UI" w:hAnsi="Segoe UI" w:cs="Segoe UI"/>
          <w:lang w:val="en"/>
        </w:rPr>
        <w:t>[Client Name]</w:t>
      </w:r>
      <w:r>
        <w:rPr>
          <w:rFonts w:ascii="Segoe UI" w:hAnsi="Segoe UI" w:cs="Segoe UI"/>
          <w:lang w:val="en"/>
        </w:rPr>
        <w:t xml:space="preserve"> is configured during discovery, and can be mapped to the client's own directory groups where a single sign-on integration is included in scope (see Section 23).</w:t>
      </w:r>
    </w:p>
    <w:p w14:paraId="1EFA7221" w14:textId="77777777" w:rsidR="00A34B1F" w:rsidRDefault="00A34B1F">
      <w:pPr>
        <w:pStyle w:val="Heading1"/>
        <w:rPr>
          <w:rFonts w:ascii="Segoe UI" w:eastAsia="Times New Roman" w:hAnsi="Segoe UI" w:cs="Segoe UI"/>
          <w:lang w:val="en"/>
        </w:rPr>
      </w:pPr>
      <w:bookmarkStart w:id="25" w:name="_Toc235440580"/>
      <w:r>
        <w:rPr>
          <w:rFonts w:ascii="Segoe UI" w:eastAsia="Times New Roman" w:hAnsi="Segoe UI" w:cs="Segoe UI"/>
          <w:lang w:val="en"/>
        </w:rPr>
        <w:lastRenderedPageBreak/>
        <w:t>16. Reporting and Analytics</w:t>
      </w:r>
      <w:bookmarkEnd w:id="25"/>
    </w:p>
    <w:p w14:paraId="08F910F7"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platform's reporting and analytics capabilities give administrators and management visibility into participation, performance, and engagement, both at the level of a single session and across the organization's session history over time.</w:t>
      </w:r>
    </w:p>
    <w:tbl>
      <w:tblPr>
        <w:tblW w:w="5000" w:type="pct"/>
        <w:tblCellMar>
          <w:top w:w="15" w:type="dxa"/>
          <w:left w:w="15" w:type="dxa"/>
          <w:bottom w:w="15" w:type="dxa"/>
          <w:right w:w="15" w:type="dxa"/>
        </w:tblCellMar>
        <w:tblLook w:val="04A0" w:firstRow="1" w:lastRow="0" w:firstColumn="1" w:lastColumn="0" w:noHBand="0" w:noVBand="1"/>
      </w:tblPr>
      <w:tblGrid>
        <w:gridCol w:w="2783"/>
        <w:gridCol w:w="4856"/>
        <w:gridCol w:w="1980"/>
      </w:tblGrid>
      <w:tr w:rsidR="00000000" w14:paraId="7FD3A33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60C9751"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C15D21F"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C2AC4FB"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44EA8DD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29E44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result summary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283E1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results at quiz and session level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E36D73"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25ECB7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518D9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B18AB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Ranked results per 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232C14"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7980A0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AF6F2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 performers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48724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Identification of top-performing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53F2D7"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BB25A6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C5AC4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Correct/incorrect answer analysis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6ECB7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Breakdown of correct versus incorrect responses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80DD30"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0B8A9E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43AED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difficulty analysis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980EA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Analysis of question-level difficulty based on response patterns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77099C"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70A98B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5B8D2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completion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425FB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who completed a session and who did not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5ECDD1"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7A83C4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90F9B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C8065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rolled up by department or organizational unit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A922C9"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8793E3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1E5A8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83868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to results and reports from past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CC6CDD"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2124FA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558FD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Session comparison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7BF13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Comparison of results across multiple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E28B99"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E5CBB4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85FEF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94743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PDF format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3B84A7"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B22977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889C7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Excel &amp; 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E7FBC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Excel and CSV formats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B35DCF"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4EAE22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1A15E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dashboard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C674F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Consolidated dashboard view for management-level oversight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81F6ED"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34EC30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F2B5F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insights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3C206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B49898" w14:textId="77777777" w:rsidR="00A34B1F" w:rsidRDefault="00A34B1F">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7F9CCC24"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lastRenderedPageBreak/>
        <w:t xml:space="preserve">All PDF, Excel, and CSV exports are compliance-ready: report headers are rendered in both Arabic and English, so that reports generated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be shared and archived internally without additional reformatting, regardless of which language the reviewing team works in.</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44F411D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5070CD" w14:textId="77777777" w:rsidR="00A34B1F" w:rsidRDefault="00A34B1F">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THREE</w:t>
            </w:r>
          </w:p>
          <w:p w14:paraId="52042C48" w14:textId="77777777" w:rsidR="00A34B1F" w:rsidRDefault="00A34B1F">
            <w:pPr>
              <w:pStyle w:val="NormalWeb"/>
              <w:rPr>
                <w:rFonts w:ascii="Segoe UI" w:hAnsi="Segoe UI" w:cs="Segoe UI"/>
                <w:b/>
                <w:bCs/>
                <w:color w:val="FFFFFF"/>
                <w:sz w:val="44"/>
                <w:szCs w:val="44"/>
              </w:rPr>
            </w:pPr>
            <w:r>
              <w:rPr>
                <w:rFonts w:ascii="Segoe UI" w:hAnsi="Segoe UI" w:cs="Segoe UI"/>
                <w:b/>
                <w:bCs/>
                <w:color w:val="FFFFFF"/>
                <w:sz w:val="44"/>
                <w:szCs w:val="44"/>
              </w:rPr>
              <w:t>Technical Architecture</w:t>
            </w:r>
          </w:p>
          <w:p w14:paraId="0523AEC3" w14:textId="77777777" w:rsidR="00A34B1F" w:rsidRDefault="00A34B1F">
            <w:pPr>
              <w:pStyle w:val="NormalWeb"/>
              <w:rPr>
                <w:rFonts w:ascii="Segoe UI" w:hAnsi="Segoe UI" w:cs="Segoe UI"/>
                <w:color w:val="1F2933"/>
              </w:rPr>
            </w:pPr>
            <w:r>
              <w:rPr>
                <w:rFonts w:ascii="Segoe UI" w:hAnsi="Segoe UI" w:cs="Segoe UI"/>
                <w:color w:val="1F2933"/>
              </w:rPr>
              <w:t>How the platform is built, deployed, and secured</w:t>
            </w:r>
          </w:p>
        </w:tc>
      </w:tr>
    </w:tbl>
    <w:p w14:paraId="625CEB8C" w14:textId="77777777" w:rsidR="00A34B1F" w:rsidRDefault="00A34B1F">
      <w:pPr>
        <w:pStyle w:val="Heading1"/>
        <w:rPr>
          <w:rFonts w:ascii="Segoe UI" w:eastAsia="Times New Roman" w:hAnsi="Segoe UI" w:cs="Segoe UI"/>
          <w:lang w:val="en"/>
        </w:rPr>
      </w:pPr>
      <w:bookmarkStart w:id="26" w:name="_Toc235440581"/>
      <w:r>
        <w:rPr>
          <w:rFonts w:ascii="Segoe UI" w:eastAsia="Times New Roman" w:hAnsi="Segoe UI" w:cs="Segoe UI"/>
          <w:lang w:val="en"/>
        </w:rPr>
        <w:lastRenderedPageBreak/>
        <w:t>17. Technical Architecture</w:t>
      </w:r>
      <w:bookmarkEnd w:id="26"/>
    </w:p>
    <w:p w14:paraId="21C54B87"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built on a modern, well-established web application stack, selected for reliability, security, and the ability to run in cloud, on-premises, or hybrid environments without architectural rework.</w:t>
      </w:r>
    </w:p>
    <w:p w14:paraId="28EF4293" w14:textId="77777777" w:rsidR="00A34B1F" w:rsidRDefault="00A34B1F">
      <w:pPr>
        <w:pStyle w:val="Heading2"/>
        <w:rPr>
          <w:rFonts w:ascii="Segoe UI" w:eastAsia="Times New Roman" w:hAnsi="Segoe UI" w:cs="Segoe UI"/>
          <w:lang w:val="en"/>
        </w:rPr>
      </w:pPr>
      <w:bookmarkStart w:id="27" w:name="_Toc235440582"/>
      <w:r>
        <w:rPr>
          <w:rFonts w:ascii="Segoe UI" w:eastAsia="Times New Roman" w:hAnsi="Segoe UI" w:cs="Segoe UI"/>
          <w:lang w:val="en"/>
        </w:rPr>
        <w:t>17.1 Technology Stack</w:t>
      </w:r>
      <w:bookmarkEnd w:id="27"/>
    </w:p>
    <w:tbl>
      <w:tblPr>
        <w:tblW w:w="5000" w:type="pct"/>
        <w:tblCellMar>
          <w:top w:w="15" w:type="dxa"/>
          <w:left w:w="15" w:type="dxa"/>
          <w:bottom w:w="15" w:type="dxa"/>
          <w:right w:w="15" w:type="dxa"/>
        </w:tblCellMar>
        <w:tblLook w:val="04A0" w:firstRow="1" w:lastRow="0" w:firstColumn="1" w:lastColumn="0" w:noHBand="0" w:noVBand="1"/>
      </w:tblPr>
      <w:tblGrid>
        <w:gridCol w:w="1483"/>
        <w:gridCol w:w="2206"/>
        <w:gridCol w:w="5930"/>
      </w:tblGrid>
      <w:tr w:rsidR="00000000" w14:paraId="789B21B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DD9D4A5"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Layer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8BFB694"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Technology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DCC1053"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Notes</w:t>
            </w:r>
          </w:p>
        </w:tc>
      </w:tr>
      <w:tr w:rsidR="00000000" w14:paraId="2629A9D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69099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Frontend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A3161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React (single-page application)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94526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Also deployable with Next.js where required by the client's environment</w:t>
            </w:r>
          </w:p>
        </w:tc>
      </w:tr>
      <w:tr w:rsidR="00000000" w14:paraId="01ADE57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65329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Backend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53698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Node.js with Express.js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045E9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Exposes a REST API consumed by the frontend</w:t>
            </w:r>
          </w:p>
        </w:tc>
      </w:tr>
      <w:tr w:rsidR="00000000" w14:paraId="4232871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49679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Authentication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18DA4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Token/session-based authentication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7A203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JWT or an equivalent secure token-based system</w:t>
            </w:r>
          </w:p>
        </w:tc>
      </w:tr>
      <w:tr w:rsidR="00000000" w14:paraId="181B68A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74E91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1ED8D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PostgreSQL (recommended)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71A6D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Enterprise database with row-level, per-organization data isolation; MongoDB may be considered depending on the final architecture agreed with </w:t>
            </w:r>
            <w:r>
              <w:rPr>
                <w:rStyle w:val="Strong"/>
                <w:rFonts w:ascii="Segoe UI" w:eastAsia="Times New Roman" w:hAnsi="Segoe UI" w:cs="Segoe UI"/>
                <w:color w:val="1F2933"/>
                <w:sz w:val="19"/>
                <w:szCs w:val="19"/>
              </w:rPr>
              <w:t>[Client Name]</w:t>
            </w:r>
          </w:p>
        </w:tc>
      </w:tr>
      <w:tr w:rsidR="00000000" w14:paraId="0B7903C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8B2FA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layer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B0EB9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4B07D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Used for participant joining, live answers, and leaderboard updates; timing and scoring are server-authoritative</w:t>
            </w:r>
          </w:p>
        </w:tc>
      </w:tr>
      <w:tr w:rsidR="00000000" w14:paraId="52340C8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91902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53F2D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on-premises, or hybrid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99328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See Section 19 for the full comparison of deployment options</w:t>
            </w:r>
          </w:p>
        </w:tc>
      </w:tr>
    </w:tbl>
    <w:p w14:paraId="31D18CAE" w14:textId="77777777" w:rsidR="00A34B1F" w:rsidRDefault="00A34B1F">
      <w:pPr>
        <w:pStyle w:val="Heading2"/>
        <w:rPr>
          <w:rFonts w:ascii="Segoe UI" w:eastAsia="Times New Roman" w:hAnsi="Segoe UI" w:cs="Segoe UI"/>
          <w:lang w:val="en"/>
        </w:rPr>
      </w:pPr>
      <w:bookmarkStart w:id="28" w:name="_Toc235440583"/>
      <w:r>
        <w:rPr>
          <w:rFonts w:ascii="Segoe UI" w:eastAsia="Times New Roman" w:hAnsi="Segoe UI" w:cs="Segoe UI"/>
          <w:lang w:val="en"/>
        </w:rPr>
        <w:t>17.2 Architecture Diagram</w:t>
      </w:r>
      <w:bookmarkEnd w:id="28"/>
    </w:p>
    <w:p w14:paraId="4F0ECFCB"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diagram below shows the platform's core request and real-time data flow, followed by the three supported deployment variants.</w:t>
      </w:r>
    </w:p>
    <w:tbl>
      <w:tblPr>
        <w:tblW w:w="5000" w:type="pct"/>
        <w:tblCellMar>
          <w:top w:w="15" w:type="dxa"/>
          <w:left w:w="15" w:type="dxa"/>
          <w:bottom w:w="15" w:type="dxa"/>
          <w:right w:w="15" w:type="dxa"/>
        </w:tblCellMar>
        <w:tblLook w:val="04A0" w:firstRow="1" w:lastRow="0" w:firstColumn="1" w:lastColumn="0" w:noHBand="0" w:noVBand="1"/>
      </w:tblPr>
      <w:tblGrid>
        <w:gridCol w:w="2117"/>
        <w:gridCol w:w="577"/>
        <w:gridCol w:w="1731"/>
        <w:gridCol w:w="577"/>
        <w:gridCol w:w="2501"/>
        <w:gridCol w:w="577"/>
        <w:gridCol w:w="1539"/>
      </w:tblGrid>
      <w:tr w:rsidR="00000000" w14:paraId="2927F78E" w14:textId="77777777">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06467DC2" w14:textId="77777777" w:rsidR="00A34B1F" w:rsidRDefault="00A34B1F">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Browser</w:t>
            </w:r>
            <w:r>
              <w:rPr>
                <w:rFonts w:ascii="Segoe UI" w:eastAsia="Times New Roman" w:hAnsi="Segoe UI" w:cs="Segoe UI"/>
                <w:color w:val="1F2933"/>
                <w:sz w:val="19"/>
                <w:szCs w:val="19"/>
              </w:rPr>
              <w:br/>
              <w:t>(Host &amp; Participants)</w:t>
            </w:r>
          </w:p>
        </w:tc>
        <w:tc>
          <w:tcPr>
            <w:tcW w:w="300" w:type="pct"/>
            <w:tcBorders>
              <w:top w:val="nil"/>
              <w:left w:val="nil"/>
              <w:bottom w:val="nil"/>
              <w:right w:val="nil"/>
            </w:tcBorders>
            <w:tcMar>
              <w:top w:w="100" w:type="dxa"/>
              <w:left w:w="120" w:type="dxa"/>
              <w:bottom w:w="100" w:type="dxa"/>
              <w:right w:w="120" w:type="dxa"/>
            </w:tcMar>
            <w:hideMark/>
          </w:tcPr>
          <w:p w14:paraId="59533B3D" w14:textId="77777777" w:rsidR="00A34B1F" w:rsidRDefault="00A34B1F">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9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6914831A" w14:textId="77777777" w:rsidR="00A34B1F" w:rsidRDefault="00A34B1F">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HTTPS / WSS</w:t>
            </w:r>
          </w:p>
        </w:tc>
        <w:tc>
          <w:tcPr>
            <w:tcW w:w="300" w:type="pct"/>
            <w:tcBorders>
              <w:top w:val="nil"/>
              <w:left w:val="nil"/>
              <w:bottom w:val="nil"/>
              <w:right w:val="nil"/>
            </w:tcBorders>
            <w:tcMar>
              <w:top w:w="100" w:type="dxa"/>
              <w:left w:w="120" w:type="dxa"/>
              <w:bottom w:w="100" w:type="dxa"/>
              <w:right w:w="120" w:type="dxa"/>
            </w:tcMar>
            <w:hideMark/>
          </w:tcPr>
          <w:p w14:paraId="52F66485" w14:textId="77777777" w:rsidR="00A34B1F" w:rsidRDefault="00A34B1F">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3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517B279E" w14:textId="77777777" w:rsidR="00A34B1F" w:rsidRDefault="00A34B1F">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Express.js API</w:t>
            </w:r>
            <w:r>
              <w:rPr>
                <w:rFonts w:ascii="Segoe UI" w:eastAsia="Times New Roman" w:hAnsi="Segoe UI" w:cs="Segoe UI"/>
                <w:color w:val="1F2933"/>
                <w:sz w:val="19"/>
                <w:szCs w:val="19"/>
              </w:rPr>
              <w:br/>
              <w:t>+ WebSocket server</w:t>
            </w:r>
          </w:p>
        </w:tc>
        <w:tc>
          <w:tcPr>
            <w:tcW w:w="300" w:type="pct"/>
            <w:tcBorders>
              <w:top w:val="nil"/>
              <w:left w:val="nil"/>
              <w:bottom w:val="nil"/>
              <w:right w:val="nil"/>
            </w:tcBorders>
            <w:tcMar>
              <w:top w:w="100" w:type="dxa"/>
              <w:left w:w="120" w:type="dxa"/>
              <w:bottom w:w="100" w:type="dxa"/>
              <w:right w:w="120" w:type="dxa"/>
            </w:tcMar>
            <w:hideMark/>
          </w:tcPr>
          <w:p w14:paraId="7CABC86A" w14:textId="77777777" w:rsidR="00A34B1F" w:rsidRDefault="00A34B1F">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6534798D" w14:textId="77777777" w:rsidR="00A34B1F" w:rsidRDefault="00A34B1F">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PostgreSQL</w:t>
            </w:r>
            <w:r>
              <w:rPr>
                <w:rFonts w:ascii="Segoe UI" w:eastAsia="Times New Roman" w:hAnsi="Segoe UI" w:cs="Segoe UI"/>
                <w:color w:val="1F2933"/>
                <w:sz w:val="19"/>
                <w:szCs w:val="19"/>
              </w:rPr>
              <w:br/>
              <w:t>(row-level tenant isolation)</w:t>
            </w:r>
          </w:p>
        </w:tc>
      </w:tr>
    </w:tbl>
    <w:p w14:paraId="7D50DA8C" w14:textId="77777777" w:rsidR="00A34B1F" w:rsidRDefault="00A34B1F">
      <w:pPr>
        <w:pStyle w:val="muted"/>
        <w:spacing w:before="120" w:beforeAutospacing="0" w:after="120" w:afterAutospacing="0"/>
        <w:rPr>
          <w:rFonts w:ascii="Segoe UI" w:hAnsi="Segoe UI" w:cs="Segoe UI"/>
          <w:lang w:val="en"/>
        </w:rPr>
      </w:pPr>
      <w:r>
        <w:rPr>
          <w:rFonts w:ascii="Segoe UI" w:hAnsi="Segoe UI" w:cs="Segoe UI"/>
          <w:lang w:val="en"/>
        </w:rPr>
        <w:t>Browser clients communicate with the Express.js API and WebSocket server over HTTPS and secure WebSockets (WSS); the application server is the sole component with direct database access.</w:t>
      </w:r>
    </w:p>
    <w:tbl>
      <w:tblPr>
        <w:tblW w:w="5000" w:type="pct"/>
        <w:tblCellMar>
          <w:top w:w="15" w:type="dxa"/>
          <w:left w:w="15" w:type="dxa"/>
          <w:bottom w:w="15" w:type="dxa"/>
          <w:right w:w="15" w:type="dxa"/>
        </w:tblCellMar>
        <w:tblLook w:val="04A0" w:firstRow="1" w:lastRow="0" w:firstColumn="1" w:lastColumn="0" w:noHBand="0" w:noVBand="1"/>
      </w:tblPr>
      <w:tblGrid>
        <w:gridCol w:w="1860"/>
        <w:gridCol w:w="3566"/>
        <w:gridCol w:w="4193"/>
      </w:tblGrid>
      <w:tr w:rsidR="00000000" w14:paraId="3CB9805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1DD3681"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lastRenderedPageBreak/>
              <w:t>Deployment Variant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E80C044"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Application Layer (Frontend + Express.js API)</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C5CBC87"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Database Layer</w:t>
            </w:r>
          </w:p>
        </w:tc>
      </w:tr>
      <w:tr w:rsidR="00000000" w14:paraId="6A14FC7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7DD98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 SaaS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0F124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3CAF1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r>
      <w:tr w:rsidR="00000000" w14:paraId="5F0AE9F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261A2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On-Premises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C70BFC"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23A201"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p>
        </w:tc>
      </w:tr>
      <w:tr w:rsidR="00000000" w14:paraId="466C0AA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BD736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Hybrid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0120B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51E933"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xml:space="preserve"> (sensitive data remains client-side)</w:t>
            </w:r>
          </w:p>
        </w:tc>
      </w:tr>
    </w:tbl>
    <w:p w14:paraId="39E10980" w14:textId="77777777" w:rsidR="00A34B1F" w:rsidRDefault="00A34B1F">
      <w:pPr>
        <w:pStyle w:val="Heading1"/>
        <w:rPr>
          <w:rFonts w:ascii="Segoe UI" w:eastAsia="Times New Roman" w:hAnsi="Segoe UI" w:cs="Segoe UI"/>
          <w:lang w:val="en"/>
        </w:rPr>
      </w:pPr>
      <w:bookmarkStart w:id="29" w:name="_Toc235440584"/>
      <w:r>
        <w:rPr>
          <w:rFonts w:ascii="Segoe UI" w:eastAsia="Times New Roman" w:hAnsi="Segoe UI" w:cs="Segoe UI"/>
          <w:lang w:val="en"/>
        </w:rPr>
        <w:lastRenderedPageBreak/>
        <w:t>18. Real-Time Architecture</w:t>
      </w:r>
      <w:bookmarkEnd w:id="29"/>
    </w:p>
    <w:p w14:paraId="093637C3"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Live sessions depend on the platform's real-time layer behaving predictably under load, and behaving fairly for every participant regardless of network conditions. This section describes how that is achieved.</w:t>
      </w:r>
    </w:p>
    <w:p w14:paraId="0005F987" w14:textId="77777777" w:rsidR="00A34B1F" w:rsidRDefault="00A34B1F">
      <w:pPr>
        <w:pStyle w:val="Heading2"/>
        <w:rPr>
          <w:rFonts w:ascii="Segoe UI" w:eastAsia="Times New Roman" w:hAnsi="Segoe UI" w:cs="Segoe UI"/>
          <w:lang w:val="en"/>
        </w:rPr>
      </w:pPr>
      <w:bookmarkStart w:id="30" w:name="_Toc235440585"/>
      <w:r>
        <w:rPr>
          <w:rFonts w:ascii="Segoe UI" w:eastAsia="Times New Roman" w:hAnsi="Segoe UI" w:cs="Segoe UI"/>
          <w:lang w:val="en"/>
        </w:rPr>
        <w:t>18.1 Session Flow</w:t>
      </w:r>
      <w:bookmarkEnd w:id="30"/>
    </w:p>
    <w:p w14:paraId="004260AD"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A live session follows a consistent, server-driven flow from join through to the final leaderboard.</w:t>
      </w:r>
    </w:p>
    <w:tbl>
      <w:tblPr>
        <w:tblW w:w="5000" w:type="pct"/>
        <w:tblCellMar>
          <w:top w:w="15" w:type="dxa"/>
          <w:left w:w="15" w:type="dxa"/>
          <w:bottom w:w="15" w:type="dxa"/>
          <w:right w:w="15" w:type="dxa"/>
        </w:tblCellMar>
        <w:tblLook w:val="04A0" w:firstRow="1" w:lastRow="0" w:firstColumn="1" w:lastColumn="0" w:noHBand="0" w:noVBand="1"/>
      </w:tblPr>
      <w:tblGrid>
        <w:gridCol w:w="1669"/>
        <w:gridCol w:w="7950"/>
      </w:tblGrid>
      <w:tr w:rsidR="00000000" w14:paraId="7C900B0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D837BE8"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Step</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835371D"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happens</w:t>
            </w:r>
          </w:p>
        </w:tc>
      </w:tr>
      <w:tr w:rsidR="00000000" w14:paraId="6809A19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0508C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Join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2E9B5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connect over a WebSocket session as they scan a QR code, follow a direct link, or enter a session PIN; the host's lobby view updates in real time as each participant joins</w:t>
            </w:r>
          </w:p>
        </w:tc>
      </w:tr>
      <w:tr w:rsidR="00000000" w14:paraId="5A85AFE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89AB1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Question broadcast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74C3B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When the host opens a question, the server broadcasts the question to all connected participants at the same moment</w:t>
            </w:r>
          </w:p>
        </w:tc>
      </w:tr>
      <w:tr w:rsidR="00000000" w14:paraId="4F59AAD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B9278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Answer submission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2D2E6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submit answers over the WebSocket connection while the question is live; the correct answer is never sent to a participant's device before the question closes</w:t>
            </w:r>
          </w:p>
        </w:tc>
      </w:tr>
      <w:tr w:rsidR="00000000" w14:paraId="28CBB36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FACA6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Server-side scoring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3386E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server, not the client, determines when the question closes, evaluates each submitted answer, and calculates the resulting score</w:t>
            </w:r>
          </w:p>
        </w:tc>
      </w:tr>
      <w:tr w:rsidR="00000000" w14:paraId="67F2A79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AD20B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Leaderboard push</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CD318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Updated rankings are pushed to the host and participant devices in real time once scoring is complete</w:t>
            </w:r>
          </w:p>
        </w:tc>
      </w:tr>
    </w:tbl>
    <w:p w14:paraId="631537A1" w14:textId="77777777" w:rsidR="00A34B1F" w:rsidRDefault="00A34B1F">
      <w:pPr>
        <w:pStyle w:val="Heading2"/>
        <w:rPr>
          <w:rFonts w:ascii="Segoe UI" w:eastAsia="Times New Roman" w:hAnsi="Segoe UI" w:cs="Segoe UI"/>
          <w:lang w:val="en"/>
        </w:rPr>
      </w:pPr>
      <w:bookmarkStart w:id="31" w:name="_Toc235440586"/>
      <w:r>
        <w:rPr>
          <w:rFonts w:ascii="Segoe UI" w:eastAsia="Times New Roman" w:hAnsi="Segoe UI" w:cs="Segoe UI"/>
          <w:lang w:val="en"/>
        </w:rPr>
        <w:t>18.2 Server-Authoritative Timing, Reconnection, and Why It Matters at Scale</w:t>
      </w:r>
      <w:bookmarkEnd w:id="31"/>
    </w:p>
    <w:p w14:paraId="40041685"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Question timing, closure, and scoring are controlled by the server, not by any individual device: participant and host devices render a countdown, an open or closed question, and an updated leaderboard, but they never decide when a question opens or closes and are never trusted with the correct answer before it is safe to reveal it. Where a participant's device loses connectivity mid-session — common in venues with variable Wi-Fi or mobile coverage — the platform automatically attempts to reconnect the sess</w:t>
      </w:r>
      <w:r>
        <w:rPr>
          <w:rFonts w:ascii="Segoe UI" w:hAnsi="Segoe UI" w:cs="Segoe UI"/>
          <w:color w:val="1F2933"/>
          <w:sz w:val="21"/>
          <w:szCs w:val="21"/>
          <w:lang w:val="en"/>
        </w:rPr>
        <w:t>ion rather than dropping the participant. For a session of the scale described in Section 24, this combination is what keeps a large, live audience in a fair, synchronized session rather than a collection of individually drifting client experiences.</w:t>
      </w:r>
    </w:p>
    <w:p w14:paraId="77E0CFE5" w14:textId="77777777" w:rsidR="00A34B1F" w:rsidRDefault="00A34B1F">
      <w:pPr>
        <w:pStyle w:val="Heading1"/>
        <w:rPr>
          <w:rFonts w:ascii="Segoe UI" w:eastAsia="Times New Roman" w:hAnsi="Segoe UI" w:cs="Segoe UI"/>
          <w:lang w:val="en"/>
        </w:rPr>
      </w:pPr>
      <w:bookmarkStart w:id="32" w:name="_Toc235440587"/>
      <w:r>
        <w:rPr>
          <w:rFonts w:ascii="Segoe UI" w:eastAsia="Times New Roman" w:hAnsi="Segoe UI" w:cs="Segoe UI"/>
          <w:lang w:val="en"/>
        </w:rPr>
        <w:lastRenderedPageBreak/>
        <w:t>19. Deployment Options</w:t>
      </w:r>
      <w:bookmarkEnd w:id="32"/>
    </w:p>
    <w:p w14:paraId="06946D65" w14:textId="77777777" w:rsidR="00A34B1F" w:rsidRDefault="00A34B1F">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choose from three deployment options, so that the choice of hosting model reflects data residency, network, and cybersecurity requirements rather than a one-size-fits-all default.</w:t>
      </w:r>
    </w:p>
    <w:tbl>
      <w:tblPr>
        <w:tblW w:w="5000" w:type="pct"/>
        <w:tblCellMar>
          <w:top w:w="15" w:type="dxa"/>
          <w:left w:w="15" w:type="dxa"/>
          <w:bottom w:w="15" w:type="dxa"/>
          <w:right w:w="15" w:type="dxa"/>
        </w:tblCellMar>
        <w:tblLook w:val="04A0" w:firstRow="1" w:lastRow="0" w:firstColumn="1" w:lastColumn="0" w:noHBand="0" w:noVBand="1"/>
      </w:tblPr>
      <w:tblGrid>
        <w:gridCol w:w="1409"/>
        <w:gridCol w:w="2913"/>
        <w:gridCol w:w="3021"/>
        <w:gridCol w:w="2276"/>
      </w:tblGrid>
      <w:tr w:rsidR="00000000" w14:paraId="5518763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7357012" w14:textId="77777777" w:rsidR="00A34B1F" w:rsidRDefault="00A34B1F">
            <w:pPr>
              <w:rPr>
                <w:rFonts w:ascii="Segoe UI" w:hAnsi="Segoe UI" w:cs="Segoe UI"/>
                <w:color w:val="1F2933"/>
                <w:sz w:val="21"/>
                <w:szCs w:val="21"/>
                <w:lang w:val="en"/>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81914BE"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1 — SaaS / Cloud</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53D8B52"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2 — On-Premises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516C1E1"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3 — Hybrid</w:t>
            </w:r>
          </w:p>
        </w:tc>
      </w:tr>
      <w:tr w:rsidR="00000000" w14:paraId="559DBA7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7C96B1"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Hosted by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ADD54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DCAC0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infrastructure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BFBC0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Split between Altanfith and client infrastructure</w:t>
            </w:r>
          </w:p>
        </w:tc>
      </w:tr>
      <w:tr w:rsidR="00000000" w14:paraId="46EA2FD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06C06C"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Includes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109F4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hosting, server &amp; database management, backups, security updates, monitoring, maintenance, technical support, version upgrades, AI usage allowance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BAB7B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deployment, backend installation, database configuration, environment setup, initial cybersecurity configuration, documentation, training, knowledge transfer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27A4C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components hosted by Altanfith; sensitive data/database remain in the client environment</w:t>
            </w:r>
          </w:p>
        </w:tc>
      </w:tr>
      <w:tr w:rsidR="00000000" w14:paraId="4AA10CE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39AC76"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Commercials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99F98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subscription; lower initial investment; fastest implementation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0718B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fee; optional source-code handover; optional annual maintenance contract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4B3E4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w:t>
            </w:r>
          </w:p>
        </w:tc>
      </w:tr>
      <w:tr w:rsidR="00000000" w14:paraId="655C89B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799F90"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provides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EB2B6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Browser access only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EC20C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Hardware, OS, internal networking, data-center requirements (unless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B315E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w:t>
            </w:r>
          </w:p>
        </w:tc>
      </w:tr>
    </w:tbl>
    <w:p w14:paraId="2A1D5920" w14:textId="77777777" w:rsidR="00A34B1F" w:rsidRDefault="00A34B1F">
      <w:pPr>
        <w:pStyle w:val="Heading2"/>
        <w:rPr>
          <w:rFonts w:ascii="Segoe UI" w:eastAsia="Times New Roman" w:hAnsi="Segoe UI" w:cs="Segoe UI"/>
          <w:lang w:val="en"/>
        </w:rPr>
      </w:pPr>
      <w:bookmarkStart w:id="33" w:name="_Toc235440588"/>
      <w:r>
        <w:rPr>
          <w:rFonts w:ascii="Segoe UI" w:eastAsia="Times New Roman" w:hAnsi="Segoe UI" w:cs="Segoe UI"/>
          <w:lang w:val="en"/>
        </w:rPr>
        <w:t>19.1 Cloud / SaaS</w:t>
      </w:r>
      <w:bookmarkEnd w:id="33"/>
    </w:p>
    <w:p w14:paraId="42F0FA50"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hosts and manages the full application and database layer, so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requires only browser access. Hosting, backups, monitoring, security updates, and version upgrades are managed by Altanfith as part of the subscription (Section 33, Model A).</w:t>
      </w:r>
    </w:p>
    <w:p w14:paraId="31BFB92A" w14:textId="77777777" w:rsidR="00A34B1F" w:rsidRDefault="00A34B1F">
      <w:pPr>
        <w:pStyle w:val="Heading2"/>
        <w:rPr>
          <w:rFonts w:ascii="Segoe UI" w:eastAsia="Times New Roman" w:hAnsi="Segoe UI" w:cs="Segoe UI"/>
          <w:lang w:val="en"/>
        </w:rPr>
      </w:pPr>
      <w:bookmarkStart w:id="34" w:name="_Toc235440589"/>
      <w:r>
        <w:rPr>
          <w:rFonts w:ascii="Segoe UI" w:eastAsia="Times New Roman" w:hAnsi="Segoe UI" w:cs="Segoe UI"/>
          <w:lang w:val="en"/>
        </w:rPr>
        <w:t>19.2 On-Premises</w:t>
      </w:r>
      <w:bookmarkEnd w:id="34"/>
    </w:p>
    <w:p w14:paraId="232F3B87"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Express.js backend runs on the client's own internal servers or private cloud — a public cloud environment is not required. The platform's backend has been built to run within a range of internal environments, including:</w:t>
      </w:r>
    </w:p>
    <w:tbl>
      <w:tblPr>
        <w:tblW w:w="5000" w:type="pct"/>
        <w:tblCellMar>
          <w:top w:w="15" w:type="dxa"/>
          <w:left w:w="15" w:type="dxa"/>
          <w:bottom w:w="15" w:type="dxa"/>
          <w:right w:w="15" w:type="dxa"/>
        </w:tblCellMar>
        <w:tblLook w:val="04A0" w:firstRow="1" w:lastRow="0" w:firstColumn="1" w:lastColumn="0" w:noHBand="0" w:noVBand="1"/>
      </w:tblPr>
      <w:tblGrid>
        <w:gridCol w:w="3458"/>
        <w:gridCol w:w="6161"/>
      </w:tblGrid>
      <w:tr w:rsidR="00000000" w14:paraId="3178B35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60B7784"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Supported Environment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0F4FC1C" w14:textId="77777777" w:rsidR="00A34B1F" w:rsidRDefault="00A34B1F">
            <w:pPr>
              <w:spacing w:before="160" w:after="160"/>
              <w:rPr>
                <w:rFonts w:ascii="Segoe UI" w:eastAsia="Times New Roman" w:hAnsi="Segoe UI" w:cs="Segoe UI"/>
                <w:b/>
                <w:bCs/>
                <w:color w:val="FFFFFF"/>
                <w:sz w:val="19"/>
                <w:szCs w:val="19"/>
              </w:rPr>
            </w:pPr>
          </w:p>
        </w:tc>
      </w:tr>
      <w:tr w:rsidR="00000000" w14:paraId="2691E5D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85AD8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data center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60185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servers</w:t>
            </w:r>
          </w:p>
        </w:tc>
      </w:tr>
      <w:tr w:rsidR="00000000" w14:paraId="5CD9E95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2A6F9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Private cloud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071C6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Virtual machines</w:t>
            </w:r>
          </w:p>
        </w:tc>
      </w:tr>
      <w:tr w:rsidR="00000000" w14:paraId="3C2F5FF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D8CE5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Docker containers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70105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Kubernetes</w:t>
            </w:r>
          </w:p>
        </w:tc>
      </w:tr>
      <w:tr w:rsidR="00000000" w14:paraId="2C2DCAF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81BE2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Linux servers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68D13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Windows Server (subject to technical validation)</w:t>
            </w:r>
          </w:p>
        </w:tc>
      </w:tr>
      <w:tr w:rsidR="00000000" w14:paraId="7B82E3EA" w14:textId="77777777">
        <w:tc>
          <w:tcPr>
            <w:tcW w:w="0" w:type="auto"/>
            <w:gridSpan w:val="2"/>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CF873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Hybrid combinations of the above infrastructure types</w:t>
            </w:r>
          </w:p>
        </w:tc>
      </w:tr>
    </w:tbl>
    <w:p w14:paraId="676E8091" w14:textId="77777777" w:rsidR="00A34B1F" w:rsidRDefault="00A34B1F">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On-premises deployment is </w:t>
      </w:r>
      <w:r>
        <w:rPr>
          <w:rStyle w:val="Strong"/>
          <w:rFonts w:ascii="Segoe UI" w:hAnsi="Segoe UI" w:cs="Segoe UI"/>
          <w:color w:val="1F2933"/>
          <w:sz w:val="21"/>
          <w:szCs w:val="21"/>
          <w:lang w:val="en"/>
        </w:rPr>
        <w:t>subject to infrastructure assessment</w:t>
      </w:r>
      <w:r>
        <w:rPr>
          <w:rFonts w:ascii="Segoe UI" w:hAnsi="Segoe UI" w:cs="Segoe UI"/>
          <w:color w:val="1F2933"/>
          <w:sz w:val="21"/>
          <w:szCs w:val="21"/>
          <w:lang w:val="en"/>
        </w:rPr>
        <w:t xml:space="preserve">. Network policies, database selection, internal DNS, SSL certificates, firewall configuration, backup procedures, and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cybersecurity requirements are all confirmed during this assessment before deployment proceeds. Altanfith does not promise universal compatibility with every client environment in advance of this assessment.</w:t>
      </w:r>
    </w:p>
    <w:p w14:paraId="15471E8F" w14:textId="77777777" w:rsidR="00A34B1F" w:rsidRDefault="00A34B1F">
      <w:pPr>
        <w:pStyle w:val="Heading2"/>
        <w:rPr>
          <w:rFonts w:ascii="Segoe UI" w:eastAsia="Times New Roman" w:hAnsi="Segoe UI" w:cs="Segoe UI"/>
          <w:lang w:val="en"/>
        </w:rPr>
      </w:pPr>
      <w:bookmarkStart w:id="35" w:name="_Toc235440590"/>
      <w:r>
        <w:rPr>
          <w:rFonts w:ascii="Segoe UI" w:eastAsia="Times New Roman" w:hAnsi="Segoe UI" w:cs="Segoe UI"/>
          <w:lang w:val="en"/>
        </w:rPr>
        <w:t>19.3 Hybrid</w:t>
      </w:r>
      <w:bookmarkEnd w:id="35"/>
    </w:p>
    <w:p w14:paraId="646C0C4B"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 hybrid deployment splits the platform between Altanfith-hosted application components and client-hosted, sensitive data storage. The final design of a hybrid deployment depends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security and integration requirements, and is agreed during discovery and infrastructure assessment rather than fixed in advance.</w:t>
      </w:r>
    </w:p>
    <w:p w14:paraId="202089DE" w14:textId="77777777" w:rsidR="00A34B1F" w:rsidRDefault="00A34B1F">
      <w:pPr>
        <w:pStyle w:val="Heading1"/>
        <w:rPr>
          <w:rFonts w:ascii="Segoe UI" w:eastAsia="Times New Roman" w:hAnsi="Segoe UI" w:cs="Segoe UI"/>
          <w:lang w:val="en"/>
        </w:rPr>
      </w:pPr>
      <w:bookmarkStart w:id="36" w:name="_Toc235440591"/>
      <w:r>
        <w:rPr>
          <w:rFonts w:ascii="Segoe UI" w:eastAsia="Times New Roman" w:hAnsi="Segoe UI" w:cs="Segoe UI"/>
          <w:lang w:val="en"/>
        </w:rPr>
        <w:lastRenderedPageBreak/>
        <w:t>20. Cybersecurity</w:t>
      </w:r>
      <w:bookmarkEnd w:id="36"/>
    </w:p>
    <w:p w14:paraId="1B55BD5A"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is designed with cybersecurity as a foundational concern rather than an add-on, and its controls are developed with awareness of the OWASP Top 10. At the same time, we are deliberate about how we describe our security posture: the statements in this section describe how the platform is designed and configured, not a formal certification, and final acceptance of the security architecture remains subject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own cybersecurity assessment.</w:t>
      </w:r>
    </w:p>
    <w:tbl>
      <w:tblPr>
        <w:tblW w:w="5000" w:type="pct"/>
        <w:tblCellMar>
          <w:top w:w="15" w:type="dxa"/>
          <w:left w:w="15" w:type="dxa"/>
          <w:bottom w:w="15" w:type="dxa"/>
          <w:right w:w="15" w:type="dxa"/>
        </w:tblCellMar>
        <w:tblLook w:val="04A0" w:firstRow="1" w:lastRow="0" w:firstColumn="1" w:lastColumn="0" w:noHBand="0" w:noVBand="1"/>
      </w:tblPr>
      <w:tblGrid>
        <w:gridCol w:w="1718"/>
        <w:gridCol w:w="7901"/>
      </w:tblGrid>
      <w:tr w:rsidR="00000000" w14:paraId="45DFDDD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34DE5E9"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Domain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E79E8AC"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Controls</w:t>
            </w:r>
          </w:p>
        </w:tc>
      </w:tr>
      <w:tr w:rsidR="00000000" w14:paraId="33BAC0D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4E1BE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Encryption &amp; transport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92545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HTTPS/TLS; encryption in transit; encryption at rest where applicable; backup encryption</w:t>
            </w:r>
          </w:p>
        </w:tc>
      </w:tr>
      <w:tr w:rsidR="00000000" w14:paraId="733A12B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8497C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Identity &amp; access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C066F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Secure (bcrypt) password hashing; role-based access control (RBAC); least-privilege access; strong password policy; multi-factor authentication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 session management; token expiration; secure API authentication; user account deactivation; regular access reviews; role-validated host-only operations</w:t>
            </w:r>
          </w:p>
        </w:tc>
      </w:tr>
      <w:tr w:rsidR="00000000" w14:paraId="57013AA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ED47F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Application security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EF3CE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 rate limiting; input validation; output encoding; protection against common web vulnerabilities; secure development practices; developed with awareness of the OWASP Top 10; secure API configuration</w:t>
            </w:r>
          </w:p>
        </w:tc>
      </w:tr>
      <w:tr w:rsidR="00000000" w14:paraId="22406A8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33B10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Audit &amp; monitoring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1AE7E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Audit logs of administrative actions; login logs; failed-login monitoring; data-access logging; monitoring &amp; alerting; log retention (</w:t>
            </w:r>
            <w:r>
              <w:rPr>
                <w:rStyle w:val="Strong"/>
                <w:rFonts w:ascii="Segoe UI" w:eastAsia="Times New Roman" w:hAnsi="Segoe UI" w:cs="Segoe UI"/>
                <w:color w:val="1F2933"/>
                <w:sz w:val="19"/>
                <w:szCs w:val="19"/>
              </w:rPr>
              <w:t>[Data Retention Period]</w:t>
            </w:r>
            <w:r>
              <w:rPr>
                <w:rFonts w:ascii="Segoe UI" w:eastAsia="Times New Roman" w:hAnsi="Segoe UI" w:cs="Segoe UI"/>
                <w:color w:val="1F2933"/>
                <w:sz w:val="19"/>
                <w:szCs w:val="19"/>
              </w:rPr>
              <w:t>)</w:t>
            </w:r>
          </w:p>
        </w:tc>
      </w:tr>
      <w:tr w:rsidR="00000000" w14:paraId="5DC6832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42B6E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Data lifecycle &amp; resilience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70505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 policy; backup retention; disaster recovery planning; business continuity planning; data retention rules; data deletion and export procedures — expanded in Section 21</w:t>
            </w:r>
          </w:p>
        </w:tc>
      </w:tr>
      <w:tr w:rsidR="00000000" w14:paraId="485D6CE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A14FF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6. Infrastructure &amp; operations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84D14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Secure environment configuration; firewall configuration; network segmentation (on-premises); per-tenant, row-level data isolation in PostgreSQL; database access restrictions; secrets management; environment-variable management; secure source-code repository; separated dev/test/prod environments</w:t>
            </w:r>
          </w:p>
        </w:tc>
      </w:tr>
      <w:tr w:rsidR="00000000" w14:paraId="080CB0B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26D6B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7. Process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0828A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Change management; incident response; security incident notification; data-breach escalation; secure release process; security patching; vulnerability assessment; penetration testing (</w:t>
            </w:r>
            <w:r>
              <w:rPr>
                <w:rStyle w:val="badge-opt1"/>
                <w:rFonts w:ascii="Segoe UI" w:eastAsia="Times New Roman" w:hAnsi="Segoe UI" w:cs="Segoe UI"/>
                <w:sz w:val="19"/>
                <w:szCs w:val="19"/>
              </w:rPr>
              <w:t>Optional service</w:t>
            </w:r>
            <w:r>
              <w:rPr>
                <w:rFonts w:ascii="Segoe UI" w:eastAsia="Times New Roman" w:hAnsi="Segoe UI" w:cs="Segoe UI"/>
                <w:color w:val="1F2933"/>
                <w:sz w:val="19"/>
                <w:szCs w:val="19"/>
              </w:rPr>
              <w:t>); client-approved security architecture</w:t>
            </w:r>
          </w:p>
        </w:tc>
      </w:tr>
    </w:tbl>
    <w:p w14:paraId="69E5183A"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These controls are designed to align with recognized good practice and with awareness of the OWASP Top 10 — not represented as certified or compliant. Final acceptance is confirmed through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own security assessment (Phase 3, Section 25); the security architecture is only finalized once client-approved. Formal penetration testing is available as an </w:t>
      </w:r>
      <w:r>
        <w:rPr>
          <w:rStyle w:val="badge-opt1"/>
          <w:rFonts w:ascii="Segoe UI" w:hAnsi="Segoe UI" w:cs="Segoe UI"/>
          <w:sz w:val="21"/>
          <w:szCs w:val="21"/>
          <w:lang w:val="en"/>
        </w:rPr>
        <w:t>optional service</w:t>
      </w:r>
      <w:r>
        <w:rPr>
          <w:rFonts w:ascii="Segoe UI" w:hAnsi="Segoe UI" w:cs="Segoe UI"/>
          <w:color w:val="1F2933"/>
          <w:sz w:val="21"/>
          <w:szCs w:val="21"/>
          <w:lang w:val="en"/>
        </w:rPr>
        <w:t>, quoted separately (Section 33); it is not included in the base engagement.</w:t>
      </w:r>
    </w:p>
    <w:p w14:paraId="14DF538C" w14:textId="77777777" w:rsidR="00A34B1F" w:rsidRDefault="00A34B1F">
      <w:pPr>
        <w:pStyle w:val="Heading1"/>
        <w:rPr>
          <w:rFonts w:ascii="Segoe UI" w:eastAsia="Times New Roman" w:hAnsi="Segoe UI" w:cs="Segoe UI"/>
          <w:lang w:val="en"/>
        </w:rPr>
      </w:pPr>
      <w:bookmarkStart w:id="37" w:name="_Toc235440592"/>
      <w:r>
        <w:rPr>
          <w:rFonts w:ascii="Segoe UI" w:eastAsia="Times New Roman" w:hAnsi="Segoe UI" w:cs="Segoe UI"/>
          <w:lang w:val="en"/>
        </w:rPr>
        <w:lastRenderedPageBreak/>
        <w:t>21. Data Protection</w:t>
      </w:r>
      <w:bookmarkEnd w:id="37"/>
    </w:p>
    <w:p w14:paraId="5694D99B"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Data protection builds on the data lifecycle and resilience controls introduced in Section 20 (Domain 5), and describes, in more detail, how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data is backed up, retained, deleted, and exported. No guarantee of zero downtime or zero data loss is made; the platform is designed to align with sound backup, retention, and recovery practice within the parameters agreed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1857"/>
        <w:gridCol w:w="7762"/>
      </w:tblGrid>
      <w:tr w:rsidR="00000000" w14:paraId="67A071D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76CEE8B"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Aspect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9081F2B"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Approach</w:t>
            </w:r>
          </w:p>
        </w:tc>
      </w:tr>
      <w:tr w:rsidR="00000000" w14:paraId="52FE867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3C07F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09834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Operated under a defined backup policy; frequency, encryption, and retention arrangements are confirmed as part of the applicable deployment option (Section 19) and the commercial agreement</w:t>
            </w:r>
          </w:p>
        </w:tc>
      </w:tr>
      <w:tr w:rsidR="00000000" w14:paraId="209816C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78B81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Retention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3AA9F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Session results, audit logs, and participant records are retained for </w:t>
            </w:r>
            <w:r>
              <w:rPr>
                <w:rStyle w:val="Strong"/>
                <w:rFonts w:ascii="Segoe UI" w:eastAsia="Times New Roman" w:hAnsi="Segoe UI" w:cs="Segoe UI"/>
                <w:color w:val="1F2933"/>
                <w:sz w:val="19"/>
                <w:szCs w:val="19"/>
              </w:rPr>
              <w:t>[Data Retention Period]</w:t>
            </w:r>
            <w:r>
              <w:rPr>
                <w:rFonts w:ascii="Segoe UI" w:eastAsia="Times New Roman" w:hAnsi="Segoe UI" w:cs="Segoe UI"/>
                <w:color w:val="1F2933"/>
                <w:sz w:val="19"/>
                <w:szCs w:val="19"/>
              </w:rPr>
              <w:t xml:space="preserve">, configurable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internal data governance or regulatory requirements, subject to confirmation during discovery</w:t>
            </w:r>
          </w:p>
        </w:tc>
      </w:tr>
      <w:tr w:rsidR="00000000" w14:paraId="45F7409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AE3E8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Deletion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A1E5B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Follows a defined procedure: soft-delete with archive is available at the content level (Section 13.5); permanent deletion procedures, including at contract termination, are defined in the commercial agreement</w:t>
            </w:r>
          </w:p>
        </w:tc>
      </w:tr>
      <w:tr w:rsidR="00000000" w14:paraId="0C7D20D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753B1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68CC9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Available on request, and provided as a standard step at contract termination, in an agreed format, so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 xml:space="preserve"> is not dependent on continued platform access to retain its own data</w:t>
            </w:r>
          </w:p>
        </w:tc>
      </w:tr>
      <w:tr w:rsidR="00000000" w14:paraId="7B296E1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6167C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Disaster recovery &amp; business continuity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D6A29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Addressed as part of the deployment design and configured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requirements; specific recovery time/point objectives are confirmed during discovery and infrastructure assessment and depend on the deployment option selected</w:t>
            </w:r>
          </w:p>
        </w:tc>
      </w:tr>
    </w:tbl>
    <w:p w14:paraId="7F729C96" w14:textId="77777777" w:rsidR="00A34B1F" w:rsidRDefault="00A34B1F">
      <w:pPr>
        <w:pStyle w:val="Heading1"/>
        <w:rPr>
          <w:rFonts w:ascii="Segoe UI" w:eastAsia="Times New Roman" w:hAnsi="Segoe UI" w:cs="Segoe UI"/>
          <w:lang w:val="en"/>
        </w:rPr>
      </w:pPr>
      <w:bookmarkStart w:id="38" w:name="_Toc235440593"/>
      <w:r>
        <w:rPr>
          <w:rFonts w:ascii="Segoe UI" w:eastAsia="Times New Roman" w:hAnsi="Segoe UI" w:cs="Segoe UI"/>
          <w:lang w:val="en"/>
        </w:rPr>
        <w:lastRenderedPageBreak/>
        <w:t>22. Data Ownership</w:t>
      </w:r>
      <w:bookmarkEnd w:id="38"/>
    </w:p>
    <w:p w14:paraId="6AEE141C"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Ownership of data and intellectual property is set out clearly,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understands exactly what it owns, what Altanfith owns, and how this is affected by the commercial model selected.</w:t>
      </w:r>
    </w:p>
    <w:p w14:paraId="4A866C7C" w14:textId="77777777" w:rsidR="00A34B1F" w:rsidRDefault="00A34B1F">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Client data remains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 at all times.</w:t>
      </w:r>
    </w:p>
    <w:p w14:paraId="21FCA3B2" w14:textId="77777777" w:rsidR="00A34B1F" w:rsidRDefault="00A34B1F">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Altanfith Aldwaliah SPC claims no ownership of client operational data.</w:t>
      </w:r>
    </w:p>
    <w:p w14:paraId="7420A48D" w14:textId="77777777" w:rsidR="00A34B1F" w:rsidRDefault="00A34B1F">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Data export is provided at contract termination, in an agreed format.</w:t>
      </w:r>
    </w:p>
    <w:p w14:paraId="23559A9A" w14:textId="77777777" w:rsidR="00A34B1F" w:rsidRDefault="00A34B1F">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Retention and deletion terms are defined in the commercial agreement.</w:t>
      </w:r>
    </w:p>
    <w:p w14:paraId="2618D6A5" w14:textId="77777777" w:rsidR="00A34B1F" w:rsidRDefault="00A34B1F">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For on-premises deployments, data may remain entirely within </w:t>
      </w:r>
      <w:r>
        <w:rPr>
          <w:rStyle w:val="Strong"/>
          <w:rFonts w:ascii="Segoe UI" w:eastAsia="Times New Roman" w:hAnsi="Segoe UI" w:cs="Segoe UI"/>
          <w:color w:val="1F2933"/>
          <w:sz w:val="21"/>
          <w:szCs w:val="21"/>
          <w:lang w:val="en"/>
        </w:rPr>
        <w:t>[Client Infrastructure]</w:t>
      </w:r>
      <w:r>
        <w:rPr>
          <w:rFonts w:ascii="Segoe UI" w:eastAsia="Times New Roman" w:hAnsi="Segoe UI" w:cs="Segoe UI"/>
          <w:color w:val="1F2933"/>
          <w:sz w:val="21"/>
          <w:szCs w:val="21"/>
          <w:lang w:val="en"/>
        </w:rPr>
        <w:t>.</w:t>
      </w:r>
    </w:p>
    <w:p w14:paraId="21EF4379" w14:textId="77777777" w:rsidR="00A34B1F" w:rsidRDefault="00A34B1F">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Intellectual property ownership depends on the commercial model selected (see Section 33).</w:t>
      </w:r>
    </w:p>
    <w:p w14:paraId="72FC3007" w14:textId="77777777" w:rsidR="00A34B1F" w:rsidRDefault="00A34B1F">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Standard platform IP remains with Altanfith Aldwaliah SPC unless transferred by separate agreement.</w:t>
      </w:r>
    </w:p>
    <w:p w14:paraId="4FCB69CA" w14:textId="77777777" w:rsidR="00A34B1F" w:rsidRDefault="00A34B1F">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Client-specific content — including questions, participant data, and reports — remains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w:t>
      </w:r>
    </w:p>
    <w:p w14:paraId="49A63DED" w14:textId="77777777" w:rsidR="00A34B1F" w:rsidRDefault="00A34B1F">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Source-code ownership is not automatically included, and applies only where it is expressly stated in the commercial agreement.</w:t>
      </w:r>
    </w:p>
    <w:p w14:paraId="09A29B3F" w14:textId="77777777" w:rsidR="00A34B1F" w:rsidRDefault="00A34B1F">
      <w:pPr>
        <w:pStyle w:val="Heading1"/>
        <w:rPr>
          <w:rFonts w:ascii="Segoe UI" w:eastAsia="Times New Roman" w:hAnsi="Segoe UI" w:cs="Segoe UI"/>
          <w:lang w:val="en"/>
        </w:rPr>
      </w:pPr>
      <w:bookmarkStart w:id="39" w:name="_Toc235440594"/>
      <w:r>
        <w:rPr>
          <w:rFonts w:ascii="Segoe UI" w:eastAsia="Times New Roman" w:hAnsi="Segoe UI" w:cs="Segoe UI"/>
          <w:lang w:val="en"/>
        </w:rPr>
        <w:lastRenderedPageBreak/>
        <w:t>23. Integration Options</w:t>
      </w:r>
      <w:bookmarkEnd w:id="39"/>
    </w:p>
    <w:p w14:paraId="3E2A73D0"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exposes REST APIs that support integration into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existing systems. Integrations are delivered as scoped work under the Enterprise Custom Development Partnership commercial model (Model C, see Section 33), rather than assumed as part of the base platform, and their final scope is always subject to the availability and technical constraints of the relevant third-party API.</w:t>
      </w:r>
    </w:p>
    <w:tbl>
      <w:tblPr>
        <w:tblW w:w="5000" w:type="pct"/>
        <w:tblCellMar>
          <w:top w:w="15" w:type="dxa"/>
          <w:left w:w="15" w:type="dxa"/>
          <w:bottom w:w="15" w:type="dxa"/>
          <w:right w:w="15" w:type="dxa"/>
        </w:tblCellMar>
        <w:tblLook w:val="04A0" w:firstRow="1" w:lastRow="0" w:firstColumn="1" w:lastColumn="0" w:noHBand="0" w:noVBand="1"/>
      </w:tblPr>
      <w:tblGrid>
        <w:gridCol w:w="3175"/>
        <w:gridCol w:w="5426"/>
        <w:gridCol w:w="1018"/>
      </w:tblGrid>
      <w:tr w:rsidR="00000000" w14:paraId="6F4ED4C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DA9C7AD"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Integration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55E453C"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C9305B5"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742A1AC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45E94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 sign-on (Microsoft Entra ID / Active Directory)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14178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Authentication against the client's existing identity provider, with roles mapped to directory groups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D64BE2"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976BCE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514F7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HR systems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62F4C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with the client's HR system, for example for user or organizational-unit synchronization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5560FE"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312FCA4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3AA2F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Learning Management System (LMS)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8AD9E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with the client's LMS for training-related workflows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D5B28E"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7BE59F2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70C83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BD8A1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supporting session distribution or notification via 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67A9B0"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D779EE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17695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3033A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exposing platform data for consumption in Power BI dashboards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3A3E5F"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587FC4B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17B5F9"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[Integration System]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ACD1D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Any additional client system identified during discovery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FA4040"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38AAAF25" w14:textId="77777777" w:rsidR="00A34B1F" w:rsidRDefault="00A34B1F">
      <w:pPr>
        <w:pStyle w:val="muted"/>
        <w:spacing w:before="120" w:beforeAutospacing="0" w:after="120" w:afterAutospacing="0"/>
        <w:rPr>
          <w:rFonts w:ascii="Segoe UI" w:hAnsi="Segoe UI" w:cs="Segoe UI"/>
          <w:lang w:val="en"/>
        </w:rPr>
      </w:pPr>
      <w:r>
        <w:rPr>
          <w:rFonts w:ascii="Segoe UI" w:hAnsi="Segoe UI" w:cs="Segoe UI"/>
          <w:lang w:val="en"/>
        </w:rPr>
        <w:t>All integrations listed above are optional and subject to the availability, documentation, and technical constraints of the relevant third-party API; final integration scope is confirmed during discovery (see Section 25, Phase 1) and delivered under Phase 8 (Integration Development) of the implementation methodology.</w:t>
      </w:r>
    </w:p>
    <w:p w14:paraId="070DF24A" w14:textId="77777777" w:rsidR="00A34B1F" w:rsidRDefault="00A34B1F">
      <w:pPr>
        <w:pStyle w:val="Heading1"/>
        <w:rPr>
          <w:rFonts w:ascii="Segoe UI" w:eastAsia="Times New Roman" w:hAnsi="Segoe UI" w:cs="Segoe UI"/>
          <w:lang w:val="en"/>
        </w:rPr>
      </w:pPr>
      <w:bookmarkStart w:id="40" w:name="_Toc235440595"/>
      <w:r>
        <w:rPr>
          <w:rFonts w:ascii="Segoe UI" w:eastAsia="Times New Roman" w:hAnsi="Segoe UI" w:cs="Segoe UI"/>
          <w:lang w:val="en"/>
        </w:rPr>
        <w:lastRenderedPageBreak/>
        <w:t>24. Performance and Scalability</w:t>
      </w:r>
      <w:bookmarkEnd w:id="40"/>
    </w:p>
    <w:p w14:paraId="3D14BE2D"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Performance and scalability claims for the Live Quiz Platform are grounded in what has actually been observed, rather than presented as an unqualified guarantee.</w:t>
      </w:r>
    </w:p>
    <w:p w14:paraId="5FD08E27"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has supported </w:t>
      </w:r>
      <w:r>
        <w:rPr>
          <w:rStyle w:val="Strong"/>
          <w:rFonts w:ascii="Segoe UI" w:hAnsi="Segoe UI" w:cs="Segoe UI"/>
          <w:color w:val="1F2933"/>
          <w:sz w:val="21"/>
          <w:szCs w:val="21"/>
          <w:lang w:val="en"/>
        </w:rPr>
        <w:t>more than 100 participants in a single live session in real production use</w:t>
      </w:r>
      <w:r>
        <w:rPr>
          <w:rFonts w:ascii="Segoe UI" w:hAnsi="Segoe UI" w:cs="Segoe UI"/>
          <w:color w:val="1F2933"/>
          <w:sz w:val="21"/>
          <w:szCs w:val="21"/>
          <w:lang w:val="en"/>
        </w:rPr>
        <w:t xml:space="preserve">, as described in Section 12. In addition to this production track record, internal load exercises have separately validated </w:t>
      </w:r>
      <w:r>
        <w:rPr>
          <w:rStyle w:val="Strong"/>
          <w:rFonts w:ascii="Segoe UI" w:hAnsi="Segoe UI" w:cs="Segoe UI"/>
          <w:color w:val="1F2933"/>
          <w:sz w:val="21"/>
          <w:szCs w:val="21"/>
          <w:lang w:val="en"/>
        </w:rPr>
        <w:t>400 concurrent participant joins</w:t>
      </w:r>
      <w:r>
        <w:rPr>
          <w:rFonts w:ascii="Segoe UI" w:hAnsi="Segoe UI" w:cs="Segoe UI"/>
          <w:color w:val="1F2933"/>
          <w:sz w:val="21"/>
          <w:szCs w:val="21"/>
          <w:lang w:val="en"/>
        </w:rPr>
        <w:t xml:space="preserve"> against the production configuration, giving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 tested reference point beyond day-to-day operational use.</w:t>
      </w:r>
    </w:p>
    <w:p w14:paraId="5EEA44C9"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Beyond these two reference points, the following considerations apply to any deployment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p w14:paraId="5C5DABF5" w14:textId="77777777" w:rsidR="00A34B1F" w:rsidRDefault="00A34B1F">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Final concurrency targets are confirmed during discovery, based on </w:t>
      </w:r>
      <w:r>
        <w:rPr>
          <w:rStyle w:val="Strong"/>
          <w:rFonts w:ascii="Segoe UI" w:eastAsia="Times New Roman" w:hAnsi="Segoe UI" w:cs="Segoe UI"/>
          <w:color w:val="1F2933"/>
          <w:sz w:val="21"/>
          <w:szCs w:val="21"/>
          <w:lang w:val="en"/>
        </w:rPr>
        <w:t>[Concurrent Participants]</w:t>
      </w:r>
      <w:r>
        <w:rPr>
          <w:rFonts w:ascii="Segoe UI" w:eastAsia="Times New Roman" w:hAnsi="Segoe UI" w:cs="Segoe UI"/>
          <w:color w:val="1F2933"/>
          <w:sz w:val="21"/>
          <w:szCs w:val="21"/>
          <w:lang w:val="en"/>
        </w:rPr>
        <w:t>.</w:t>
      </w:r>
    </w:p>
    <w:p w14:paraId="109AC726" w14:textId="77777777" w:rsidR="00A34B1F" w:rsidRDefault="00A34B1F">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Load testing is recommended ahead of any enterprise deployment with a large expected audience.</w:t>
      </w:r>
    </w:p>
    <w:p w14:paraId="1CD6BAEC" w14:textId="77777777" w:rsidR="00A34B1F" w:rsidRDefault="00A34B1F">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Cloud scaling and infrastructure sizing are based on the expected usage profile agreed with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w:t>
      </w:r>
    </w:p>
    <w:p w14:paraId="74CDB976" w14:textId="77777777" w:rsidR="00A34B1F" w:rsidRDefault="00A34B1F">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For on-premises deployments, real-time performance depends on the client's own infrastructure and network configuration.</w:t>
      </w:r>
    </w:p>
    <w:p w14:paraId="1350D9E2" w14:textId="77777777" w:rsidR="00A34B1F" w:rsidRDefault="00A34B1F">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Real-time functionality requires proper network and server configuration to perform as designed.</w:t>
      </w:r>
    </w:p>
    <w:p w14:paraId="1FC369E0" w14:textId="77777777" w:rsidR="00A34B1F" w:rsidRDefault="00A34B1F">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Performance monitoring may be included as part of the applicable support and maintenance package (see Section 31).</w:t>
      </w:r>
    </w:p>
    <w:p w14:paraId="26C187C0"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does not make claims of unlimited scalability. Performance at higher concurrency levels than those referenced above should be validated through load testing scoped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requirements before a large-scale go-live.</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02C21BE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818E44" w14:textId="77777777" w:rsidR="00A34B1F" w:rsidRDefault="00A34B1F">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FOUR</w:t>
            </w:r>
          </w:p>
          <w:p w14:paraId="2A3BA56A" w14:textId="77777777" w:rsidR="00A34B1F" w:rsidRDefault="00A34B1F">
            <w:pPr>
              <w:pStyle w:val="NormalWeb"/>
              <w:rPr>
                <w:rFonts w:ascii="Segoe UI" w:hAnsi="Segoe UI" w:cs="Segoe UI"/>
                <w:b/>
                <w:bCs/>
                <w:color w:val="FFFFFF"/>
                <w:sz w:val="44"/>
                <w:szCs w:val="44"/>
              </w:rPr>
            </w:pPr>
            <w:r>
              <w:rPr>
                <w:rFonts w:ascii="Segoe UI" w:hAnsi="Segoe UI" w:cs="Segoe UI"/>
                <w:b/>
                <w:bCs/>
                <w:color w:val="FFFFFF"/>
                <w:sz w:val="44"/>
                <w:szCs w:val="44"/>
              </w:rPr>
              <w:t>Delivery</w:t>
            </w:r>
          </w:p>
          <w:p w14:paraId="4D459DC3" w14:textId="77777777" w:rsidR="00A34B1F" w:rsidRDefault="00A34B1F">
            <w:pPr>
              <w:pStyle w:val="NormalWeb"/>
              <w:rPr>
                <w:rFonts w:ascii="Segoe UI" w:hAnsi="Segoe UI" w:cs="Segoe UI"/>
                <w:color w:val="1F2933"/>
              </w:rPr>
            </w:pPr>
            <w:r>
              <w:rPr>
                <w:rFonts w:ascii="Segoe UI" w:hAnsi="Segoe UI" w:cs="Segoe UI"/>
                <w:color w:val="1F2933"/>
              </w:rPr>
              <w:t>How Altanfith plans, governs, and delivers the engagement</w:t>
            </w:r>
          </w:p>
        </w:tc>
      </w:tr>
    </w:tbl>
    <w:p w14:paraId="6BB5537E" w14:textId="77777777" w:rsidR="00A34B1F" w:rsidRDefault="00A34B1F">
      <w:pPr>
        <w:pStyle w:val="Heading1"/>
        <w:rPr>
          <w:rFonts w:ascii="Segoe UI" w:eastAsia="Times New Roman" w:hAnsi="Segoe UI" w:cs="Segoe UI"/>
          <w:lang w:val="en"/>
        </w:rPr>
      </w:pPr>
      <w:bookmarkStart w:id="41" w:name="_Toc235440596"/>
      <w:r>
        <w:rPr>
          <w:rFonts w:ascii="Segoe UI" w:eastAsia="Times New Roman" w:hAnsi="Segoe UI" w:cs="Segoe UI"/>
          <w:lang w:val="en"/>
        </w:rPr>
        <w:lastRenderedPageBreak/>
        <w:t>25. Implementation Methodology</w:t>
      </w:r>
      <w:bookmarkEnd w:id="41"/>
    </w:p>
    <w:p w14:paraId="2650FC2B"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delivers the Live Quiz Platform through a structured, 17-phase methodology, designed to take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from initial requirements through to a supported, live production system with clear exit criteria at each stage.</w:t>
      </w:r>
    </w:p>
    <w:tbl>
      <w:tblPr>
        <w:tblW w:w="5000" w:type="pct"/>
        <w:tblCellMar>
          <w:top w:w="15" w:type="dxa"/>
          <w:left w:w="15" w:type="dxa"/>
          <w:bottom w:w="15" w:type="dxa"/>
          <w:right w:w="15" w:type="dxa"/>
        </w:tblCellMar>
        <w:tblLook w:val="04A0" w:firstRow="1" w:lastRow="0" w:firstColumn="1" w:lastColumn="0" w:noHBand="0" w:noVBand="1"/>
      </w:tblPr>
      <w:tblGrid>
        <w:gridCol w:w="2347"/>
        <w:gridCol w:w="4785"/>
        <w:gridCol w:w="2487"/>
      </w:tblGrid>
      <w:tr w:rsidR="00000000" w14:paraId="19B9DB2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BE6BDB0"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Phase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E07C807"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 &amp; Key Activities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B918C21"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Exit Criteria</w:t>
            </w:r>
          </w:p>
        </w:tc>
      </w:tr>
      <w:tr w:rsidR="00000000" w14:paraId="544CE68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19491A"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 Discovery &amp; Requirements Gathering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162D6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Structured workshops and stakeholder interviews establish functional, branding, and organizational requirements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D9BDA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Documented and agreed requirements</w:t>
            </w:r>
          </w:p>
        </w:tc>
      </w:tr>
      <w:tr w:rsidR="00000000" w14:paraId="76AF145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350B2F"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2. Technical Assessment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FAD5C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Reviews </w:t>
            </w: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network, and hosting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E7121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Assessment report; confirmed deployment option</w:t>
            </w:r>
          </w:p>
        </w:tc>
      </w:tr>
      <w:tr w:rsidR="00000000" w14:paraId="65F51E5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AC28CB"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3. Cybersecurity Review</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A5CFD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Engages the client's security team on the proposed architecture and controls (Section 20)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23014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Client-approved security architecture</w:t>
            </w:r>
          </w:p>
        </w:tc>
      </w:tr>
      <w:tr w:rsidR="00000000" w14:paraId="21B6D0B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9AD5B1"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4. Solution Design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049D1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Translates requirements into a detailed solution design, incl. configuration, branding, and custom/integration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0BB1F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Approved solution design document</w:t>
            </w:r>
          </w:p>
        </w:tc>
      </w:tr>
      <w:tr w:rsidR="00000000" w14:paraId="18F3DA3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726FC5"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5. UI &amp; Branding Customization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36D09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Applies the client's logo, color palette, themes, and UI text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ED7D7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Branded environment reviewed by client</w:t>
            </w:r>
          </w:p>
        </w:tc>
      </w:tr>
      <w:tr w:rsidR="00000000" w14:paraId="1E9DF87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070D20"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6.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8F77B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Configures organizations, departments, user roles, and platform settings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F0815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environment ready for build/test</w:t>
            </w:r>
          </w:p>
        </w:tc>
      </w:tr>
      <w:tr w:rsidR="00000000" w14:paraId="5BB7E5E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51A042"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7. Custom Development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7DD23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Builds agreed custom features, workflows, or reports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F5E0A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development complete and reviewed</w:t>
            </w:r>
          </w:p>
        </w:tc>
      </w:tr>
      <w:tr w:rsidR="00000000" w14:paraId="575C29B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FC4941"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8. Integration Development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93172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Builds and configures agreed integrations (Section 23)</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EB48F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functioning against client systems</w:t>
            </w:r>
          </w:p>
        </w:tc>
      </w:tr>
      <w:tr w:rsidR="00000000" w14:paraId="2FD1C49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B92B79"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9. Internal Testing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C57A3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Functional and regression testing across the configured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EDEE0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 results reviewed; defects triaged</w:t>
            </w:r>
          </w:p>
        </w:tc>
      </w:tr>
      <w:tr w:rsidR="00000000" w14:paraId="579E630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705962"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10. Security Testing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21CDB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Security-focused testing against the Section 20 controls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DE638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Testing complete; remediation applied</w:t>
            </w:r>
          </w:p>
        </w:tc>
      </w:tr>
      <w:tr w:rsidR="00000000" w14:paraId="0D72162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4ADE88"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11. User Acceptance Testing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480E6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tests the platform against agreed acceptance criteria (Section 30)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5E51B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sign-off (Milestone M5)</w:t>
            </w:r>
          </w:p>
        </w:tc>
      </w:tr>
      <w:tr w:rsidR="00000000" w14:paraId="43435A5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C897E1"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12. Data Migration (if required)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77780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Migrates agreed legacy data into the platform, where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4507A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Migrated data validated against source</w:t>
            </w:r>
          </w:p>
        </w:tc>
      </w:tr>
      <w:tr w:rsidR="00000000" w14:paraId="1DFFBA5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EDE985"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13. Deployment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2436F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Deploys the platform to the production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5E26B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Production environment live and verified</w:t>
            </w:r>
          </w:p>
        </w:tc>
      </w:tr>
      <w:tr w:rsidR="00000000" w14:paraId="713F817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9C1AC7"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14.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BC449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quiz-creator, and support-team training (Section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9F6DA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completed; materials handed over</w:t>
            </w:r>
          </w:p>
        </w:tc>
      </w:tr>
      <w:tr w:rsidR="00000000" w14:paraId="7E3312B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571A49"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15. Go-Live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982AD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Platform goes live for production use, following successful UAT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AFC55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 checklist completed (Milestone M6)</w:t>
            </w:r>
          </w:p>
        </w:tc>
      </w:tr>
      <w:tr w:rsidR="00000000" w14:paraId="0C22C32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60FA07"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16. 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649D6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Heightened, close-support monitoring immediately following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F787D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completed; no unresolved critical issues</w:t>
            </w:r>
          </w:p>
        </w:tc>
      </w:tr>
      <w:tr w:rsidR="00000000" w14:paraId="6C34723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A69C85"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17. Transition to Support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CF67D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Hands the platform from the project team to ongoing support (Section 31)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D0896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handover complete (Milestone M7)</w:t>
            </w:r>
          </w:p>
        </w:tc>
      </w:tr>
    </w:tbl>
    <w:p w14:paraId="330E5F21" w14:textId="77777777" w:rsidR="00A34B1F" w:rsidRDefault="00A34B1F">
      <w:pPr>
        <w:pStyle w:val="Heading1"/>
        <w:rPr>
          <w:rFonts w:ascii="Segoe UI" w:eastAsia="Times New Roman" w:hAnsi="Segoe UI" w:cs="Segoe UI"/>
          <w:lang w:val="en"/>
        </w:rPr>
      </w:pPr>
      <w:bookmarkStart w:id="42" w:name="_Toc235440597"/>
      <w:r>
        <w:rPr>
          <w:rFonts w:ascii="Segoe UI" w:eastAsia="Times New Roman" w:hAnsi="Segoe UI" w:cs="Segoe UI"/>
          <w:lang w:val="en"/>
        </w:rPr>
        <w:lastRenderedPageBreak/>
        <w:t>26. Project Timeline</w:t>
      </w:r>
      <w:bookmarkEnd w:id="42"/>
    </w:p>
    <w:p w14:paraId="496442D7"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table below presents a sample timeline of 6–12 weeks, mapped against the phases described in Section 25.</w:t>
      </w:r>
    </w:p>
    <w:tbl>
      <w:tblPr>
        <w:tblW w:w="5000" w:type="pct"/>
        <w:tblCellMar>
          <w:top w:w="15" w:type="dxa"/>
          <w:left w:w="15" w:type="dxa"/>
          <w:bottom w:w="15" w:type="dxa"/>
          <w:right w:w="15" w:type="dxa"/>
        </w:tblCellMar>
        <w:tblLook w:val="04A0" w:firstRow="1" w:lastRow="0" w:firstColumn="1" w:lastColumn="0" w:noHBand="0" w:noVBand="1"/>
      </w:tblPr>
      <w:tblGrid>
        <w:gridCol w:w="1105"/>
        <w:gridCol w:w="8514"/>
      </w:tblGrid>
      <w:tr w:rsidR="00000000" w14:paraId="7BC2454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6650162"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Weeks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BF2C6D3"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Phases</w:t>
            </w:r>
          </w:p>
        </w:tc>
      </w:tr>
      <w:tr w:rsidR="00000000" w14:paraId="4DD9C21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E95AB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4ACE5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Discovery &amp; Requirements Gathering; Technical Assessment; Cybersecurity Review</w:t>
            </w:r>
          </w:p>
        </w:tc>
      </w:tr>
      <w:tr w:rsidR="00000000" w14:paraId="6643BD7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F866F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W2–4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93E84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UI &amp; Branding Customization</w:t>
            </w:r>
          </w:p>
        </w:tc>
      </w:tr>
      <w:tr w:rsidR="00000000" w14:paraId="1A84068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C97DB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W3–7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E8A16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Configuration; Custom Development; Integration Development</w:t>
            </w:r>
          </w:p>
        </w:tc>
      </w:tr>
      <w:tr w:rsidR="00000000" w14:paraId="1E38F40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FACE9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D4727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Testing; Security Testing; User Acceptance Testing</w:t>
            </w:r>
          </w:p>
        </w:tc>
      </w:tr>
      <w:tr w:rsidR="00000000" w14:paraId="67BD396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F5DF5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W9–10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852A8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Deployment; Training</w:t>
            </w:r>
          </w:p>
        </w:tc>
      </w:tr>
      <w:tr w:rsidR="00000000" w14:paraId="6CDF5E5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51409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280F4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w:t>
            </w:r>
          </w:p>
        </w:tc>
      </w:tr>
      <w:tr w:rsidR="00000000" w14:paraId="6C7CE75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328B3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W10–12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12A62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Transition to Support</w:t>
            </w:r>
          </w:p>
        </w:tc>
      </w:tr>
    </w:tbl>
    <w:p w14:paraId="0EC468F3" w14:textId="77777777" w:rsidR="00A34B1F" w:rsidRDefault="00A34B1F">
      <w:pPr>
        <w:pStyle w:val="Heading2"/>
        <w:rPr>
          <w:rFonts w:ascii="Segoe UI" w:eastAsia="Times New Roman" w:hAnsi="Segoe UI" w:cs="Segoe UI"/>
          <w:lang w:val="en"/>
        </w:rPr>
      </w:pPr>
      <w:bookmarkStart w:id="43" w:name="_Toc235440598"/>
      <w:r>
        <w:rPr>
          <w:rFonts w:ascii="Segoe UI" w:eastAsia="Times New Roman" w:hAnsi="Segoe UI" w:cs="Segoe UI"/>
          <w:lang w:val="en"/>
        </w:rPr>
        <w:t>26.1 Milestones</w:t>
      </w:r>
      <w:bookmarkEnd w:id="43"/>
    </w:p>
    <w:tbl>
      <w:tblPr>
        <w:tblW w:w="5000" w:type="pct"/>
        <w:tblCellMar>
          <w:top w:w="15" w:type="dxa"/>
          <w:left w:w="15" w:type="dxa"/>
          <w:bottom w:w="15" w:type="dxa"/>
          <w:right w:w="15" w:type="dxa"/>
        </w:tblCellMar>
        <w:tblLook w:val="04A0" w:firstRow="1" w:lastRow="0" w:firstColumn="1" w:lastColumn="0" w:noHBand="0" w:noVBand="1"/>
      </w:tblPr>
      <w:tblGrid>
        <w:gridCol w:w="1125"/>
        <w:gridCol w:w="3063"/>
        <w:gridCol w:w="1932"/>
        <w:gridCol w:w="3499"/>
      </w:tblGrid>
      <w:tr w:rsidR="00000000" w14:paraId="460C6CD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FFAF27E"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Milestone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93598CC"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833BFD3"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Indicative Completion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452C2EB"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Sign-off by</w:t>
            </w:r>
          </w:p>
        </w:tc>
      </w:tr>
      <w:tr w:rsidR="00000000" w14:paraId="3820A4E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B93CA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59328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Requirements sign-off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F5418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DFF75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44648DB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62820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2390D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approval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78BF2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4A31C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344AF0C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9E5B7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27828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Configured &amp; </w:t>
            </w:r>
            <w:r>
              <w:rPr>
                <w:rFonts w:ascii="Segoe UI" w:eastAsia="Times New Roman" w:hAnsi="Segoe UI" w:cs="Segoe UI"/>
                <w:color w:val="1F2933"/>
                <w:sz w:val="19"/>
                <w:szCs w:val="19"/>
              </w:rPr>
              <w:t>branded environment ready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C6510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1F3BE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Project Manager</w:t>
            </w:r>
          </w:p>
        </w:tc>
      </w:tr>
      <w:tr w:rsidR="00000000" w14:paraId="1F2CDC7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02E70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665D0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complete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0C7D3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2C510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Technical Lead</w:t>
            </w:r>
          </w:p>
        </w:tc>
      </w:tr>
      <w:tr w:rsidR="00000000" w14:paraId="40395A3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12D58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95EE5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sign-off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E53AB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W9</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0AB11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2789090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4697B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M6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36457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1453F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E684F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Sponsor</w:t>
            </w:r>
          </w:p>
        </w:tc>
      </w:tr>
      <w:tr w:rsidR="00000000" w14:paraId="5BC8A33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2CE61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845DF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exit / support handover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16BE5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915DC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 &amp; Altanfith Project Manager</w:t>
            </w:r>
          </w:p>
        </w:tc>
      </w:tr>
    </w:tbl>
    <w:p w14:paraId="3B2B6195" w14:textId="77777777" w:rsidR="00A34B1F" w:rsidRDefault="00A34B1F">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This timeline is indicative only. The actual project timeline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depends on the final agreed scope, the number and complexity of integrations, and the timeliness of client approvals at each milestone.</w:t>
      </w:r>
    </w:p>
    <w:p w14:paraId="0A4B65BA" w14:textId="77777777" w:rsidR="00A34B1F" w:rsidRDefault="00A34B1F">
      <w:pPr>
        <w:pStyle w:val="Heading1"/>
        <w:rPr>
          <w:rFonts w:ascii="Segoe UI" w:eastAsia="Times New Roman" w:hAnsi="Segoe UI" w:cs="Segoe UI"/>
          <w:lang w:val="en"/>
        </w:rPr>
      </w:pPr>
      <w:bookmarkStart w:id="44" w:name="_Toc235440599"/>
      <w:r>
        <w:rPr>
          <w:rFonts w:ascii="Segoe UI" w:eastAsia="Times New Roman" w:hAnsi="Segoe UI" w:cs="Segoe UI"/>
          <w:lang w:val="en"/>
        </w:rPr>
        <w:lastRenderedPageBreak/>
        <w:t>27. Project Governance</w:t>
      </w:r>
      <w:bookmarkEnd w:id="44"/>
    </w:p>
    <w:p w14:paraId="098A46D2"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engagement is governed through a clearly defined set of roles and a regular reporting cadence, so that progress, issues, and decisions are visible to both parties throughout delivery.</w:t>
      </w:r>
    </w:p>
    <w:tbl>
      <w:tblPr>
        <w:tblW w:w="5000" w:type="pct"/>
        <w:tblCellMar>
          <w:top w:w="15" w:type="dxa"/>
          <w:left w:w="15" w:type="dxa"/>
          <w:bottom w:w="15" w:type="dxa"/>
          <w:right w:w="15" w:type="dxa"/>
        </w:tblCellMar>
        <w:tblLook w:val="04A0" w:firstRow="1" w:lastRow="0" w:firstColumn="1" w:lastColumn="0" w:noHBand="0" w:noVBand="1"/>
      </w:tblPr>
      <w:tblGrid>
        <w:gridCol w:w="3026"/>
        <w:gridCol w:w="6593"/>
      </w:tblGrid>
      <w:tr w:rsidR="00000000" w14:paraId="2AF5875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8CBAD40"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8C22440"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Responsibility</w:t>
            </w:r>
          </w:p>
        </w:tc>
      </w:tr>
      <w:tr w:rsidR="00000000" w14:paraId="25D9332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55D12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Sponsor (client)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456FA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Owns the business case and provides executive-level decisions and escalation support</w:t>
            </w:r>
          </w:p>
        </w:tc>
      </w:tr>
      <w:tr w:rsidR="00000000" w14:paraId="1BDE0FE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8B74B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08A63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Coordinates client-side stakeholders, approvals, and resourcing</w:t>
            </w:r>
          </w:p>
        </w:tc>
      </w:tr>
      <w:tr w:rsidR="00000000" w14:paraId="5BD174F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15156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Project Manager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E27C9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Coordinates delivery, reporting, and issue/risk management on behalf of Altanfith</w:t>
            </w:r>
          </w:p>
        </w:tc>
      </w:tr>
      <w:tr w:rsidR="00000000" w14:paraId="6746785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81A4C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Technical Lead (Altanfith)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9AB60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Owns technical design, development, and integration decisions</w:t>
            </w:r>
          </w:p>
        </w:tc>
      </w:tr>
      <w:tr w:rsidR="00000000" w14:paraId="3432DB6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84AD1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Cybersecurity Representative (client)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F0A69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Reviews and approves the security architecture and controls</w:t>
            </w:r>
          </w:p>
        </w:tc>
      </w:tr>
      <w:tr w:rsidR="00000000" w14:paraId="459D04E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179FE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Business Owner (client)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5E8EE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Confirms functional requirements and acceptance criteria on behalf of the business</w:t>
            </w:r>
          </w:p>
        </w:tc>
      </w:tr>
    </w:tbl>
    <w:p w14:paraId="33D26C69"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Governance is supported by a consistent set of cadence and mechanics: weekly status meetings; regular progress reporting; a maintained issue log and risk log; a formal change-request management process for scope changes; an escalation process running from project manager to project sponsors; and a documented sign-off process at each milestone described in Section 26.</w:t>
      </w:r>
    </w:p>
    <w:p w14:paraId="2A95C519" w14:textId="77777777" w:rsidR="00A34B1F" w:rsidRDefault="00A34B1F">
      <w:pPr>
        <w:pStyle w:val="Heading1"/>
        <w:rPr>
          <w:rFonts w:ascii="Segoe UI" w:eastAsia="Times New Roman" w:hAnsi="Segoe UI" w:cs="Segoe UI"/>
          <w:lang w:val="en"/>
        </w:rPr>
      </w:pPr>
      <w:bookmarkStart w:id="45" w:name="_Toc235440600"/>
      <w:r>
        <w:rPr>
          <w:rFonts w:ascii="Segoe UI" w:eastAsia="Times New Roman" w:hAnsi="Segoe UI" w:cs="Segoe UI"/>
          <w:lang w:val="en"/>
        </w:rPr>
        <w:lastRenderedPageBreak/>
        <w:t>28. Deliverables</w:t>
      </w:r>
      <w:bookmarkEnd w:id="45"/>
    </w:p>
    <w:p w14:paraId="4EB71876"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The table below lists the deliverables produced over the course of the engagement.</w:t>
      </w:r>
    </w:p>
    <w:tbl>
      <w:tblPr>
        <w:tblW w:w="5000" w:type="pct"/>
        <w:tblCellMar>
          <w:top w:w="15" w:type="dxa"/>
          <w:left w:w="15" w:type="dxa"/>
          <w:bottom w:w="15" w:type="dxa"/>
          <w:right w:w="15" w:type="dxa"/>
        </w:tblCellMar>
        <w:tblLook w:val="04A0" w:firstRow="1" w:lastRow="0" w:firstColumn="1" w:lastColumn="0" w:noHBand="0" w:noVBand="1"/>
      </w:tblPr>
      <w:tblGrid>
        <w:gridCol w:w="2186"/>
        <w:gridCol w:w="4719"/>
        <w:gridCol w:w="2714"/>
      </w:tblGrid>
      <w:tr w:rsidR="00000000" w14:paraId="60D7776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132528A"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Deliverable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29552A5"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5906DF8"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Included?</w:t>
            </w:r>
          </w:p>
        </w:tc>
      </w:tr>
      <w:tr w:rsidR="00000000" w14:paraId="751A1B0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0C2F4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Requirements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7EFC4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Documented, agreed functional and non-functional requirements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A20EAF"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785112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8BB20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document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38E83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Detailed design of the configured and/or customized solution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32737B"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2C7673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F0968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CAC4A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configured per the agreed solution design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E81DAD"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8B0A77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CF7C1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Customized UI</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D7CF9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Branding and UI customization applied per Section 25, Phase 5</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441399"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9D1EB8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14E2E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Deployed frontend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52C3D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React frontend deployed to the agreed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2FE0D9"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CB8BB8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4670D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Deployed Express backend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63C22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Express.js API and WebSocket server deployed to the agreed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1CD234"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C33AE3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0005F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 setup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F097D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 configured and provisioned per the solution design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FDC9CE"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69575E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B0422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E6FD3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 controls configured per the client-approved security architecture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8D8E35"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F4F6C1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D9C38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roles configured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2E5E3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configured per the agreed role model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E06355"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378B72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F1F79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account setup</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B3F182"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Initial administrator accounts provisioned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44F506"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BC3DA1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163F8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91313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and analytics configured per Section 16</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1A8DEF"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23BB70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91D2F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57DD7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Materials used in the training described in Section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D923B4"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3714CB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E9BDD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User manual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24DEB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End-user reference documentation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7FC9E6"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9B1F38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99630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manual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79974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reference documentation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AD696B"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684861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D9659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Deployment guide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1AB42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Documentation of the deployed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7F4B9D"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2CC8DA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19528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 guide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80295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Documentation of backup procedures for the deployed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BF9539"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9D5FE3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628F9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handover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2A6FF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Formal handover to the ongoing support team (Phase 17)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17243D"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378E74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867DD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plan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957BB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Agreed User Acceptance Testing plan and criteria (Section 30)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B8E013"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F0F1BC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4D9FB5"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 report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F4A17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of internal, security, and acceptance testing outcomes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E353B5"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5220F1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AA412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 checklist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92E35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Checklist confirming readiness for production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295154" w14:textId="77777777" w:rsidR="00A34B1F" w:rsidRDefault="00A34B1F">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66A4FF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AA67E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Source code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620F9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Provided only where included in the selected commercial model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FD170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Only if included in the commercial model</w:t>
            </w:r>
          </w:p>
        </w:tc>
      </w:tr>
      <w:tr w:rsidR="00000000" w14:paraId="6C4F3BD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8A0246"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 documentation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85FC4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Provided where included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2C79F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If included</w:t>
            </w:r>
          </w:p>
        </w:tc>
      </w:tr>
    </w:tbl>
    <w:p w14:paraId="36B680EA" w14:textId="77777777" w:rsidR="00A34B1F" w:rsidRDefault="00A34B1F">
      <w:pPr>
        <w:pStyle w:val="Heading1"/>
        <w:rPr>
          <w:rFonts w:ascii="Segoe UI" w:eastAsia="Times New Roman" w:hAnsi="Segoe UI" w:cs="Segoe UI"/>
          <w:lang w:val="en"/>
        </w:rPr>
      </w:pPr>
      <w:bookmarkStart w:id="46" w:name="_Toc235440601"/>
      <w:r>
        <w:rPr>
          <w:rFonts w:ascii="Segoe UI" w:eastAsia="Times New Roman" w:hAnsi="Segoe UI" w:cs="Segoe UI"/>
          <w:lang w:val="en"/>
        </w:rPr>
        <w:lastRenderedPageBreak/>
        <w:t>29. Training and Knowledge Transfer</w:t>
      </w:r>
      <w:bookmarkEnd w:id="46"/>
    </w:p>
    <w:p w14:paraId="127C6FA5"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Training is provided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own team can operate, administer, and support the platform confidently after go-live.</w:t>
      </w:r>
    </w:p>
    <w:tbl>
      <w:tblPr>
        <w:tblW w:w="5000" w:type="pct"/>
        <w:tblCellMar>
          <w:top w:w="15" w:type="dxa"/>
          <w:left w:w="15" w:type="dxa"/>
          <w:bottom w:w="15" w:type="dxa"/>
          <w:right w:w="15" w:type="dxa"/>
        </w:tblCellMar>
        <w:tblLook w:val="04A0" w:firstRow="1" w:lastRow="0" w:firstColumn="1" w:lastColumn="0" w:noHBand="0" w:noVBand="1"/>
      </w:tblPr>
      <w:tblGrid>
        <w:gridCol w:w="2984"/>
        <w:gridCol w:w="5617"/>
        <w:gridCol w:w="1018"/>
      </w:tblGrid>
      <w:tr w:rsidR="00000000" w14:paraId="0EBAB07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AD3D03A"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Training 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AE81F41"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603E6D0"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0F67D22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10F5FD"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B9B13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administrators on platform configuration and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CF8D2E"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D6B56B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F64E6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Quiz-creator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2B9C2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staff authoring quizzes and question banks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11E42D"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D3D7EF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E9443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Support-team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EB37F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the client's internal support or IT team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CDEE58"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CB3188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3D5B4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manuals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E42CA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Reference documentation for end users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92E049"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49CAE2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C0BBD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Quick-start guide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F44921"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Condensed getting-started reference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A65F24" w14:textId="77777777" w:rsidR="00A34B1F" w:rsidRDefault="00A34B1F">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B56132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D1483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Recorded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CB1A40"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Recorded training sessions for later reference or onboarding new staff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BAE7A9"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5825069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29104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Train-the-trainer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61BF6C"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Enables client-side trainers to deliver ongoing internal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F946FC"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3BD197E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7AAEE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 and English 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951B9A"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Bilingual 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50BF8F" w14:textId="77777777" w:rsidR="00A34B1F" w:rsidRDefault="00A34B1F">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72BD79A4" w14:textId="77777777" w:rsidR="00A34B1F" w:rsidRDefault="00A34B1F">
      <w:pPr>
        <w:pStyle w:val="Heading1"/>
        <w:rPr>
          <w:rFonts w:ascii="Segoe UI" w:eastAsia="Times New Roman" w:hAnsi="Segoe UI" w:cs="Segoe UI"/>
          <w:lang w:val="en"/>
        </w:rPr>
      </w:pPr>
      <w:bookmarkStart w:id="47" w:name="_Toc235440602"/>
      <w:r>
        <w:rPr>
          <w:rFonts w:ascii="Segoe UI" w:eastAsia="Times New Roman" w:hAnsi="Segoe UI" w:cs="Segoe UI"/>
          <w:lang w:val="en"/>
        </w:rPr>
        <w:lastRenderedPageBreak/>
        <w:t>30. Testing and Acceptance</w:t>
      </w:r>
      <w:bookmarkEnd w:id="47"/>
    </w:p>
    <w:p w14:paraId="69F08B07"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passes through three layers of testing before it is accepted for production go-live. Altanfith performs internal functional and regression testing (Phase 9) across the configured environment, followed by security-focused testing (Phase 10) against the controls described in Section 20, ahead of client security review and sign-off. User Acceptance Testing (Phase 11) is then carried out against a client-approved UAT plan and agreed acceptance criteria,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 not Altanfith alone — confirms that the configured platform meets its requirements before go-live.</w:t>
      </w:r>
    </w:p>
    <w:p w14:paraId="4C126E86"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Any defects identified during internal, security, or acceptance testing are triaged using the same four-level severity model used for support (Section 32): Critical, High, Medium, and Low. UAT sign-off is Milestone M5 in the project timeline (Section 26), and it gates go-live: production rollout depends on successful UAT.</w:t>
      </w:r>
    </w:p>
    <w:p w14:paraId="7A26E27E" w14:textId="77777777" w:rsidR="00A34B1F" w:rsidRDefault="00A34B1F">
      <w:pPr>
        <w:pStyle w:val="Heading1"/>
        <w:rPr>
          <w:rFonts w:ascii="Segoe UI" w:eastAsia="Times New Roman" w:hAnsi="Segoe UI" w:cs="Segoe UI"/>
          <w:lang w:val="en"/>
        </w:rPr>
      </w:pPr>
      <w:bookmarkStart w:id="48" w:name="_Toc235440603"/>
      <w:r>
        <w:rPr>
          <w:rFonts w:ascii="Segoe UI" w:eastAsia="Times New Roman" w:hAnsi="Segoe UI" w:cs="Segoe UI"/>
          <w:lang w:val="en"/>
        </w:rPr>
        <w:lastRenderedPageBreak/>
        <w:t>31. Support and Maintenance</w:t>
      </w:r>
      <w:bookmarkEnd w:id="48"/>
    </w:p>
    <w:p w14:paraId="40CBF77B"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Ongoing support is delivered under one of three packages,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level of coverage and responsiveness that matches its operational needs.</w:t>
      </w:r>
    </w:p>
    <w:tbl>
      <w:tblPr>
        <w:tblW w:w="5000" w:type="pct"/>
        <w:tblCellMar>
          <w:top w:w="15" w:type="dxa"/>
          <w:left w:w="15" w:type="dxa"/>
          <w:bottom w:w="15" w:type="dxa"/>
          <w:right w:w="15" w:type="dxa"/>
        </w:tblCellMar>
        <w:tblLook w:val="04A0" w:firstRow="1" w:lastRow="0" w:firstColumn="1" w:lastColumn="0" w:noHBand="0" w:noVBand="1"/>
      </w:tblPr>
      <w:tblGrid>
        <w:gridCol w:w="980"/>
        <w:gridCol w:w="8639"/>
      </w:tblGrid>
      <w:tr w:rsidR="00000000" w14:paraId="0676155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BE1FF53"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Package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80D0498"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Includes</w:t>
            </w:r>
          </w:p>
        </w:tc>
      </w:tr>
      <w:tr w:rsidR="00000000" w14:paraId="537D9DC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1E319A"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Bronze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61D037"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Oman business-hours support; email support; bug fixes; standard updates; best-effort response</w:t>
            </w:r>
          </w:p>
        </w:tc>
      </w:tr>
      <w:tr w:rsidR="00000000" w14:paraId="12E1978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1AC64B"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Silver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35ED68"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Everything in Bronze, plus: priority support; faster response times; monthly system health review; performance optimization; minor improvements; remote assistance</w:t>
            </w:r>
          </w:p>
        </w:tc>
      </w:tr>
      <w:tr w:rsidR="00000000" w14:paraId="06B0770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7F13B2"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Gold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2384F4"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Everything in Silver, plus: critical incident support; dedicated support contact; priority issue resolution; proactive monitoring; security monitoring; quarterly service review; emergency support; 24/7 support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 dedicated development allocation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w:t>
            </w:r>
          </w:p>
        </w:tc>
      </w:tr>
    </w:tbl>
    <w:p w14:paraId="3AD43C03" w14:textId="77777777" w:rsidR="00A34B1F" w:rsidRDefault="00A34B1F">
      <w:pPr>
        <w:pStyle w:val="Heading1"/>
        <w:rPr>
          <w:rFonts w:ascii="Segoe UI" w:eastAsia="Times New Roman" w:hAnsi="Segoe UI" w:cs="Segoe UI"/>
          <w:lang w:val="en"/>
        </w:rPr>
      </w:pPr>
      <w:bookmarkStart w:id="49" w:name="_Toc235440604"/>
      <w:r>
        <w:rPr>
          <w:rFonts w:ascii="Segoe UI" w:eastAsia="Times New Roman" w:hAnsi="Segoe UI" w:cs="Segoe UI"/>
          <w:lang w:val="en"/>
        </w:rPr>
        <w:lastRenderedPageBreak/>
        <w:t>32. SLA</w:t>
      </w:r>
      <w:bookmarkEnd w:id="49"/>
    </w:p>
    <w:p w14:paraId="7B0F1674" w14:textId="77777777" w:rsidR="00A34B1F" w:rsidRDefault="00A34B1F">
      <w:pPr>
        <w:pStyle w:val="NormalWeb"/>
        <w:rPr>
          <w:rFonts w:ascii="Segoe UI" w:hAnsi="Segoe UI" w:cs="Segoe UI"/>
          <w:color w:val="1F2933"/>
          <w:sz w:val="21"/>
          <w:szCs w:val="21"/>
          <w:lang w:val="en"/>
        </w:rPr>
      </w:pPr>
      <w:r>
        <w:rPr>
          <w:rFonts w:ascii="Segoe UI" w:hAnsi="Segoe UI" w:cs="Segoe UI"/>
          <w:color w:val="1F2933"/>
          <w:sz w:val="21"/>
          <w:szCs w:val="21"/>
          <w:lang w:val="en"/>
        </w:rPr>
        <w:t>Service levels are defined by severity, with response time and target resolution time tracked as two separate measures — response confirms that an issue has been received and is being actioned; resolution is the target time to resolve it, and is not a guarantee.</w:t>
      </w:r>
    </w:p>
    <w:tbl>
      <w:tblPr>
        <w:tblW w:w="5000" w:type="pct"/>
        <w:tblCellMar>
          <w:top w:w="15" w:type="dxa"/>
          <w:left w:w="15" w:type="dxa"/>
          <w:bottom w:w="15" w:type="dxa"/>
          <w:right w:w="15" w:type="dxa"/>
        </w:tblCellMar>
        <w:tblLook w:val="04A0" w:firstRow="1" w:lastRow="0" w:firstColumn="1" w:lastColumn="0" w:noHBand="0" w:noVBand="1"/>
      </w:tblPr>
      <w:tblGrid>
        <w:gridCol w:w="1330"/>
        <w:gridCol w:w="4271"/>
        <w:gridCol w:w="1711"/>
        <w:gridCol w:w="2307"/>
      </w:tblGrid>
      <w:tr w:rsidR="00000000" w14:paraId="6E8681A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CDD5867"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Severity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2952F6D"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Definition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049316D"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Response Time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2FA11B8" w14:textId="77777777" w:rsidR="00A34B1F" w:rsidRDefault="00A34B1F">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Target Resolution Time</w:t>
            </w:r>
          </w:p>
        </w:tc>
      </w:tr>
      <w:tr w:rsidR="00000000" w14:paraId="27D92B4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27E9C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 Critical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3FA37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Platform down / live session blocked for all users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6E42CD"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058C04"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3F9E9B5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5D201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 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A63859"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Major function degraded, no workaround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CCAE8A"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508F84"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002B85C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B9162B"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 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943BBF"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Limited impact, workaround exists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C4FD35"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32A688"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78BB6D6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B8CD83"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 Low</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B0CB5E" w14:textId="77777777" w:rsidR="00A34B1F" w:rsidRDefault="00A34B1F">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Cosmetic / question / minor request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76C6E3"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B8E87A" w14:textId="77777777" w:rsidR="00A34B1F" w:rsidRDefault="00A34B1F">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bl>
    <w:p w14:paraId="49601301" w14:textId="77777777" w:rsidR="00A34B1F" w:rsidRDefault="00A34B1F">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Response and target resolution times are separate measures: response time confirms an issue has been received and triaged; target resolution time is a goal, dependent on the agreed SLA, and is not a guaranteed outcome. Actual values depend on the support package selected (Section 31) and the SLA agreed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24/7 coverage applies only where the Gold 24/7 option has been purchased.</w:t>
      </w:r>
    </w:p>
    <w:sectPr w:rsidR="00A34B1F" w:rsidSect="00B7190A">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C7EE4" w14:textId="77777777" w:rsidR="00A34B1F" w:rsidRDefault="00A34B1F" w:rsidP="00B7190A">
      <w:r>
        <w:separator/>
      </w:r>
    </w:p>
  </w:endnote>
  <w:endnote w:type="continuationSeparator" w:id="0">
    <w:p w14:paraId="6BEB10D5" w14:textId="77777777" w:rsidR="00A34B1F" w:rsidRDefault="00A34B1F" w:rsidP="00B719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5F7E" w14:textId="77777777" w:rsidR="00B7190A" w:rsidRDefault="00B719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7D01B" w14:textId="04E68A78" w:rsidR="00B7190A" w:rsidRPr="00B7190A" w:rsidRDefault="00B7190A" w:rsidP="00B7190A">
    <w:pPr>
      <w:pStyle w:val="Footer"/>
      <w:jc w:val="center"/>
      <w:rPr>
        <w:color w:val="5A6B7A"/>
        <w:sz w:val="16"/>
      </w:rPr>
    </w:pPr>
    <w:r w:rsidRPr="00B7190A">
      <w:rPr>
        <w:color w:val="5A6B7A"/>
        <w:sz w:val="16"/>
      </w:rPr>
      <w:t xml:space="preserve">Altanfith Aldwaliah SPC  |  Confidential  |  Page </w:t>
    </w:r>
    <w:r w:rsidRPr="00B7190A">
      <w:rPr>
        <w:color w:val="5A6B7A"/>
        <w:sz w:val="16"/>
      </w:rPr>
      <w:fldChar w:fldCharType="begin"/>
    </w:r>
    <w:r w:rsidRPr="00B7190A">
      <w:rPr>
        <w:color w:val="5A6B7A"/>
        <w:sz w:val="16"/>
      </w:rPr>
      <w:instrText xml:space="preserve"> PAGE  \* MERGEFORMAT </w:instrText>
    </w:r>
    <w:r w:rsidRPr="00B7190A">
      <w:rPr>
        <w:color w:val="5A6B7A"/>
        <w:sz w:val="16"/>
      </w:rPr>
      <w:fldChar w:fldCharType="separate"/>
    </w:r>
    <w:r w:rsidRPr="00B7190A">
      <w:rPr>
        <w:noProof/>
        <w:color w:val="5A6B7A"/>
        <w:sz w:val="16"/>
      </w:rPr>
      <w:t>1</w:t>
    </w:r>
    <w:r w:rsidRPr="00B7190A">
      <w:rPr>
        <w:color w:val="5A6B7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8CBFB" w14:textId="77777777" w:rsidR="00B7190A" w:rsidRDefault="00B719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25E5E" w14:textId="77777777" w:rsidR="00A34B1F" w:rsidRDefault="00A34B1F" w:rsidP="00B7190A">
      <w:r>
        <w:separator/>
      </w:r>
    </w:p>
  </w:footnote>
  <w:footnote w:type="continuationSeparator" w:id="0">
    <w:p w14:paraId="063EE87C" w14:textId="77777777" w:rsidR="00A34B1F" w:rsidRDefault="00A34B1F" w:rsidP="00B719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D0893" w14:textId="77777777" w:rsidR="00B7190A" w:rsidRDefault="00B719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F4670" w14:textId="77777777" w:rsidR="00B7190A" w:rsidRDefault="00B719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6F48" w14:textId="77777777" w:rsidR="00B7190A" w:rsidRDefault="00B719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012B"/>
    <w:multiLevelType w:val="multilevel"/>
    <w:tmpl w:val="8282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130CF6"/>
    <w:multiLevelType w:val="multilevel"/>
    <w:tmpl w:val="E490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0467994">
    <w:abstractNumId w:val="0"/>
  </w:num>
  <w:num w:numId="2" w16cid:durableId="893510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7190A"/>
    <w:rsid w:val="004D098C"/>
    <w:rsid w:val="00A34B1F"/>
    <w:rsid w:val="00B71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2AE625"/>
  <w15:chartTrackingRefBased/>
  <w15:docId w15:val="{DD1C55C5-960B-4C95-80A0-4E9081322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ageBreakBefore/>
      <w:pBdr>
        <w:bottom w:val="single" w:sz="18" w:space="4" w:color="0FA3A3"/>
      </w:pBdr>
      <w:spacing w:before="100" w:beforeAutospacing="1" w:after="100" w:afterAutospacing="1"/>
      <w:outlineLvl w:val="0"/>
    </w:pPr>
    <w:rPr>
      <w:b/>
      <w:bCs/>
      <w:color w:val="0B2239"/>
      <w:kern w:val="36"/>
      <w:sz w:val="36"/>
      <w:szCs w:val="36"/>
    </w:rPr>
  </w:style>
  <w:style w:type="paragraph" w:styleId="Heading2">
    <w:name w:val="heading 2"/>
    <w:basedOn w:val="Normal"/>
    <w:link w:val="Heading2Char"/>
    <w:uiPriority w:val="9"/>
    <w:qFormat/>
    <w:pPr>
      <w:spacing w:before="280" w:after="100" w:afterAutospacing="1"/>
      <w:outlineLvl w:val="1"/>
    </w:pPr>
    <w:rPr>
      <w:b/>
      <w:bCs/>
      <w:color w:val="0B2239"/>
      <w:sz w:val="26"/>
      <w:szCs w:val="26"/>
    </w:rPr>
  </w:style>
  <w:style w:type="paragraph" w:styleId="Heading3">
    <w:name w:val="heading 3"/>
    <w:basedOn w:val="Normal"/>
    <w:link w:val="Heading3Char"/>
    <w:uiPriority w:val="9"/>
    <w:qFormat/>
    <w:pPr>
      <w:spacing w:before="100" w:beforeAutospacing="1" w:after="100" w:afterAutospacing="1"/>
      <w:outlineLvl w:val="2"/>
    </w:pPr>
    <w:rPr>
      <w:b/>
      <w:bCs/>
      <w:color w:val="155E6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pb">
    <w:name w:val="pb"/>
    <w:basedOn w:val="Normal"/>
    <w:pPr>
      <w:spacing w:before="100" w:beforeAutospacing="1" w:after="100" w:afterAutospacing="1"/>
    </w:pPr>
  </w:style>
  <w:style w:type="paragraph" w:customStyle="1" w:styleId="tag">
    <w:name w:val="tag"/>
    <w:basedOn w:val="Normal"/>
    <w:pPr>
      <w:spacing w:before="100" w:beforeAutospacing="1" w:after="100" w:afterAutospacing="1"/>
    </w:pPr>
    <w:rPr>
      <w:color w:val="0FA3A3"/>
    </w:rPr>
  </w:style>
  <w:style w:type="paragraph" w:customStyle="1" w:styleId="notice">
    <w:name w:val="notice"/>
    <w:basedOn w:val="Normal"/>
    <w:pPr>
      <w:pBdr>
        <w:left w:val="single" w:sz="24" w:space="10" w:color="0FA3A3"/>
      </w:pBdr>
      <w:shd w:val="clear" w:color="auto" w:fill="F2F4F7"/>
      <w:spacing w:before="100" w:beforeAutospacing="1" w:after="100" w:afterAutospacing="1"/>
    </w:pPr>
  </w:style>
  <w:style w:type="paragraph" w:customStyle="1" w:styleId="muted">
    <w:name w:val="muted"/>
    <w:basedOn w:val="Normal"/>
    <w:pPr>
      <w:spacing w:before="100" w:beforeAutospacing="1" w:after="100" w:afterAutospacing="1"/>
    </w:pPr>
    <w:rPr>
      <w:color w:val="5A6B7A"/>
      <w:sz w:val="18"/>
      <w:szCs w:val="18"/>
    </w:rPr>
  </w:style>
  <w:style w:type="paragraph" w:customStyle="1" w:styleId="badge-inc">
    <w:name w:val="badge-inc"/>
    <w:basedOn w:val="Normal"/>
    <w:pPr>
      <w:spacing w:before="100" w:beforeAutospacing="1" w:after="100" w:afterAutospacing="1"/>
    </w:pPr>
    <w:rPr>
      <w:b/>
      <w:bCs/>
      <w:color w:val="155E63"/>
    </w:rPr>
  </w:style>
  <w:style w:type="paragraph" w:customStyle="1" w:styleId="badge-opt">
    <w:name w:val="badge-opt"/>
    <w:basedOn w:val="Normal"/>
    <w:pPr>
      <w:spacing w:before="100" w:beforeAutospacing="1" w:after="100" w:afterAutospacing="1"/>
    </w:pPr>
    <w:rPr>
      <w:b/>
      <w:bCs/>
      <w:color w:val="8A6D1D"/>
    </w:rPr>
  </w:style>
  <w:style w:type="paragraph" w:customStyle="1" w:styleId="badge-fut">
    <w:name w:val="badge-fut"/>
    <w:basedOn w:val="Normal"/>
    <w:pPr>
      <w:spacing w:before="100" w:beforeAutospacing="1" w:after="100" w:afterAutospacing="1"/>
    </w:pPr>
    <w:rPr>
      <w:b/>
      <w:bCs/>
      <w:color w:val="5A6B7A"/>
    </w:rPr>
  </w:style>
  <w:style w:type="paragraph" w:customStyle="1" w:styleId="badge-tbc">
    <w:name w:val="badge-tbc"/>
    <w:basedOn w:val="Normal"/>
    <w:pPr>
      <w:spacing w:before="100" w:beforeAutospacing="1" w:after="100" w:afterAutospacing="1"/>
    </w:pPr>
    <w:rPr>
      <w:b/>
      <w:bCs/>
      <w:color w:val="8C2F2F"/>
    </w:rPr>
  </w:style>
  <w:style w:type="character" w:styleId="Strong">
    <w:name w:val="Strong"/>
    <w:basedOn w:val="DefaultParagraphFont"/>
    <w:uiPriority w:val="22"/>
    <w:qFormat/>
    <w:rPr>
      <w:b/>
      <w:bCs/>
    </w:rPr>
  </w:style>
  <w:style w:type="character" w:customStyle="1" w:styleId="muted1">
    <w:name w:val="muted1"/>
    <w:basedOn w:val="DefaultParagraphFont"/>
    <w:rPr>
      <w:color w:val="5A6B7A"/>
      <w:sz w:val="18"/>
      <w:szCs w:val="18"/>
    </w:rPr>
  </w:style>
  <w:style w:type="character" w:customStyle="1" w:styleId="badge-inc1">
    <w:name w:val="badge-inc1"/>
    <w:basedOn w:val="DefaultParagraphFont"/>
    <w:rPr>
      <w:b/>
      <w:bCs/>
      <w:color w:val="155E63"/>
    </w:rPr>
  </w:style>
  <w:style w:type="character" w:customStyle="1" w:styleId="badge-opt1">
    <w:name w:val="badge-opt1"/>
    <w:basedOn w:val="DefaultParagraphFont"/>
    <w:rPr>
      <w:b/>
      <w:bCs/>
      <w:color w:val="8A6D1D"/>
    </w:rPr>
  </w:style>
  <w:style w:type="character" w:customStyle="1" w:styleId="badge-fut1">
    <w:name w:val="badge-fut1"/>
    <w:basedOn w:val="DefaultParagraphFont"/>
    <w:rPr>
      <w:b/>
      <w:bCs/>
      <w:color w:val="5A6B7A"/>
    </w:rPr>
  </w:style>
  <w:style w:type="paragraph" w:styleId="Header">
    <w:name w:val="header"/>
    <w:basedOn w:val="Normal"/>
    <w:link w:val="HeaderChar"/>
    <w:uiPriority w:val="99"/>
    <w:unhideWhenUsed/>
    <w:rsid w:val="00B7190A"/>
    <w:pPr>
      <w:tabs>
        <w:tab w:val="center" w:pos="4680"/>
        <w:tab w:val="right" w:pos="9360"/>
      </w:tabs>
    </w:pPr>
  </w:style>
  <w:style w:type="character" w:customStyle="1" w:styleId="HeaderChar">
    <w:name w:val="Header Char"/>
    <w:basedOn w:val="DefaultParagraphFont"/>
    <w:link w:val="Header"/>
    <w:uiPriority w:val="99"/>
    <w:rsid w:val="00B7190A"/>
    <w:rPr>
      <w:rFonts w:eastAsiaTheme="minorEastAsia"/>
      <w:sz w:val="24"/>
      <w:szCs w:val="24"/>
    </w:rPr>
  </w:style>
  <w:style w:type="paragraph" w:styleId="Footer">
    <w:name w:val="footer"/>
    <w:basedOn w:val="Normal"/>
    <w:link w:val="FooterChar"/>
    <w:uiPriority w:val="99"/>
    <w:unhideWhenUsed/>
    <w:rsid w:val="00B7190A"/>
    <w:pPr>
      <w:tabs>
        <w:tab w:val="center" w:pos="4680"/>
        <w:tab w:val="right" w:pos="9360"/>
      </w:tabs>
    </w:pPr>
  </w:style>
  <w:style w:type="character" w:customStyle="1" w:styleId="FooterChar">
    <w:name w:val="Footer Char"/>
    <w:basedOn w:val="DefaultParagraphFont"/>
    <w:link w:val="Footer"/>
    <w:uiPriority w:val="99"/>
    <w:rsid w:val="00B7190A"/>
    <w:rPr>
      <w:rFonts w:eastAsiaTheme="minorEastAsia"/>
      <w:sz w:val="24"/>
      <w:szCs w:val="24"/>
    </w:rPr>
  </w:style>
  <w:style w:type="paragraph" w:styleId="TOC1">
    <w:name w:val="toc 1"/>
    <w:basedOn w:val="Normal"/>
    <w:next w:val="Normal"/>
    <w:autoRedefine/>
    <w:uiPriority w:val="39"/>
    <w:unhideWhenUsed/>
    <w:rsid w:val="00B7190A"/>
    <w:pPr>
      <w:spacing w:after="100"/>
    </w:pPr>
  </w:style>
  <w:style w:type="paragraph" w:styleId="TOC2">
    <w:name w:val="toc 2"/>
    <w:basedOn w:val="Normal"/>
    <w:next w:val="Normal"/>
    <w:autoRedefine/>
    <w:uiPriority w:val="39"/>
    <w:unhideWhenUsed/>
    <w:rsid w:val="00B7190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631929">
      <w:marLeft w:val="0"/>
      <w:marRight w:val="0"/>
      <w:marTop w:val="0"/>
      <w:marBottom w:val="0"/>
      <w:divBdr>
        <w:top w:val="none" w:sz="0" w:space="0" w:color="auto"/>
        <w:left w:val="single" w:sz="24" w:space="10" w:color="0FA3A3"/>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45</Pages>
  <Words>8068</Words>
  <Characters>49855</Characters>
  <Application>Microsoft Office Word</Application>
  <DocSecurity>0</DocSecurity>
  <Lines>1501</Lines>
  <Paragraphs>982</Paragraphs>
  <ScaleCrop>false</ScaleCrop>
  <Company/>
  <LinksUpToDate>false</LinksUpToDate>
  <CharactersWithSpaces>56993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Quiz Platform — Technical &amp; Commercial Proposal</dc:title>
  <dc:subject/>
  <dc:creator>Haitham Al Lamki</dc:creator>
  <cp:keywords/>
  <dc:description/>
  <cp:lastModifiedBy>Haitham Al Lamki</cp:lastModifiedBy>
  <cp:revision>2</cp:revision>
  <dcterms:created xsi:type="dcterms:W3CDTF">2026-07-20T07:48:00Z</dcterms:created>
  <dcterms:modified xsi:type="dcterms:W3CDTF">2026-07-20T07:48:00Z</dcterms:modified>
</cp:coreProperties>
</file>