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5B0B6E1D"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638A3960" w14:textId="77777777" w:rsidR="00850FD8" w:rsidRDefault="00850FD8">
            <w:pPr>
              <w:pStyle w:val="NormalWeb"/>
              <w:rPr>
                <w:rFonts w:ascii="Segoe UI" w:hAnsi="Segoe UI" w:cs="Segoe UI"/>
                <w:color w:val="FFFFFF"/>
                <w:spacing w:val="20"/>
              </w:rPr>
            </w:pPr>
            <w:r>
              <w:rPr>
                <w:rFonts w:ascii="Segoe UI" w:hAnsi="Segoe UI" w:cs="Segoe UI"/>
                <w:color w:val="FFFFFF"/>
                <w:spacing w:val="20"/>
              </w:rPr>
              <w:t>ALTANFITH ALDWALIAH SPC</w:t>
            </w:r>
          </w:p>
          <w:p w14:paraId="48C7F9CE" w14:textId="77777777" w:rsidR="00850FD8" w:rsidRDefault="00850FD8">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3AC73D30" w14:textId="77777777" w:rsidR="00850FD8" w:rsidRDefault="00850FD8">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08831CC1" w14:textId="77777777" w:rsidR="00850FD8" w:rsidRDefault="00850FD8">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[Client Name]</w:t>
            </w:r>
          </w:p>
          <w:p w14:paraId="28F2C213" w14:textId="77777777" w:rsidR="00850FD8" w:rsidRDefault="00850FD8">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[Proposal Reference]</w:t>
            </w:r>
          </w:p>
          <w:p w14:paraId="040C21F5" w14:textId="77777777" w:rsidR="00850FD8" w:rsidRDefault="00850FD8">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1.0</w:t>
            </w:r>
          </w:p>
          <w:p w14:paraId="607F5951" w14:textId="77777777" w:rsidR="00850FD8" w:rsidRDefault="00850FD8">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[Date]</w:t>
            </w:r>
          </w:p>
          <w:p w14:paraId="109263CD" w14:textId="77777777" w:rsidR="00850FD8" w:rsidRDefault="00850FD8">
            <w:pPr>
              <w:pStyle w:val="tag"/>
              <w:spacing w:before="720" w:beforeAutospacing="0" w:after="120" w:afterAutospacing="0"/>
              <w:rPr>
                <w:rFonts w:ascii="Segoe UI" w:hAnsi="Segoe UI" w:cs="Segoe UI"/>
                <w:spacing w:val="40"/>
              </w:rPr>
            </w:pPr>
            <w:r>
              <w:rPr>
                <w:rFonts w:ascii="Segoe UI" w:hAnsi="Segoe UI" w:cs="Segoe UI"/>
                <w:spacing w:val="40"/>
              </w:rPr>
              <w:t>CONFIDENTIAL</w:t>
            </w:r>
          </w:p>
        </w:tc>
      </w:tr>
    </w:tbl>
    <w:p w14:paraId="608C22AE" w14:textId="77777777" w:rsidR="00850FD8" w:rsidRDefault="00850FD8">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7B1B465F"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Aldwaliah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 an enterprise engagement, assessment, and knowledge-evaluation platform, offered as a flexible, customizable alternative to general public quiz tools, and already proven in real operational use.</w:t>
      </w:r>
    </w:p>
    <w:p w14:paraId="6067B08F"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[Proposal Reference]</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04ED3625"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figures in this document are editable placeholders, shown to illustrate the pricing structure only. Final pricing for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is confirmed after the discovery phase described in the full proposal, once the factors listed in Section 4 (Pricing Methodology) are known.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[Date]</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6DEE62E1"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42D4E7"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1E78F2E4"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543E15"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DE9EA5"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021989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ACB3A"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2344F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license · enterprise custom development partnership</w:t>
            </w:r>
          </w:p>
        </w:tc>
      </w:tr>
      <w:tr w:rsidR="00000000" w14:paraId="5A08F5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CA4D09"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FA07C5"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0E9DBD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C1B62F"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77023D"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Placeholder structure only — final pricing confirmed after discovery</w:t>
            </w:r>
          </w:p>
        </w:tc>
      </w:tr>
      <w:tr w:rsidR="00000000" w14:paraId="004243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88DF95"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F6485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[Date]</w:t>
            </w:r>
          </w:p>
        </w:tc>
      </w:tr>
    </w:tbl>
    <w:p w14:paraId="0921257C" w14:textId="77777777" w:rsidR="00850FD8" w:rsidRDefault="00850FD8">
      <w:pPr>
        <w:pStyle w:val="Heading1"/>
        <w:rPr>
          <w:rFonts w:ascii="Segoe UI" w:eastAsia="Times New Roman" w:hAnsi="Segoe UI" w:cs="Segoe UI"/>
          <w:lang w:val="en"/>
        </w:rPr>
      </w:pPr>
      <w:r>
        <w:rPr>
          <w:rFonts w:ascii="Segoe UI" w:eastAsia="Times New Roman" w:hAnsi="Segoe UI" w:cs="Segoe UI"/>
          <w:lang w:val="en"/>
        </w:rPr>
        <w:t>2. Pricing Tables</w:t>
      </w:r>
    </w:p>
    <w:p w14:paraId="57A7AFB5"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can select the ownership, cost, and delivery structure that best fits its procurement approach. The subsections below summarize each model; the comparison table that follows sets them side by side. All amounts are shown as </w:t>
      </w:r>
      <w:r>
        <w:rPr>
          <w:rStyle w:val="Strong"/>
          <w:rFonts w:ascii="Segoe UI" w:hAnsi="Segoe UI" w:cs="Segoe UI"/>
          <w:color w:val="1F2933"/>
          <w:sz w:val="21"/>
          <w:szCs w:val="21"/>
          <w:lang w:val="en"/>
        </w:rPr>
        <w:t>OMR [TBC]</w:t>
      </w:r>
      <w:r>
        <w:rPr>
          <w:rFonts w:ascii="Segoe UI" w:hAnsi="Segoe UI" w:cs="Segoe UI"/>
          <w:color w:val="1F2933"/>
          <w:sz w:val="21"/>
          <w:szCs w:val="21"/>
          <w:lang w:val="en"/>
        </w:rPr>
        <w:t xml:space="preserve"> or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placeholders and are provided to illustrate the pricing structure only.</w:t>
      </w:r>
    </w:p>
    <w:p w14:paraId="570C9AAB" w14:textId="77777777" w:rsidR="00850FD8" w:rsidRDefault="00850FD8">
      <w:pPr>
        <w:pStyle w:val="Heading2"/>
        <w:rPr>
          <w:rFonts w:ascii="Segoe UI" w:eastAsia="Times New Roman" w:hAnsi="Segoe UI" w:cs="Segoe UI"/>
          <w:lang w:val="en"/>
        </w:rPr>
      </w:pPr>
      <w:r>
        <w:rPr>
          <w:rFonts w:ascii="Segoe UI" w:eastAsia="Times New Roman" w:hAnsi="Segoe UI" w:cs="Segoe UI"/>
          <w:lang w:val="en"/>
        </w:rPr>
        <w:t>2.1 Model A — Annual SaaS Subscription</w:t>
      </w:r>
    </w:p>
    <w:p w14:paraId="19968091"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An annual, subscription-based model in which Altanfith hosts and operates the platform on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's behalf. Includes: annual license; cloud hosting; maintenance; security updates; backup; monitoring; support; standard upgrades; an agreed number of users and sessions; an AI usage allowance, with optional overage pricing; customization priced separately from the base subscription.</w:t>
      </w:r>
    </w:p>
    <w:tbl>
      <w:tblPr>
        <w:tblW w:w="5000" w:type="pct"/>
        <w:tblCellMar>
          <w:top w:w="15" w:type="dxa"/>
          <w:left w:w="15" w:type="dxa"/>
          <w:bottom w:w="15" w:type="dxa"/>
          <w:right w:w="15" w:type="dxa"/>
        </w:tblCellMar>
        <w:tblLook w:val="04A0" w:firstRow="1" w:lastRow="0" w:firstColumn="1" w:lastColumn="0" w:noHBand="0" w:noVBand="1"/>
      </w:tblPr>
      <w:tblGrid>
        <w:gridCol w:w="6892"/>
        <w:gridCol w:w="2727"/>
      </w:tblGrid>
      <w:tr w:rsidR="00000000" w14:paraId="6931AF2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CF0A7A"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D1AEF4"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3953DD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19C702"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F46F05"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63D9C2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6EB47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User Pack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0D148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09BAAF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08B18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8E4A06"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r>
      <w:tr w:rsidR="00000000" w14:paraId="7A5EF3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F753B1"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528FB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279D63AE" w14:textId="77777777" w:rsidR="00850FD8" w:rsidRDefault="00850FD8">
      <w:pPr>
        <w:pStyle w:val="Heading2"/>
        <w:rPr>
          <w:rFonts w:ascii="Segoe UI" w:eastAsia="Times New Roman" w:hAnsi="Segoe UI" w:cs="Segoe UI"/>
          <w:lang w:val="en"/>
        </w:rPr>
      </w:pPr>
      <w:r>
        <w:rPr>
          <w:rFonts w:ascii="Segoe UI" w:eastAsia="Times New Roman" w:hAnsi="Segoe UI" w:cs="Segoe UI"/>
          <w:lang w:val="en"/>
        </w:rPr>
        <w:t>2.2 Model B — Perpetual License / One-Time Purchase</w:t>
      </w:r>
    </w:p>
    <w:p w14:paraId="5C05C4E1"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organizations that prefer to own the software outright. Includes: one-time software license; deployment; initial configuration; training; documentation; an optional source-code license; optional source-code ownership; optional annual maintenance, recommended at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of software value, payable annually in advance.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7513"/>
        <w:gridCol w:w="2106"/>
      </w:tblGrid>
      <w:tr w:rsidR="00000000" w14:paraId="7329838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5ECE31"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192191"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46BC7D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A6BED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One-Time License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F2E80A"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1929F8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194F5A"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060CE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78FE12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33CB84"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138C6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r>
      <w:tr w:rsidR="00000000" w14:paraId="47EDF26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0E077F"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License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427778"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0E7897DC" w14:textId="77777777" w:rsidR="00850FD8" w:rsidRDefault="00850FD8">
      <w:pPr>
        <w:pStyle w:val="Heading2"/>
        <w:rPr>
          <w:rFonts w:ascii="Segoe UI" w:eastAsia="Times New Roman" w:hAnsi="Segoe UI" w:cs="Segoe UI"/>
          <w:lang w:val="en"/>
        </w:rPr>
      </w:pPr>
      <w:r>
        <w:rPr>
          <w:rFonts w:ascii="Segoe UI" w:eastAsia="Times New Roman" w:hAnsi="Segoe UI" w:cs="Segoe UI"/>
          <w:lang w:val="en"/>
        </w:rPr>
        <w:t>2.3 Model C — Enterprise Custom Development Partnership</w:t>
      </w:r>
    </w:p>
    <w:p w14:paraId="436688DF"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organizations requiring deep customization and integration work. Includes: a discovery workshop; customized workflows; custom reports; system integrations (single sign-on, Microsoft Entra ID / Active Directory, HR systems, LMS, Microsoft Teams, Power BI); dedicated support; phased delivery;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6845"/>
        <w:gridCol w:w="2774"/>
      </w:tblGrid>
      <w:tr w:rsidR="00000000" w14:paraId="3B15E24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9DA475"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BB0759"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74FA373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6D53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7EC938"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279DE2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24487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FBD16C"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6A8E5D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1349CF"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37AE4"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4E3998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B3A36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8F8DA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129B80AD" w14:textId="77777777" w:rsidR="00850FD8" w:rsidRDefault="00850FD8">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1"/>
        <w:gridCol w:w="2567"/>
        <w:gridCol w:w="3064"/>
      </w:tblGrid>
      <w:tr w:rsidR="00000000" w14:paraId="29DB48E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A42617" w14:textId="77777777" w:rsidR="00850FD8" w:rsidRDefault="00850FD8">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5637DE"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AA0EB2"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02B4B4"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5D3D18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890595"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A81766"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96579B"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license;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ABADF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385800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E38176"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A541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A920D2"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license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5CD4AE"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01EB80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1776C1"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39E8E"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Altanfith-managed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56A2A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A9A35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26FF1B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B7C255"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A71CA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0256F6"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CEC241"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68B181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DCEED7"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C363C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D6BF0C"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Organizations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6C2AC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Organizations needing deep customization and integration</w:t>
            </w:r>
          </w:p>
        </w:tc>
      </w:tr>
    </w:tbl>
    <w:p w14:paraId="7CBB9BE0" w14:textId="77777777" w:rsidR="00850FD8" w:rsidRDefault="00850FD8">
      <w:pPr>
        <w:pStyle w:val="Heading1"/>
        <w:rPr>
          <w:rFonts w:ascii="Segoe UI" w:eastAsia="Times New Roman" w:hAnsi="Segoe UI" w:cs="Segoe UI"/>
          <w:lang w:val="en"/>
        </w:rPr>
      </w:pPr>
      <w:r>
        <w:rPr>
          <w:rFonts w:ascii="Segoe UI" w:eastAsia="Times New Roman" w:hAnsi="Segoe UI" w:cs="Segoe UI"/>
          <w:lang w:val="en"/>
        </w:rPr>
        <w:t>3. Optional Items</w:t>
      </w:r>
    </w:p>
    <w:p w14:paraId="4457E632"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All amounts are </w:t>
      </w:r>
      <w:r>
        <w:rPr>
          <w:rStyle w:val="Strong"/>
          <w:rFonts w:ascii="Segoe UI" w:hAnsi="Segoe UI" w:cs="Segoe UI"/>
          <w:color w:val="1F2933"/>
          <w:sz w:val="21"/>
          <w:szCs w:val="21"/>
          <w:lang w:val="en"/>
        </w:rPr>
        <w:t>OMR [TBC]</w:t>
      </w:r>
      <w:r>
        <w:rPr>
          <w:rFonts w:ascii="Segoe UI" w:hAnsi="Segoe UI" w:cs="Segoe UI"/>
          <w:color w:val="1F2933"/>
          <w:sz w:val="21"/>
          <w:szCs w:val="21"/>
          <w:lang w:val="en"/>
        </w:rPr>
        <w:t xml:space="preserve"> placeholders,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1655"/>
        <w:gridCol w:w="6094"/>
        <w:gridCol w:w="1018"/>
        <w:gridCol w:w="852"/>
      </w:tblGrid>
      <w:tr w:rsidR="00000000" w14:paraId="03FFAA8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26F5E2"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B3EA9F"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3C91A1"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ABAC58"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56B039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3DA895"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add-ons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78FDB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administrator, quiz-creator, or support-team training; recorded training; train-the-trainer sessions; Arabic and English training material beyond the base package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A97DE4" w14:textId="77777777" w:rsidR="00850FD8" w:rsidRDefault="00850FD8">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4F77B4"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3E6342A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99547C"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4AF31D"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5D5FC1" w14:textId="77777777" w:rsidR="00850FD8" w:rsidRDefault="00850FD8">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2F15C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5CA45F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00838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C17D1A"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license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E8F962" w14:textId="77777777" w:rsidR="00850FD8" w:rsidRDefault="00850FD8">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B3E6A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71EBCB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FB6C5A"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78735D"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EE993E" w14:textId="77777777" w:rsidR="00850FD8" w:rsidRDefault="00850FD8">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79ACEC"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28C0D2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FB160A"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8980D6"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204751" w14:textId="77777777" w:rsidR="00850FD8" w:rsidRDefault="00850FD8">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5CC365"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08631B60" w14:textId="77777777" w:rsidR="00850FD8" w:rsidRDefault="00850FD8">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5D1DE7BF" w14:textId="77777777" w:rsidR="00850FD8" w:rsidRDefault="00850FD8">
      <w:pPr>
        <w:pStyle w:val="Heading1"/>
        <w:rPr>
          <w:rFonts w:ascii="Segoe UI" w:eastAsia="Times New Roman" w:hAnsi="Segoe UI" w:cs="Segoe UI"/>
          <w:lang w:val="en"/>
        </w:rPr>
      </w:pPr>
      <w:r>
        <w:rPr>
          <w:rFonts w:ascii="Segoe UI" w:eastAsia="Times New Roman" w:hAnsi="Segoe UI" w:cs="Segoe UI"/>
          <w:lang w:val="en"/>
        </w:rPr>
        <w:t>4. Pricing Methodology</w:t>
      </w:r>
    </w:p>
    <w:p w14:paraId="5F507B3A"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Final pricing for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is not a single fixed figure; it depends on a defined set of factors, confirmed during the discovery phase described in the full proposal. The placeholders in Section 2 are replaced with confirmed figures once these factors are known.</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495EAEF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944F0A"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A90CD9"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302061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6BBE55"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7192FA"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users</w:t>
            </w:r>
          </w:p>
        </w:tc>
      </w:tr>
      <w:tr w:rsidR="00000000" w14:paraId="5875EA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2AB8E"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BC50D6"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administrators</w:t>
            </w:r>
          </w:p>
        </w:tc>
      </w:tr>
      <w:tr w:rsidR="00000000" w14:paraId="38A900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C3318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4F4222"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organizations / departments</w:t>
            </w:r>
          </w:p>
        </w:tc>
      </w:tr>
      <w:tr w:rsidR="00000000" w14:paraId="602C07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84E26D"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EF44B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6EECBCC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28D6C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C44DE1"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050EC2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130ADE"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94A1C4"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0FBED2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3960D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4532E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5DEF98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9CCD1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74A51F"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3D5858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AE41ED"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240ECA"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customization</w:t>
            </w:r>
          </w:p>
        </w:tc>
      </w:tr>
      <w:tr w:rsidR="00000000" w14:paraId="7F7017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4B606B"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BE87E4"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060C3F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3B2312"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BD1646"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6859E3C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F70EDB"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01BA6F"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14E4FF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33C2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A68FBC"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3C11B2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309A2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95FCD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67D81A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9FA61"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D70B45"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5F4C40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6E2E96"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FE13D8"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51CDC8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44F2BB"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20A102"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5EA322F6" w14:textId="77777777" w:rsidR="00850FD8" w:rsidRDefault="00850FD8">
      <w:pPr>
        <w:pStyle w:val="Heading1"/>
        <w:rPr>
          <w:rFonts w:ascii="Segoe UI" w:eastAsia="Times New Roman" w:hAnsi="Segoe UI" w:cs="Segoe UI"/>
          <w:lang w:val="en"/>
        </w:rPr>
      </w:pPr>
      <w:r>
        <w:rPr>
          <w:rFonts w:ascii="Segoe UI" w:eastAsia="Times New Roman" w:hAnsi="Segoe UI" w:cs="Segoe UI"/>
          <w:lang w:val="en"/>
        </w:rPr>
        <w:t>5. Commercial Terms</w:t>
      </w:r>
    </w:p>
    <w:p w14:paraId="33812DE8" w14:textId="77777777" w:rsidR="00850FD8" w:rsidRDefault="00850FD8">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Aldwaliah SPC typically proposes; final commercial terms for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are agreed in the signed commercial agreement.</w:t>
      </w:r>
    </w:p>
    <w:p w14:paraId="7DCADE64" w14:textId="77777777" w:rsidR="00850FD8" w:rsidRDefault="00850FD8">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6AC29C9C" w14:textId="77777777" w:rsidR="00850FD8" w:rsidRDefault="00850FD8">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Example milestone payment structure for project-based engagements (illustrative only): </w:t>
      </w:r>
      <w:r>
        <w:rPr>
          <w:rStyle w:val="Strong"/>
          <w:rFonts w:ascii="Segoe UI" w:eastAsia="Times New Roman" w:hAnsi="Segoe UI" w:cs="Segoe UI"/>
          <w:color w:val="1F2933"/>
          <w:sz w:val="21"/>
          <w:szCs w:val="21"/>
          <w:lang w:val="en"/>
        </w:rPr>
        <w:t>30%</w:t>
      </w:r>
      <w:r>
        <w:rPr>
          <w:rFonts w:ascii="Segoe UI" w:eastAsia="Times New Roman" w:hAnsi="Segoe UI" w:cs="Segoe UI"/>
          <w:color w:val="1F2933"/>
          <w:sz w:val="21"/>
          <w:szCs w:val="21"/>
          <w:lang w:val="en"/>
        </w:rPr>
        <w:t xml:space="preserve"> upon purchase order, </w:t>
      </w:r>
      <w:r>
        <w:rPr>
          <w:rStyle w:val="Strong"/>
          <w:rFonts w:ascii="Segoe UI" w:eastAsia="Times New Roman" w:hAnsi="Segoe UI" w:cs="Segoe UI"/>
          <w:color w:val="1F2933"/>
          <w:sz w:val="21"/>
          <w:szCs w:val="21"/>
          <w:lang w:val="en"/>
        </w:rPr>
        <w:t>30%</w:t>
      </w:r>
      <w:r>
        <w:rPr>
          <w:rFonts w:ascii="Segoe UI" w:eastAsia="Times New Roman" w:hAnsi="Segoe UI" w:cs="Segoe UI"/>
          <w:color w:val="1F2933"/>
          <w:sz w:val="21"/>
          <w:szCs w:val="21"/>
          <w:lang w:val="en"/>
        </w:rPr>
        <w:t xml:space="preserve"> after design approval, </w:t>
      </w:r>
      <w:r>
        <w:rPr>
          <w:rStyle w:val="Strong"/>
          <w:rFonts w:ascii="Segoe UI" w:eastAsia="Times New Roman" w:hAnsi="Segoe UI" w:cs="Segoe UI"/>
          <w:color w:val="1F2933"/>
          <w:sz w:val="21"/>
          <w:szCs w:val="21"/>
          <w:lang w:val="en"/>
        </w:rPr>
        <w:t>30%</w:t>
      </w:r>
      <w:r>
        <w:rPr>
          <w:rFonts w:ascii="Segoe UI" w:eastAsia="Times New Roman" w:hAnsi="Segoe UI" w:cs="Segoe UI"/>
          <w:color w:val="1F2933"/>
          <w:sz w:val="21"/>
          <w:szCs w:val="21"/>
          <w:lang w:val="en"/>
        </w:rPr>
        <w:t xml:space="preserve"> after UAT sign-off, </w:t>
      </w:r>
      <w:r>
        <w:rPr>
          <w:rStyle w:val="Strong"/>
          <w:rFonts w:ascii="Segoe UI" w:eastAsia="Times New Roman" w:hAnsi="Segoe UI" w:cs="Segoe UI"/>
          <w:color w:val="1F2933"/>
          <w:sz w:val="21"/>
          <w:szCs w:val="21"/>
          <w:lang w:val="en"/>
        </w:rPr>
        <w:t>10%</w:t>
      </w:r>
      <w:r>
        <w:rPr>
          <w:rFonts w:ascii="Segoe UI" w:eastAsia="Times New Roman" w:hAnsi="Segoe UI" w:cs="Segoe UI"/>
          <w:color w:val="1F2933"/>
          <w:sz w:val="21"/>
          <w:szCs w:val="21"/>
          <w:lang w:val="en"/>
        </w:rPr>
        <w:t xml:space="preserve"> after go-live.</w:t>
      </w:r>
    </w:p>
    <w:p w14:paraId="46FEF74B" w14:textId="77777777" w:rsidR="00850FD8" w:rsidRDefault="00850FD8">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SaaS subscription (Model A): annual payment in advance.</w:t>
      </w:r>
    </w:p>
    <w:p w14:paraId="3E61E44B" w14:textId="77777777" w:rsidR="00850FD8" w:rsidRDefault="00850FD8">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4C7FE83D" w14:textId="77777777" w:rsidR="00850FD8" w:rsidRDefault="00850FD8">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61FD4194" w14:textId="77777777" w:rsidR="00850FD8" w:rsidRDefault="00850FD8">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4BC9A74D" w14:textId="77777777" w:rsidR="00850FD8" w:rsidRDefault="00850FD8">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12241B54" w14:textId="77777777" w:rsidR="00850FD8" w:rsidRDefault="00850FD8">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Payment schedule: </w:t>
      </w:r>
      <w:r>
        <w:rPr>
          <w:rStyle w:val="Strong"/>
          <w:rFonts w:ascii="Segoe UI" w:eastAsia="Times New Roman" w:hAnsi="Segoe UI" w:cs="Segoe UI"/>
          <w:color w:val="1F2933"/>
          <w:sz w:val="21"/>
          <w:szCs w:val="21"/>
          <w:lang w:val="en"/>
        </w:rPr>
        <w:t>[Payment Terms]</w:t>
      </w:r>
      <w:r>
        <w:rPr>
          <w:rFonts w:ascii="Segoe UI" w:eastAsia="Times New Roman" w:hAnsi="Segoe UI" w:cs="Segoe UI"/>
          <w:color w:val="1F2933"/>
          <w:sz w:val="21"/>
          <w:szCs w:val="21"/>
          <w:lang w:val="en"/>
        </w:rPr>
        <w:t>.</w:t>
      </w:r>
    </w:p>
    <w:p w14:paraId="0E391DA4" w14:textId="77777777" w:rsidR="00850FD8" w:rsidRDefault="00850FD8">
      <w:pPr>
        <w:pStyle w:val="Heading1"/>
        <w:rPr>
          <w:rFonts w:ascii="Segoe UI" w:eastAsia="Times New Roman" w:hAnsi="Segoe UI" w:cs="Segoe UI"/>
          <w:lang w:val="en"/>
        </w:rPr>
      </w:pPr>
      <w:r>
        <w:rPr>
          <w:rFonts w:ascii="Segoe UI" w:eastAsia="Times New Roman" w:hAnsi="Segoe UI" w:cs="Segoe UI"/>
          <w:lang w:val="en"/>
        </w:rPr>
        <w:lastRenderedPageBreak/>
        <w:t>6. Validity &amp; Acceptance</w:t>
      </w:r>
    </w:p>
    <w:p w14:paraId="4032D1ED"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[Date]</w:t>
      </w:r>
      <w:r>
        <w:rPr>
          <w:rFonts w:ascii="Segoe UI" w:hAnsi="Segoe UI" w:cs="Segoe UI"/>
          <w:color w:val="1F2933"/>
          <w:sz w:val="21"/>
          <w:szCs w:val="21"/>
          <w:lang w:val="en"/>
        </w:rPr>
        <w:t>. Beyond this period, pricing and availability are subject to reconfirmation by Altanfith Aldwaliah SPC.</w:t>
      </w:r>
    </w:p>
    <w:p w14:paraId="78AC5786" w14:textId="77777777" w:rsidR="00850FD8" w:rsidRDefault="00850FD8">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accepted and agreed by the signatories below on behalf of their respective organizations.</w:t>
      </w:r>
    </w:p>
    <w:tbl>
      <w:tblPr>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7A00941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A69523"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[Client Name]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B41118" w14:textId="77777777" w:rsidR="00850FD8" w:rsidRDefault="00850FD8">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Altanfith Aldwaliah SPC</w:t>
            </w:r>
          </w:p>
        </w:tc>
      </w:tr>
      <w:tr w:rsidR="00000000" w14:paraId="731C02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E366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BA1DF5"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18B8A7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8EE4E0"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EF2058"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6D9B6F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0F5F1A"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C05C23"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475DC9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143177"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BAA521"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7404CCF5" w14:textId="77777777" w:rsidR="00850FD8" w:rsidRDefault="00850FD8">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8E4F9B6" w14:textId="77777777">
        <w:tc>
          <w:tcPr>
            <w:tcW w:w="1600" w:type="pct"/>
            <w:tcBorders>
              <w:top w:val="nil"/>
              <w:left w:val="nil"/>
              <w:bottom w:val="nil"/>
              <w:right w:val="nil"/>
            </w:tcBorders>
            <w:tcMar>
              <w:top w:w="40" w:type="dxa"/>
              <w:left w:w="120" w:type="dxa"/>
              <w:bottom w:w="40" w:type="dxa"/>
              <w:right w:w="120" w:type="dxa"/>
            </w:tcMar>
            <w:hideMark/>
          </w:tcPr>
          <w:p w14:paraId="7737D0F5"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33582DE2"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Aldwaliah SPC</w:t>
            </w:r>
          </w:p>
        </w:tc>
      </w:tr>
      <w:tr w:rsidR="00000000" w14:paraId="4C1CB973" w14:textId="77777777">
        <w:tc>
          <w:tcPr>
            <w:tcW w:w="0" w:type="auto"/>
            <w:tcBorders>
              <w:top w:val="nil"/>
              <w:left w:val="nil"/>
              <w:bottom w:val="nil"/>
              <w:right w:val="nil"/>
            </w:tcBorders>
            <w:tcMar>
              <w:top w:w="40" w:type="dxa"/>
              <w:left w:w="120" w:type="dxa"/>
              <w:bottom w:w="40" w:type="dxa"/>
              <w:right w:w="120" w:type="dxa"/>
            </w:tcMar>
            <w:hideMark/>
          </w:tcPr>
          <w:p w14:paraId="634CA750"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0EBB8CFF"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4609CFE6" w14:textId="77777777">
        <w:tc>
          <w:tcPr>
            <w:tcW w:w="0" w:type="auto"/>
            <w:tcBorders>
              <w:top w:val="nil"/>
              <w:left w:val="nil"/>
              <w:bottom w:val="nil"/>
              <w:right w:val="nil"/>
            </w:tcBorders>
            <w:tcMar>
              <w:top w:w="40" w:type="dxa"/>
              <w:left w:w="120" w:type="dxa"/>
              <w:bottom w:w="40" w:type="dxa"/>
              <w:right w:w="120" w:type="dxa"/>
            </w:tcMar>
            <w:hideMark/>
          </w:tcPr>
          <w:p w14:paraId="05034E11"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6AD69B1E"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323E80DE" w14:textId="77777777">
        <w:tc>
          <w:tcPr>
            <w:tcW w:w="0" w:type="auto"/>
            <w:tcBorders>
              <w:top w:val="nil"/>
              <w:left w:val="nil"/>
              <w:bottom w:val="nil"/>
              <w:right w:val="nil"/>
            </w:tcBorders>
            <w:tcMar>
              <w:top w:w="40" w:type="dxa"/>
              <w:left w:w="120" w:type="dxa"/>
              <w:bottom w:w="40" w:type="dxa"/>
              <w:right w:w="120" w:type="dxa"/>
            </w:tcMar>
            <w:hideMark/>
          </w:tcPr>
          <w:p w14:paraId="01798A18"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2EB35E89"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37500D9E" w14:textId="77777777">
        <w:tc>
          <w:tcPr>
            <w:tcW w:w="0" w:type="auto"/>
            <w:tcBorders>
              <w:top w:val="nil"/>
              <w:left w:val="nil"/>
              <w:bottom w:val="nil"/>
              <w:right w:val="nil"/>
            </w:tcBorders>
            <w:tcMar>
              <w:top w:w="40" w:type="dxa"/>
              <w:left w:w="120" w:type="dxa"/>
              <w:bottom w:w="40" w:type="dxa"/>
              <w:right w:w="120" w:type="dxa"/>
            </w:tcMar>
            <w:hideMark/>
          </w:tcPr>
          <w:p w14:paraId="22E2947D"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69673458"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130B61C6" w14:textId="77777777">
        <w:tc>
          <w:tcPr>
            <w:tcW w:w="0" w:type="auto"/>
            <w:tcBorders>
              <w:top w:val="nil"/>
              <w:left w:val="nil"/>
              <w:bottom w:val="nil"/>
              <w:right w:val="nil"/>
            </w:tcBorders>
            <w:tcMar>
              <w:top w:w="40" w:type="dxa"/>
              <w:left w:w="120" w:type="dxa"/>
              <w:bottom w:w="40" w:type="dxa"/>
              <w:right w:w="120" w:type="dxa"/>
            </w:tcMar>
            <w:hideMark/>
          </w:tcPr>
          <w:p w14:paraId="152728F0" w14:textId="77777777" w:rsidR="00850FD8" w:rsidRDefault="00850FD8">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1A5A3E0E" w14:textId="77777777" w:rsidR="00850FD8" w:rsidRDefault="00850FD8">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36B2B5BB" w14:textId="77777777" w:rsidR="00850FD8" w:rsidRDefault="00850FD8">
      <w:pPr>
        <w:rPr>
          <w:rFonts w:eastAsia="Times New Roman"/>
        </w:rPr>
      </w:pPr>
    </w:p>
    <w:sectPr w:rsidR="00850FD8" w:rsidSect="002A4C6B">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5FCDD" w14:textId="77777777" w:rsidR="00850FD8" w:rsidRDefault="00850FD8" w:rsidP="002A4C6B">
      <w:r>
        <w:separator/>
      </w:r>
    </w:p>
  </w:endnote>
  <w:endnote w:type="continuationSeparator" w:id="0">
    <w:p w14:paraId="2E48777D" w14:textId="77777777" w:rsidR="00850FD8" w:rsidRDefault="00850FD8" w:rsidP="002A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53AB" w14:textId="77777777" w:rsidR="002A4C6B" w:rsidRDefault="002A4C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1360" w14:textId="673BE8DA" w:rsidR="002A4C6B" w:rsidRPr="002A4C6B" w:rsidRDefault="002A4C6B" w:rsidP="002A4C6B">
    <w:pPr>
      <w:pStyle w:val="Footer"/>
      <w:jc w:val="center"/>
      <w:rPr>
        <w:color w:val="5A6B7A"/>
        <w:sz w:val="16"/>
      </w:rPr>
    </w:pPr>
    <w:r w:rsidRPr="002A4C6B">
      <w:rPr>
        <w:color w:val="5A6B7A"/>
        <w:sz w:val="16"/>
      </w:rPr>
      <w:t xml:space="preserve">Altanfith Aldwaliah SPC  |  Confidential  |  Page </w:t>
    </w:r>
    <w:r w:rsidRPr="002A4C6B">
      <w:rPr>
        <w:color w:val="5A6B7A"/>
        <w:sz w:val="16"/>
      </w:rPr>
      <w:fldChar w:fldCharType="begin"/>
    </w:r>
    <w:r w:rsidRPr="002A4C6B">
      <w:rPr>
        <w:color w:val="5A6B7A"/>
        <w:sz w:val="16"/>
      </w:rPr>
      <w:instrText xml:space="preserve"> PAGE  \* MERGEFORMAT </w:instrText>
    </w:r>
    <w:r w:rsidRPr="002A4C6B">
      <w:rPr>
        <w:color w:val="5A6B7A"/>
        <w:sz w:val="16"/>
      </w:rPr>
      <w:fldChar w:fldCharType="separate"/>
    </w:r>
    <w:r w:rsidRPr="002A4C6B">
      <w:rPr>
        <w:noProof/>
        <w:color w:val="5A6B7A"/>
        <w:sz w:val="16"/>
      </w:rPr>
      <w:t>8</w:t>
    </w:r>
    <w:r w:rsidRPr="002A4C6B">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3030" w14:textId="77777777" w:rsidR="002A4C6B" w:rsidRDefault="002A4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F767E" w14:textId="77777777" w:rsidR="00850FD8" w:rsidRDefault="00850FD8" w:rsidP="002A4C6B">
      <w:r>
        <w:separator/>
      </w:r>
    </w:p>
  </w:footnote>
  <w:footnote w:type="continuationSeparator" w:id="0">
    <w:p w14:paraId="7803F0C0" w14:textId="77777777" w:rsidR="00850FD8" w:rsidRDefault="00850FD8" w:rsidP="002A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CC3F" w14:textId="77777777" w:rsidR="002A4C6B" w:rsidRDefault="002A4C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79C1" w14:textId="77777777" w:rsidR="002A4C6B" w:rsidRDefault="002A4C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876D" w14:textId="77777777" w:rsidR="002A4C6B" w:rsidRDefault="002A4C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00401"/>
    <w:multiLevelType w:val="multilevel"/>
    <w:tmpl w:val="BF5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57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4C6B"/>
    <w:rsid w:val="002A4C6B"/>
    <w:rsid w:val="00850FD8"/>
    <w:rsid w:val="00C30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03DDD"/>
  <w15:chartTrackingRefBased/>
  <w15:docId w15:val="{0C186B2F-41AC-412A-839E-1C53FBD9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2A4C6B"/>
    <w:pPr>
      <w:tabs>
        <w:tab w:val="center" w:pos="4680"/>
        <w:tab w:val="right" w:pos="9360"/>
      </w:tabs>
    </w:pPr>
  </w:style>
  <w:style w:type="character" w:customStyle="1" w:styleId="HeaderChar">
    <w:name w:val="Header Char"/>
    <w:basedOn w:val="DefaultParagraphFont"/>
    <w:link w:val="Header"/>
    <w:uiPriority w:val="99"/>
    <w:rsid w:val="002A4C6B"/>
    <w:rPr>
      <w:rFonts w:eastAsiaTheme="minorEastAsia"/>
      <w:sz w:val="24"/>
      <w:szCs w:val="24"/>
    </w:rPr>
  </w:style>
  <w:style w:type="paragraph" w:styleId="Footer">
    <w:name w:val="footer"/>
    <w:basedOn w:val="Normal"/>
    <w:link w:val="FooterChar"/>
    <w:uiPriority w:val="99"/>
    <w:unhideWhenUsed/>
    <w:rsid w:val="002A4C6B"/>
    <w:pPr>
      <w:tabs>
        <w:tab w:val="center" w:pos="4680"/>
        <w:tab w:val="right" w:pos="9360"/>
      </w:tabs>
    </w:pPr>
  </w:style>
  <w:style w:type="character" w:customStyle="1" w:styleId="FooterChar">
    <w:name w:val="Footer Char"/>
    <w:basedOn w:val="DefaultParagraphFont"/>
    <w:link w:val="Footer"/>
    <w:uiPriority w:val="99"/>
    <w:rsid w:val="002A4C6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1190</Words>
  <Characters>7580</Characters>
  <Application>Microsoft Office Word</Application>
  <DocSecurity>0</DocSecurity>
  <Lines>260</Lines>
  <Paragraphs>186</Paragraphs>
  <ScaleCrop>false</ScaleCrop>
  <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Commercial Quotation</dc:title>
  <dc:subject/>
  <dc:creator>Haitham Al Lamki</dc:creator>
  <cp:keywords/>
  <dc:description/>
  <cp:lastModifiedBy>Haitham Al Lamki</cp:lastModifiedBy>
  <cp:revision>2</cp:revision>
  <dcterms:created xsi:type="dcterms:W3CDTF">2026-07-20T11:40:00Z</dcterms:created>
  <dcterms:modified xsi:type="dcterms:W3CDTF">2026-07-20T11:40:00Z</dcterms:modified>
</cp:coreProperties>
</file>