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top w:w="15" w:type="dxa"/>
          <w:left w:w="15" w:type="dxa"/>
          <w:bottom w:w="15" w:type="dxa"/>
          <w:right w:w="15" w:type="dxa"/>
        </w:tblCellMar>
        <w:tblLook w:val="04A0" w:firstRow="1" w:lastRow="0" w:firstColumn="1" w:lastColumn="0" w:noHBand="0" w:noVBand="1"/>
      </w:tblPr>
      <w:tblGrid>
        <w:gridCol w:w="9639"/>
      </w:tblGrid>
      <w:tr w:rsidR="00000000" w14:paraId="5360FA92" w14:textId="77777777">
        <w:tc>
          <w:tcPr>
            <w:tcW w:w="0" w:type="auto"/>
            <w:tcBorders>
              <w:top w:val="nil"/>
              <w:left w:val="nil"/>
              <w:bottom w:val="nil"/>
              <w:right w:val="nil"/>
            </w:tcBorders>
            <w:shd w:val="clear" w:color="auto" w:fill="0B2239"/>
            <w:tcMar>
              <w:top w:w="1200" w:type="dxa"/>
              <w:left w:w="800" w:type="dxa"/>
              <w:bottom w:w="1200" w:type="dxa"/>
              <w:right w:w="800" w:type="dxa"/>
            </w:tcMar>
            <w:hideMark/>
          </w:tcPr>
          <w:p w14:paraId="17CCF747" w14:textId="77777777" w:rsidR="00A51104" w:rsidRDefault="00A51104">
            <w:pPr>
              <w:pStyle w:val="NormalWeb"/>
              <w:rPr>
                <w:rFonts w:ascii="Segoe UI" w:hAnsi="Segoe UI" w:cs="Segoe UI"/>
                <w:color w:val="FFFFFF"/>
                <w:spacing w:val="20"/>
              </w:rPr>
            </w:pPr>
            <w:r>
              <w:rPr>
                <w:rFonts w:ascii="Segoe UI" w:hAnsi="Segoe UI" w:cs="Segoe UI"/>
                <w:color w:val="FFFFFF"/>
                <w:spacing w:val="20"/>
              </w:rPr>
              <w:t>ALTANFITH ALDWALIAH SPC</w:t>
            </w:r>
          </w:p>
          <w:p w14:paraId="2D3711AC" w14:textId="77777777" w:rsidR="00A51104" w:rsidRDefault="00A51104">
            <w:pPr>
              <w:pStyle w:val="NormalWeb"/>
              <w:spacing w:before="480" w:after="0"/>
              <w:rPr>
                <w:rFonts w:ascii="Segoe UI" w:hAnsi="Segoe UI" w:cs="Segoe UI"/>
                <w:b/>
                <w:bCs/>
                <w:color w:val="FFFFFF"/>
                <w:sz w:val="60"/>
                <w:szCs w:val="60"/>
              </w:rPr>
            </w:pPr>
            <w:r>
              <w:rPr>
                <w:rFonts w:ascii="Segoe UI" w:hAnsi="Segoe UI" w:cs="Segoe UI"/>
                <w:b/>
                <w:bCs/>
                <w:color w:val="FFFFFF"/>
                <w:sz w:val="60"/>
                <w:szCs w:val="60"/>
              </w:rPr>
              <w:t>LIVE QUIZ PLATFORM</w:t>
            </w:r>
          </w:p>
          <w:p w14:paraId="34ADB3C6" w14:textId="77777777" w:rsidR="00A51104" w:rsidRDefault="00A51104">
            <w:pPr>
              <w:pStyle w:val="NormalWeb"/>
              <w:spacing w:before="0"/>
              <w:rPr>
                <w:rFonts w:ascii="Segoe UI" w:hAnsi="Segoe UI" w:cs="Segoe UI"/>
                <w:color w:val="FFFFFF"/>
                <w:sz w:val="30"/>
                <w:szCs w:val="30"/>
              </w:rPr>
            </w:pPr>
            <w:r>
              <w:rPr>
                <w:rFonts w:ascii="Segoe UI" w:hAnsi="Segoe UI" w:cs="Segoe UI"/>
                <w:color w:val="FFFFFF"/>
                <w:sz w:val="30"/>
                <w:szCs w:val="30"/>
              </w:rPr>
              <w:t>Technical &amp; Commercial Proposal</w:t>
            </w:r>
          </w:p>
          <w:p w14:paraId="06D686EE" w14:textId="77777777" w:rsidR="00A51104" w:rsidRDefault="00A51104">
            <w:pPr>
              <w:pStyle w:val="NormalWeb"/>
              <w:spacing w:before="720"/>
              <w:rPr>
                <w:rFonts w:ascii="Segoe UI" w:hAnsi="Segoe UI" w:cs="Segoe UI"/>
                <w:color w:val="FFFFFF"/>
                <w:sz w:val="19"/>
                <w:szCs w:val="19"/>
              </w:rPr>
            </w:pPr>
            <w:r>
              <w:rPr>
                <w:rFonts w:ascii="Segoe UI" w:hAnsi="Segoe UI" w:cs="Segoe UI"/>
                <w:color w:val="FFFFFF"/>
                <w:sz w:val="19"/>
                <w:szCs w:val="19"/>
              </w:rPr>
              <w:t xml:space="preserve">Prepared for: </w:t>
            </w:r>
            <w:r>
              <w:rPr>
                <w:rStyle w:val="Strong"/>
                <w:rFonts w:ascii="Segoe UI" w:hAnsi="Segoe UI" w:cs="Segoe UI"/>
                <w:color w:val="FFFFFF"/>
                <w:sz w:val="19"/>
                <w:szCs w:val="19"/>
              </w:rPr>
              <w:t>[Client Name]</w:t>
            </w:r>
          </w:p>
          <w:p w14:paraId="6F02FD53" w14:textId="77777777" w:rsidR="00A51104" w:rsidRDefault="00A51104">
            <w:pPr>
              <w:pStyle w:val="NormalWeb"/>
              <w:rPr>
                <w:rFonts w:ascii="Segoe UI" w:hAnsi="Segoe UI" w:cs="Segoe UI"/>
                <w:color w:val="FFFFFF"/>
                <w:sz w:val="19"/>
                <w:szCs w:val="19"/>
              </w:rPr>
            </w:pPr>
            <w:r>
              <w:rPr>
                <w:rFonts w:ascii="Segoe UI" w:hAnsi="Segoe UI" w:cs="Segoe UI"/>
                <w:color w:val="FFFFFF"/>
                <w:sz w:val="19"/>
                <w:szCs w:val="19"/>
              </w:rPr>
              <w:t xml:space="preserve">Reference: </w:t>
            </w:r>
            <w:r>
              <w:rPr>
                <w:rStyle w:val="Strong"/>
                <w:rFonts w:ascii="Segoe UI" w:hAnsi="Segoe UI" w:cs="Segoe UI"/>
                <w:color w:val="FFFFFF"/>
                <w:sz w:val="19"/>
                <w:szCs w:val="19"/>
              </w:rPr>
              <w:t>[Proposal Reference]</w:t>
            </w:r>
          </w:p>
          <w:p w14:paraId="60BD4114" w14:textId="77777777" w:rsidR="00A51104" w:rsidRDefault="00A51104">
            <w:pPr>
              <w:pStyle w:val="NormalWeb"/>
              <w:rPr>
                <w:rFonts w:ascii="Segoe UI" w:hAnsi="Segoe UI" w:cs="Segoe UI"/>
                <w:color w:val="FFFFFF"/>
                <w:sz w:val="19"/>
                <w:szCs w:val="19"/>
              </w:rPr>
            </w:pPr>
            <w:r>
              <w:rPr>
                <w:rFonts w:ascii="Segoe UI" w:hAnsi="Segoe UI" w:cs="Segoe UI"/>
                <w:color w:val="FFFFFF"/>
                <w:sz w:val="19"/>
                <w:szCs w:val="19"/>
              </w:rPr>
              <w:t xml:space="preserve">Version: </w:t>
            </w:r>
            <w:r>
              <w:rPr>
                <w:rStyle w:val="Strong"/>
                <w:rFonts w:ascii="Segoe UI" w:hAnsi="Segoe UI" w:cs="Segoe UI"/>
                <w:color w:val="FFFFFF"/>
                <w:sz w:val="19"/>
                <w:szCs w:val="19"/>
              </w:rPr>
              <w:t>1.0</w:t>
            </w:r>
          </w:p>
          <w:p w14:paraId="577673B5" w14:textId="77777777" w:rsidR="00A51104" w:rsidRDefault="00A51104">
            <w:pPr>
              <w:pStyle w:val="NormalWeb"/>
              <w:rPr>
                <w:rFonts w:ascii="Segoe UI" w:hAnsi="Segoe UI" w:cs="Segoe UI"/>
                <w:color w:val="FFFFFF"/>
                <w:sz w:val="19"/>
                <w:szCs w:val="19"/>
              </w:rPr>
            </w:pPr>
            <w:r>
              <w:rPr>
                <w:rFonts w:ascii="Segoe UI" w:hAnsi="Segoe UI" w:cs="Segoe UI"/>
                <w:color w:val="FFFFFF"/>
                <w:sz w:val="19"/>
                <w:szCs w:val="19"/>
              </w:rPr>
              <w:t xml:space="preserve">Date: </w:t>
            </w:r>
            <w:r>
              <w:rPr>
                <w:rStyle w:val="Strong"/>
                <w:rFonts w:ascii="Segoe UI" w:hAnsi="Segoe UI" w:cs="Segoe UI"/>
                <w:color w:val="FFFFFF"/>
                <w:sz w:val="19"/>
                <w:szCs w:val="19"/>
              </w:rPr>
              <w:t>[Date]</w:t>
            </w:r>
          </w:p>
          <w:p w14:paraId="7641BF9E" w14:textId="77777777" w:rsidR="00A51104" w:rsidRDefault="00A51104">
            <w:pPr>
              <w:pStyle w:val="tag"/>
              <w:spacing w:before="720" w:beforeAutospacing="0" w:after="120" w:afterAutospacing="0"/>
              <w:rPr>
                <w:rFonts w:ascii="Segoe UI" w:hAnsi="Segoe UI" w:cs="Segoe UI"/>
                <w:spacing w:val="40"/>
              </w:rPr>
            </w:pPr>
            <w:r>
              <w:rPr>
                <w:rFonts w:ascii="Segoe UI" w:hAnsi="Segoe UI" w:cs="Segoe UI"/>
                <w:spacing w:val="40"/>
              </w:rPr>
              <w:t>CONFIDENTIAL</w:t>
            </w:r>
          </w:p>
        </w:tc>
      </w:tr>
    </w:tbl>
    <w:p w14:paraId="4A799BB7" w14:textId="77777777" w:rsidR="00A51104" w:rsidRDefault="00A51104">
      <w:pPr>
        <w:pStyle w:val="Heading1"/>
        <w:pageBreakBefore/>
        <w:rPr>
          <w:rFonts w:ascii="Segoe UI" w:eastAsia="Times New Roman" w:hAnsi="Segoe UI" w:cs="Segoe UI"/>
          <w:lang w:val="en"/>
        </w:rPr>
      </w:pPr>
      <w:bookmarkStart w:id="0" w:name="_Toc235441673"/>
      <w:r>
        <w:rPr>
          <w:rFonts w:ascii="Segoe UI" w:eastAsia="Times New Roman" w:hAnsi="Segoe UI" w:cs="Segoe UI"/>
          <w:lang w:val="en"/>
        </w:rPr>
        <w:lastRenderedPageBreak/>
        <w:t>2. Confidentiality Notice</w:t>
      </w:r>
      <w:bookmarkEnd w:id="0"/>
    </w:p>
    <w:p w14:paraId="36578BCE" w14:textId="77777777" w:rsidR="00A51104" w:rsidRDefault="00A51104">
      <w:pPr>
        <w:pStyle w:val="NormalWeb"/>
        <w:shd w:val="clear" w:color="auto" w:fill="F2F4F7"/>
        <w:divId w:val="1213925589"/>
        <w:rPr>
          <w:rFonts w:ascii="Segoe UI" w:hAnsi="Segoe UI" w:cs="Segoe UI"/>
          <w:color w:val="1F2933"/>
          <w:sz w:val="21"/>
          <w:szCs w:val="21"/>
          <w:lang w:val="en"/>
        </w:rPr>
      </w:pPr>
      <w:r>
        <w:rPr>
          <w:rFonts w:ascii="Segoe UI" w:hAnsi="Segoe UI" w:cs="Segoe UI"/>
          <w:color w:val="1F2933"/>
          <w:sz w:val="21"/>
          <w:szCs w:val="21"/>
          <w:lang w:val="en"/>
        </w:rPr>
        <w:t xml:space="preserve">This document and all information contained within it constitute confidential commercial and technical information of Altanfith Aldwaliah SPC. It is provided exclusively for the use of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for the purpose of evaluating the Live Quiz Platform solution described herein.</w:t>
      </w:r>
    </w:p>
    <w:p w14:paraId="579B2CE2"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No part of this proposal may be reproduced, copied, distributed, disclosed to any third party, or used for any purpose other than the evaluation of this proposal without the prior written consent of Altanfith Aldwaliah SPC. This restriction applies to the commercial terms, technical architecture, pricing, and methodology described in this document, all of which are proprietary to Altanfith Aldwaliah SPC.</w:t>
      </w:r>
    </w:p>
    <w:p w14:paraId="7715CC24"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Should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decide not to proceed with this proposal, it is requested that all copies of this document, whether physical or electronic, be returned or securely destroyed, and that its contents not be shared with any competing vendor or unrelated third party.</w:t>
      </w:r>
    </w:p>
    <w:p w14:paraId="1A456C74"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By retaining and reviewing this document,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acknowledges and agrees to treat its contents as confidential in accordance with the terms above and any separate non-disclosure agreement that may be in place between the parties.</w:t>
      </w:r>
    </w:p>
    <w:p w14:paraId="745E5CDA" w14:textId="77777777" w:rsidR="00A51104" w:rsidRDefault="00A51104">
      <w:pPr>
        <w:pStyle w:val="Heading1"/>
        <w:rPr>
          <w:rFonts w:ascii="Segoe UI" w:eastAsia="Times New Roman" w:hAnsi="Segoe UI" w:cs="Segoe UI"/>
          <w:lang w:val="en"/>
        </w:rPr>
      </w:pPr>
      <w:bookmarkStart w:id="1" w:name="_Toc235441674"/>
      <w:r>
        <w:rPr>
          <w:rFonts w:ascii="Segoe UI" w:eastAsia="Times New Roman" w:hAnsi="Segoe UI" w:cs="Segoe UI"/>
          <w:lang w:val="en"/>
        </w:rPr>
        <w:t>3. Document Control</w:t>
      </w:r>
      <w:bookmarkEnd w:id="1"/>
    </w:p>
    <w:p w14:paraId="631D18AB" w14:textId="77777777" w:rsidR="00A51104" w:rsidRDefault="00A51104">
      <w:pPr>
        <w:pStyle w:val="Heading2"/>
        <w:rPr>
          <w:rFonts w:ascii="Segoe UI" w:eastAsia="Times New Roman" w:hAnsi="Segoe UI" w:cs="Segoe UI"/>
          <w:lang w:val="en"/>
        </w:rPr>
      </w:pPr>
      <w:bookmarkStart w:id="2" w:name="_Toc235441675"/>
      <w:r>
        <w:rPr>
          <w:rFonts w:ascii="Segoe UI" w:eastAsia="Times New Roman" w:hAnsi="Segoe UI" w:cs="Segoe UI"/>
          <w:lang w:val="en"/>
        </w:rPr>
        <w:t>3.1 Document Information</w:t>
      </w:r>
      <w:bookmarkEnd w:id="2"/>
    </w:p>
    <w:tbl>
      <w:tblPr>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4929B430" w14:textId="77777777">
        <w:tc>
          <w:tcPr>
            <w:tcW w:w="1600" w:type="pct"/>
            <w:tcBorders>
              <w:top w:val="nil"/>
              <w:left w:val="nil"/>
              <w:bottom w:val="nil"/>
              <w:right w:val="nil"/>
            </w:tcBorders>
            <w:tcMar>
              <w:top w:w="40" w:type="dxa"/>
              <w:left w:w="120" w:type="dxa"/>
              <w:bottom w:w="40" w:type="dxa"/>
              <w:right w:w="120" w:type="dxa"/>
            </w:tcMar>
            <w:hideMark/>
          </w:tcPr>
          <w:p w14:paraId="6E485387"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Title</w:t>
            </w:r>
          </w:p>
        </w:tc>
        <w:tc>
          <w:tcPr>
            <w:tcW w:w="0" w:type="auto"/>
            <w:tcBorders>
              <w:top w:val="nil"/>
              <w:left w:val="nil"/>
              <w:bottom w:val="nil"/>
              <w:right w:val="nil"/>
            </w:tcBorders>
            <w:tcMar>
              <w:top w:w="40" w:type="dxa"/>
              <w:left w:w="120" w:type="dxa"/>
              <w:bottom w:w="40" w:type="dxa"/>
              <w:right w:w="120" w:type="dxa"/>
            </w:tcMar>
            <w:hideMark/>
          </w:tcPr>
          <w:p w14:paraId="67B9421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 — Technical &amp; Commercial Proposal</w:t>
            </w:r>
          </w:p>
        </w:tc>
      </w:tr>
      <w:tr w:rsidR="00000000" w14:paraId="1FA4943D" w14:textId="77777777">
        <w:tc>
          <w:tcPr>
            <w:tcW w:w="0" w:type="auto"/>
            <w:tcBorders>
              <w:top w:val="nil"/>
              <w:left w:val="nil"/>
              <w:bottom w:val="nil"/>
              <w:right w:val="nil"/>
            </w:tcBorders>
            <w:tcMar>
              <w:top w:w="40" w:type="dxa"/>
              <w:left w:w="120" w:type="dxa"/>
              <w:bottom w:w="40" w:type="dxa"/>
              <w:right w:w="120" w:type="dxa"/>
            </w:tcMar>
            <w:hideMark/>
          </w:tcPr>
          <w:p w14:paraId="5FF27FFC"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Reference</w:t>
            </w:r>
          </w:p>
        </w:tc>
        <w:tc>
          <w:tcPr>
            <w:tcW w:w="0" w:type="auto"/>
            <w:tcBorders>
              <w:top w:val="nil"/>
              <w:left w:val="nil"/>
              <w:bottom w:val="nil"/>
              <w:right w:val="nil"/>
            </w:tcBorders>
            <w:tcMar>
              <w:top w:w="40" w:type="dxa"/>
              <w:left w:w="120" w:type="dxa"/>
              <w:bottom w:w="40" w:type="dxa"/>
              <w:right w:w="120" w:type="dxa"/>
            </w:tcMar>
            <w:hideMark/>
          </w:tcPr>
          <w:p w14:paraId="7524CB9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[Proposal Reference] </w:t>
            </w:r>
            <w:r>
              <w:rPr>
                <w:rStyle w:val="muted1"/>
                <w:rFonts w:ascii="Segoe UI" w:eastAsia="Times New Roman" w:hAnsi="Segoe UI" w:cs="Segoe UI"/>
              </w:rPr>
              <w:t>(example format: ATD-LQP-2026-XXX — placeholder, to be assigned)</w:t>
            </w:r>
          </w:p>
        </w:tc>
      </w:tr>
      <w:tr w:rsidR="00000000" w14:paraId="74DB65DE" w14:textId="77777777">
        <w:tc>
          <w:tcPr>
            <w:tcW w:w="0" w:type="auto"/>
            <w:tcBorders>
              <w:top w:val="nil"/>
              <w:left w:val="nil"/>
              <w:bottom w:val="nil"/>
              <w:right w:val="nil"/>
            </w:tcBorders>
            <w:tcMar>
              <w:top w:w="40" w:type="dxa"/>
              <w:left w:w="120" w:type="dxa"/>
              <w:bottom w:w="40" w:type="dxa"/>
              <w:right w:w="120" w:type="dxa"/>
            </w:tcMar>
            <w:hideMark/>
          </w:tcPr>
          <w:p w14:paraId="07D7BD35"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Version</w:t>
            </w:r>
          </w:p>
        </w:tc>
        <w:tc>
          <w:tcPr>
            <w:tcW w:w="0" w:type="auto"/>
            <w:tcBorders>
              <w:top w:val="nil"/>
              <w:left w:val="nil"/>
              <w:bottom w:val="nil"/>
              <w:right w:val="nil"/>
            </w:tcBorders>
            <w:tcMar>
              <w:top w:w="40" w:type="dxa"/>
              <w:left w:w="120" w:type="dxa"/>
              <w:bottom w:w="40" w:type="dxa"/>
              <w:right w:w="120" w:type="dxa"/>
            </w:tcMar>
            <w:hideMark/>
          </w:tcPr>
          <w:p w14:paraId="7A8253F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r>
      <w:tr w:rsidR="00000000" w14:paraId="434B1EC1" w14:textId="77777777">
        <w:tc>
          <w:tcPr>
            <w:tcW w:w="0" w:type="auto"/>
            <w:tcBorders>
              <w:top w:val="nil"/>
              <w:left w:val="nil"/>
              <w:bottom w:val="nil"/>
              <w:right w:val="nil"/>
            </w:tcBorders>
            <w:tcMar>
              <w:top w:w="40" w:type="dxa"/>
              <w:left w:w="120" w:type="dxa"/>
              <w:bottom w:w="40" w:type="dxa"/>
              <w:right w:w="120" w:type="dxa"/>
            </w:tcMar>
            <w:hideMark/>
          </w:tcPr>
          <w:p w14:paraId="1FDFF8B3"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Date</w:t>
            </w:r>
          </w:p>
        </w:tc>
        <w:tc>
          <w:tcPr>
            <w:tcW w:w="0" w:type="auto"/>
            <w:tcBorders>
              <w:top w:val="nil"/>
              <w:left w:val="nil"/>
              <w:bottom w:val="nil"/>
              <w:right w:val="nil"/>
            </w:tcBorders>
            <w:tcMar>
              <w:top w:w="40" w:type="dxa"/>
              <w:left w:w="120" w:type="dxa"/>
              <w:bottom w:w="40" w:type="dxa"/>
              <w:right w:w="120" w:type="dxa"/>
            </w:tcMar>
            <w:hideMark/>
          </w:tcPr>
          <w:p w14:paraId="6E54B90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w:t>
            </w:r>
          </w:p>
        </w:tc>
      </w:tr>
      <w:tr w:rsidR="00000000" w14:paraId="12396DA4" w14:textId="77777777">
        <w:tc>
          <w:tcPr>
            <w:tcW w:w="0" w:type="auto"/>
            <w:tcBorders>
              <w:top w:val="nil"/>
              <w:left w:val="nil"/>
              <w:bottom w:val="nil"/>
              <w:right w:val="nil"/>
            </w:tcBorders>
            <w:tcMar>
              <w:top w:w="40" w:type="dxa"/>
              <w:left w:w="120" w:type="dxa"/>
              <w:bottom w:w="40" w:type="dxa"/>
              <w:right w:w="120" w:type="dxa"/>
            </w:tcMar>
            <w:hideMark/>
          </w:tcPr>
          <w:p w14:paraId="33E7AA74"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Prepared by</w:t>
            </w:r>
          </w:p>
        </w:tc>
        <w:tc>
          <w:tcPr>
            <w:tcW w:w="0" w:type="auto"/>
            <w:tcBorders>
              <w:top w:val="nil"/>
              <w:left w:val="nil"/>
              <w:bottom w:val="nil"/>
              <w:right w:val="nil"/>
            </w:tcBorders>
            <w:tcMar>
              <w:top w:w="40" w:type="dxa"/>
              <w:left w:w="120" w:type="dxa"/>
              <w:bottom w:w="40" w:type="dxa"/>
              <w:right w:w="120" w:type="dxa"/>
            </w:tcMar>
            <w:hideMark/>
          </w:tcPr>
          <w:p w14:paraId="598303E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 Altanfith Aldwaliah SPC</w:t>
            </w:r>
          </w:p>
        </w:tc>
      </w:tr>
      <w:tr w:rsidR="00000000" w14:paraId="38F81BC4" w14:textId="77777777">
        <w:tc>
          <w:tcPr>
            <w:tcW w:w="0" w:type="auto"/>
            <w:tcBorders>
              <w:top w:val="nil"/>
              <w:left w:val="nil"/>
              <w:bottom w:val="nil"/>
              <w:right w:val="nil"/>
            </w:tcBorders>
            <w:tcMar>
              <w:top w:w="40" w:type="dxa"/>
              <w:left w:w="120" w:type="dxa"/>
              <w:bottom w:w="40" w:type="dxa"/>
              <w:right w:w="120" w:type="dxa"/>
            </w:tcMar>
            <w:hideMark/>
          </w:tcPr>
          <w:p w14:paraId="402FF350"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Classification</w:t>
            </w:r>
          </w:p>
        </w:tc>
        <w:tc>
          <w:tcPr>
            <w:tcW w:w="0" w:type="auto"/>
            <w:tcBorders>
              <w:top w:val="nil"/>
              <w:left w:val="nil"/>
              <w:bottom w:val="nil"/>
              <w:right w:val="nil"/>
            </w:tcBorders>
            <w:tcMar>
              <w:top w:w="40" w:type="dxa"/>
              <w:left w:w="120" w:type="dxa"/>
              <w:bottom w:w="40" w:type="dxa"/>
              <w:right w:w="120" w:type="dxa"/>
            </w:tcMar>
            <w:hideMark/>
          </w:tcPr>
          <w:p w14:paraId="0A96098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Confidential</w:t>
            </w:r>
          </w:p>
        </w:tc>
      </w:tr>
    </w:tbl>
    <w:p w14:paraId="214E0FFD" w14:textId="77777777" w:rsidR="00A51104" w:rsidRDefault="00A51104">
      <w:pPr>
        <w:pStyle w:val="Heading2"/>
        <w:rPr>
          <w:rFonts w:ascii="Segoe UI" w:eastAsia="Times New Roman" w:hAnsi="Segoe UI" w:cs="Segoe UI"/>
          <w:lang w:val="en"/>
        </w:rPr>
      </w:pPr>
      <w:bookmarkStart w:id="3" w:name="_Toc235441676"/>
      <w:r>
        <w:rPr>
          <w:rFonts w:ascii="Segoe UI" w:eastAsia="Times New Roman" w:hAnsi="Segoe UI" w:cs="Segoe UI"/>
          <w:lang w:val="en"/>
        </w:rPr>
        <w:t>3.2 Revision History</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1937"/>
        <w:gridCol w:w="1587"/>
        <w:gridCol w:w="3629"/>
        <w:gridCol w:w="2466"/>
      </w:tblGrid>
      <w:tr w:rsidR="00000000" w14:paraId="3D58EF1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AC811F6"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Version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865D4EB"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Date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5A6314E"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Author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3BE79F2"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Change</w:t>
            </w:r>
          </w:p>
        </w:tc>
      </w:tr>
      <w:tr w:rsidR="00000000" w14:paraId="34A1A64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D9055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AEDF7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BF40D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27D1A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Initial issue</w:t>
            </w:r>
          </w:p>
        </w:tc>
      </w:tr>
    </w:tbl>
    <w:p w14:paraId="38754371" w14:textId="77777777" w:rsidR="00A51104" w:rsidRDefault="00A51104">
      <w:pPr>
        <w:pStyle w:val="Heading1"/>
        <w:rPr>
          <w:rFonts w:ascii="Segoe UI" w:eastAsia="Times New Roman" w:hAnsi="Segoe UI" w:cs="Segoe UI"/>
          <w:lang w:val="en"/>
        </w:rPr>
      </w:pPr>
      <w:bookmarkStart w:id="4" w:name="_Toc235441677"/>
      <w:r>
        <w:rPr>
          <w:rFonts w:ascii="Segoe UI" w:eastAsia="Times New Roman" w:hAnsi="Segoe UI" w:cs="Segoe UI"/>
          <w:lang w:val="en"/>
        </w:rPr>
        <w:lastRenderedPageBreak/>
        <w:t>4. Table of Contents</w:t>
      </w:r>
      <w:bookmarkEnd w:id="4"/>
    </w:p>
    <w:p w14:paraId="6F134211" w14:textId="0B8ACE2A" w:rsidR="0005785F" w:rsidRDefault="0005785F" w:rsidP="0005785F">
      <w:pPr>
        <w:pStyle w:val="TOC1"/>
        <w:tabs>
          <w:tab w:val="right" w:leader="dot" w:pos="9629"/>
        </w:tabs>
        <w:rPr>
          <w:rFonts w:asciiTheme="minorHAnsi" w:hAnsiTheme="minorHAnsi" w:cstheme="minorBidi"/>
          <w:noProof/>
          <w:kern w:val="2"/>
          <w14:ligatures w14:val="standardContextual"/>
        </w:rPr>
      </w:pPr>
      <w:r>
        <w:rPr>
          <w:rFonts w:ascii="Segoe UI" w:hAnsi="Segoe UI" w:cs="Segoe UI"/>
          <w:color w:val="1F2933"/>
          <w:sz w:val="21"/>
          <w:szCs w:val="21"/>
          <w:lang w:val="en"/>
        </w:rPr>
        <w:fldChar w:fldCharType="begin"/>
      </w:r>
      <w:r>
        <w:rPr>
          <w:rFonts w:ascii="Segoe UI" w:hAnsi="Segoe UI" w:cs="Segoe UI"/>
          <w:color w:val="1F2933"/>
          <w:sz w:val="21"/>
          <w:szCs w:val="21"/>
          <w:lang w:val="en"/>
        </w:rPr>
        <w:instrText xml:space="preserve"> TOC \o "1-2" </w:instrText>
      </w:r>
      <w:r>
        <w:rPr>
          <w:rFonts w:ascii="Segoe UI" w:hAnsi="Segoe UI" w:cs="Segoe UI"/>
          <w:color w:val="1F2933"/>
          <w:sz w:val="21"/>
          <w:szCs w:val="21"/>
          <w:lang w:val="en"/>
        </w:rPr>
        <w:fldChar w:fldCharType="separate"/>
      </w:r>
      <w:r w:rsidRPr="009D698F">
        <w:rPr>
          <w:rFonts w:ascii="Segoe UI" w:eastAsia="Times New Roman" w:hAnsi="Segoe UI" w:cs="Segoe UI"/>
          <w:noProof/>
          <w:lang w:val="en"/>
        </w:rPr>
        <w:t>2. Confidentiality Notice</w:t>
      </w:r>
      <w:r>
        <w:rPr>
          <w:noProof/>
        </w:rPr>
        <w:tab/>
      </w:r>
      <w:r>
        <w:rPr>
          <w:noProof/>
        </w:rPr>
        <w:fldChar w:fldCharType="begin"/>
      </w:r>
      <w:r>
        <w:rPr>
          <w:noProof/>
        </w:rPr>
        <w:instrText xml:space="preserve"> PAGEREF _Toc235441673 \h </w:instrText>
      </w:r>
      <w:r>
        <w:rPr>
          <w:noProof/>
        </w:rPr>
      </w:r>
      <w:r>
        <w:rPr>
          <w:noProof/>
        </w:rPr>
        <w:fldChar w:fldCharType="separate"/>
      </w:r>
      <w:r>
        <w:rPr>
          <w:noProof/>
        </w:rPr>
        <w:t>2</w:t>
      </w:r>
      <w:r>
        <w:rPr>
          <w:noProof/>
        </w:rPr>
        <w:fldChar w:fldCharType="end"/>
      </w:r>
    </w:p>
    <w:p w14:paraId="50DA8B2C" w14:textId="7F02FFE5"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3. Document Control</w:t>
      </w:r>
      <w:r>
        <w:rPr>
          <w:noProof/>
        </w:rPr>
        <w:tab/>
      </w:r>
      <w:r>
        <w:rPr>
          <w:noProof/>
        </w:rPr>
        <w:fldChar w:fldCharType="begin"/>
      </w:r>
      <w:r>
        <w:rPr>
          <w:noProof/>
        </w:rPr>
        <w:instrText xml:space="preserve"> PAGEREF _Toc235441674 \h </w:instrText>
      </w:r>
      <w:r>
        <w:rPr>
          <w:noProof/>
        </w:rPr>
      </w:r>
      <w:r>
        <w:rPr>
          <w:noProof/>
        </w:rPr>
        <w:fldChar w:fldCharType="separate"/>
      </w:r>
      <w:r>
        <w:rPr>
          <w:noProof/>
        </w:rPr>
        <w:t>2</w:t>
      </w:r>
      <w:r>
        <w:rPr>
          <w:noProof/>
        </w:rPr>
        <w:fldChar w:fldCharType="end"/>
      </w:r>
    </w:p>
    <w:p w14:paraId="6B1A00B5" w14:textId="337C4698"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3.1 Document Information</w:t>
      </w:r>
      <w:r>
        <w:rPr>
          <w:noProof/>
        </w:rPr>
        <w:tab/>
      </w:r>
      <w:r>
        <w:rPr>
          <w:noProof/>
        </w:rPr>
        <w:fldChar w:fldCharType="begin"/>
      </w:r>
      <w:r>
        <w:rPr>
          <w:noProof/>
        </w:rPr>
        <w:instrText xml:space="preserve"> PAGEREF _Toc235441675 \h </w:instrText>
      </w:r>
      <w:r>
        <w:rPr>
          <w:noProof/>
        </w:rPr>
      </w:r>
      <w:r>
        <w:rPr>
          <w:noProof/>
        </w:rPr>
        <w:fldChar w:fldCharType="separate"/>
      </w:r>
      <w:r>
        <w:rPr>
          <w:noProof/>
        </w:rPr>
        <w:t>2</w:t>
      </w:r>
      <w:r>
        <w:rPr>
          <w:noProof/>
        </w:rPr>
        <w:fldChar w:fldCharType="end"/>
      </w:r>
    </w:p>
    <w:p w14:paraId="5F9A04E8" w14:textId="23648F73"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3.2 Revision History</w:t>
      </w:r>
      <w:r>
        <w:rPr>
          <w:noProof/>
        </w:rPr>
        <w:tab/>
      </w:r>
      <w:r>
        <w:rPr>
          <w:noProof/>
        </w:rPr>
        <w:fldChar w:fldCharType="begin"/>
      </w:r>
      <w:r>
        <w:rPr>
          <w:noProof/>
        </w:rPr>
        <w:instrText xml:space="preserve"> PAGEREF _Toc235441676 \h </w:instrText>
      </w:r>
      <w:r>
        <w:rPr>
          <w:noProof/>
        </w:rPr>
      </w:r>
      <w:r>
        <w:rPr>
          <w:noProof/>
        </w:rPr>
        <w:fldChar w:fldCharType="separate"/>
      </w:r>
      <w:r>
        <w:rPr>
          <w:noProof/>
        </w:rPr>
        <w:t>2</w:t>
      </w:r>
      <w:r>
        <w:rPr>
          <w:noProof/>
        </w:rPr>
        <w:fldChar w:fldCharType="end"/>
      </w:r>
    </w:p>
    <w:p w14:paraId="32BB1A83" w14:textId="1ED24AF8"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4. Table of Contents</w:t>
      </w:r>
      <w:r>
        <w:rPr>
          <w:noProof/>
        </w:rPr>
        <w:tab/>
      </w:r>
      <w:r>
        <w:rPr>
          <w:noProof/>
        </w:rPr>
        <w:fldChar w:fldCharType="begin"/>
      </w:r>
      <w:r>
        <w:rPr>
          <w:noProof/>
        </w:rPr>
        <w:instrText xml:space="preserve"> PAGEREF _Toc235441677 \h </w:instrText>
      </w:r>
      <w:r>
        <w:rPr>
          <w:noProof/>
        </w:rPr>
      </w:r>
      <w:r>
        <w:rPr>
          <w:noProof/>
        </w:rPr>
        <w:fldChar w:fldCharType="separate"/>
      </w:r>
      <w:r>
        <w:rPr>
          <w:noProof/>
        </w:rPr>
        <w:t>3</w:t>
      </w:r>
      <w:r>
        <w:rPr>
          <w:noProof/>
        </w:rPr>
        <w:fldChar w:fldCharType="end"/>
      </w:r>
    </w:p>
    <w:p w14:paraId="4EF4F273" w14:textId="0F025C3D"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5. Letter of Submission</w:t>
      </w:r>
      <w:r>
        <w:rPr>
          <w:noProof/>
        </w:rPr>
        <w:tab/>
      </w:r>
      <w:r>
        <w:rPr>
          <w:noProof/>
        </w:rPr>
        <w:fldChar w:fldCharType="begin"/>
      </w:r>
      <w:r>
        <w:rPr>
          <w:noProof/>
        </w:rPr>
        <w:instrText xml:space="preserve"> PAGEREF _Toc235441678 \h </w:instrText>
      </w:r>
      <w:r>
        <w:rPr>
          <w:noProof/>
        </w:rPr>
      </w:r>
      <w:r>
        <w:rPr>
          <w:noProof/>
        </w:rPr>
        <w:fldChar w:fldCharType="separate"/>
      </w:r>
      <w:r>
        <w:rPr>
          <w:noProof/>
        </w:rPr>
        <w:t>4</w:t>
      </w:r>
      <w:r>
        <w:rPr>
          <w:noProof/>
        </w:rPr>
        <w:fldChar w:fldCharType="end"/>
      </w:r>
    </w:p>
    <w:p w14:paraId="2605FDF8" w14:textId="59C4C165"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6. Executive Summary</w:t>
      </w:r>
      <w:r>
        <w:rPr>
          <w:noProof/>
        </w:rPr>
        <w:tab/>
      </w:r>
      <w:r>
        <w:rPr>
          <w:noProof/>
        </w:rPr>
        <w:fldChar w:fldCharType="begin"/>
      </w:r>
      <w:r>
        <w:rPr>
          <w:noProof/>
        </w:rPr>
        <w:instrText xml:space="preserve"> PAGEREF _Toc235441679 \h </w:instrText>
      </w:r>
      <w:r>
        <w:rPr>
          <w:noProof/>
        </w:rPr>
      </w:r>
      <w:r>
        <w:rPr>
          <w:noProof/>
        </w:rPr>
        <w:fldChar w:fldCharType="separate"/>
      </w:r>
      <w:r>
        <w:rPr>
          <w:noProof/>
        </w:rPr>
        <w:t>5</w:t>
      </w:r>
      <w:r>
        <w:rPr>
          <w:noProof/>
        </w:rPr>
        <w:fldChar w:fldCharType="end"/>
      </w:r>
    </w:p>
    <w:p w14:paraId="4EECE4EA" w14:textId="5BD403BC"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7. About Altanfith Aldwaliah SPC</w:t>
      </w:r>
      <w:r>
        <w:rPr>
          <w:noProof/>
        </w:rPr>
        <w:tab/>
      </w:r>
      <w:r>
        <w:rPr>
          <w:noProof/>
        </w:rPr>
        <w:fldChar w:fldCharType="begin"/>
      </w:r>
      <w:r>
        <w:rPr>
          <w:noProof/>
        </w:rPr>
        <w:instrText xml:space="preserve"> PAGEREF _Toc235441680 \h </w:instrText>
      </w:r>
      <w:r>
        <w:rPr>
          <w:noProof/>
        </w:rPr>
      </w:r>
      <w:r>
        <w:rPr>
          <w:noProof/>
        </w:rPr>
        <w:fldChar w:fldCharType="separate"/>
      </w:r>
      <w:r>
        <w:rPr>
          <w:noProof/>
        </w:rPr>
        <w:t>6</w:t>
      </w:r>
      <w:r>
        <w:rPr>
          <w:noProof/>
        </w:rPr>
        <w:fldChar w:fldCharType="end"/>
      </w:r>
    </w:p>
    <w:p w14:paraId="7116CC55" w14:textId="712AE41A"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8. Understanding of Client Requirements</w:t>
      </w:r>
      <w:r>
        <w:rPr>
          <w:noProof/>
        </w:rPr>
        <w:tab/>
      </w:r>
      <w:r>
        <w:rPr>
          <w:noProof/>
        </w:rPr>
        <w:fldChar w:fldCharType="begin"/>
      </w:r>
      <w:r>
        <w:rPr>
          <w:noProof/>
        </w:rPr>
        <w:instrText xml:space="preserve"> PAGEREF _Toc235441681 \h </w:instrText>
      </w:r>
      <w:r>
        <w:rPr>
          <w:noProof/>
        </w:rPr>
      </w:r>
      <w:r>
        <w:rPr>
          <w:noProof/>
        </w:rPr>
        <w:fldChar w:fldCharType="separate"/>
      </w:r>
      <w:r>
        <w:rPr>
          <w:noProof/>
        </w:rPr>
        <w:t>7</w:t>
      </w:r>
      <w:r>
        <w:rPr>
          <w:noProof/>
        </w:rPr>
        <w:fldChar w:fldCharType="end"/>
      </w:r>
    </w:p>
    <w:p w14:paraId="12A9C53A" w14:textId="11C0F8A5"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9. Business Challenges</w:t>
      </w:r>
      <w:r>
        <w:rPr>
          <w:noProof/>
        </w:rPr>
        <w:tab/>
      </w:r>
      <w:r>
        <w:rPr>
          <w:noProof/>
        </w:rPr>
        <w:fldChar w:fldCharType="begin"/>
      </w:r>
      <w:r>
        <w:rPr>
          <w:noProof/>
        </w:rPr>
        <w:instrText xml:space="preserve"> PAGEREF _Toc235441682 \h </w:instrText>
      </w:r>
      <w:r>
        <w:rPr>
          <w:noProof/>
        </w:rPr>
      </w:r>
      <w:r>
        <w:rPr>
          <w:noProof/>
        </w:rPr>
        <w:fldChar w:fldCharType="separate"/>
      </w:r>
      <w:r>
        <w:rPr>
          <w:noProof/>
        </w:rPr>
        <w:t>8</w:t>
      </w:r>
      <w:r>
        <w:rPr>
          <w:noProof/>
        </w:rPr>
        <w:fldChar w:fldCharType="end"/>
      </w:r>
    </w:p>
    <w:p w14:paraId="16000EBA" w14:textId="74395A27"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10. Proposed Solution</w:t>
      </w:r>
      <w:r>
        <w:rPr>
          <w:noProof/>
        </w:rPr>
        <w:tab/>
      </w:r>
      <w:r>
        <w:rPr>
          <w:noProof/>
        </w:rPr>
        <w:fldChar w:fldCharType="begin"/>
      </w:r>
      <w:r>
        <w:rPr>
          <w:noProof/>
        </w:rPr>
        <w:instrText xml:space="preserve"> PAGEREF _Toc235441683 \h </w:instrText>
      </w:r>
      <w:r>
        <w:rPr>
          <w:noProof/>
        </w:rPr>
      </w:r>
      <w:r>
        <w:rPr>
          <w:noProof/>
        </w:rPr>
        <w:fldChar w:fldCharType="separate"/>
      </w:r>
      <w:r>
        <w:rPr>
          <w:noProof/>
        </w:rPr>
        <w:t>9</w:t>
      </w:r>
      <w:r>
        <w:rPr>
          <w:noProof/>
        </w:rPr>
        <w:fldChar w:fldCharType="end"/>
      </w:r>
    </w:p>
    <w:p w14:paraId="1B41A215" w14:textId="7C3807C6"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11. Platform Overview</w:t>
      </w:r>
      <w:r>
        <w:rPr>
          <w:noProof/>
        </w:rPr>
        <w:tab/>
      </w:r>
      <w:r>
        <w:rPr>
          <w:noProof/>
        </w:rPr>
        <w:fldChar w:fldCharType="begin"/>
      </w:r>
      <w:r>
        <w:rPr>
          <w:noProof/>
        </w:rPr>
        <w:instrText xml:space="preserve"> PAGEREF _Toc235441684 \h </w:instrText>
      </w:r>
      <w:r>
        <w:rPr>
          <w:noProof/>
        </w:rPr>
      </w:r>
      <w:r>
        <w:rPr>
          <w:noProof/>
        </w:rPr>
        <w:fldChar w:fldCharType="separate"/>
      </w:r>
      <w:r>
        <w:rPr>
          <w:noProof/>
        </w:rPr>
        <w:t>9</w:t>
      </w:r>
      <w:r>
        <w:rPr>
          <w:noProof/>
        </w:rPr>
        <w:fldChar w:fldCharType="end"/>
      </w:r>
    </w:p>
    <w:p w14:paraId="3FF3AF0F" w14:textId="6D4B84C8"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12. Current Use Case</w:t>
      </w:r>
      <w:r>
        <w:rPr>
          <w:noProof/>
        </w:rPr>
        <w:tab/>
      </w:r>
      <w:r>
        <w:rPr>
          <w:noProof/>
        </w:rPr>
        <w:fldChar w:fldCharType="begin"/>
      </w:r>
      <w:r>
        <w:rPr>
          <w:noProof/>
        </w:rPr>
        <w:instrText xml:space="preserve"> PAGEREF _Toc235441685 \h </w:instrText>
      </w:r>
      <w:r>
        <w:rPr>
          <w:noProof/>
        </w:rPr>
      </w:r>
      <w:r>
        <w:rPr>
          <w:noProof/>
        </w:rPr>
        <w:fldChar w:fldCharType="separate"/>
      </w:r>
      <w:r>
        <w:rPr>
          <w:noProof/>
        </w:rPr>
        <w:t>10</w:t>
      </w:r>
      <w:r>
        <w:rPr>
          <w:noProof/>
        </w:rPr>
        <w:fldChar w:fldCharType="end"/>
      </w:r>
    </w:p>
    <w:p w14:paraId="028FAB78" w14:textId="6783A3CD"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13. Functional Scope</w:t>
      </w:r>
      <w:r>
        <w:rPr>
          <w:noProof/>
        </w:rPr>
        <w:tab/>
      </w:r>
      <w:r>
        <w:rPr>
          <w:noProof/>
        </w:rPr>
        <w:fldChar w:fldCharType="begin"/>
      </w:r>
      <w:r>
        <w:rPr>
          <w:noProof/>
        </w:rPr>
        <w:instrText xml:space="preserve"> PAGEREF _Toc235441686 \h </w:instrText>
      </w:r>
      <w:r>
        <w:rPr>
          <w:noProof/>
        </w:rPr>
      </w:r>
      <w:r>
        <w:rPr>
          <w:noProof/>
        </w:rPr>
        <w:fldChar w:fldCharType="separate"/>
      </w:r>
      <w:r>
        <w:rPr>
          <w:noProof/>
        </w:rPr>
        <w:t>11</w:t>
      </w:r>
      <w:r>
        <w:rPr>
          <w:noProof/>
        </w:rPr>
        <w:fldChar w:fldCharType="end"/>
      </w:r>
    </w:p>
    <w:p w14:paraId="5CB1C5FA" w14:textId="088C42B9"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13.1 Quiz Creation &amp; Content</w:t>
      </w:r>
      <w:r>
        <w:rPr>
          <w:noProof/>
        </w:rPr>
        <w:tab/>
      </w:r>
      <w:r>
        <w:rPr>
          <w:noProof/>
        </w:rPr>
        <w:fldChar w:fldCharType="begin"/>
      </w:r>
      <w:r>
        <w:rPr>
          <w:noProof/>
        </w:rPr>
        <w:instrText xml:space="preserve"> PAGEREF _Toc235441687 \h </w:instrText>
      </w:r>
      <w:r>
        <w:rPr>
          <w:noProof/>
        </w:rPr>
      </w:r>
      <w:r>
        <w:rPr>
          <w:noProof/>
        </w:rPr>
        <w:fldChar w:fldCharType="separate"/>
      </w:r>
      <w:r>
        <w:rPr>
          <w:noProof/>
        </w:rPr>
        <w:t>11</w:t>
      </w:r>
      <w:r>
        <w:rPr>
          <w:noProof/>
        </w:rPr>
        <w:fldChar w:fldCharType="end"/>
      </w:r>
    </w:p>
    <w:p w14:paraId="2B04E82F" w14:textId="7B4D6702"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13.2 Live Hosting &amp; Participation</w:t>
      </w:r>
      <w:r>
        <w:rPr>
          <w:noProof/>
        </w:rPr>
        <w:tab/>
      </w:r>
      <w:r>
        <w:rPr>
          <w:noProof/>
        </w:rPr>
        <w:fldChar w:fldCharType="begin"/>
      </w:r>
      <w:r>
        <w:rPr>
          <w:noProof/>
        </w:rPr>
        <w:instrText xml:space="preserve"> PAGEREF _Toc235441688 \h </w:instrText>
      </w:r>
      <w:r>
        <w:rPr>
          <w:noProof/>
        </w:rPr>
      </w:r>
      <w:r>
        <w:rPr>
          <w:noProof/>
        </w:rPr>
        <w:fldChar w:fldCharType="separate"/>
      </w:r>
      <w:r>
        <w:rPr>
          <w:noProof/>
        </w:rPr>
        <w:t>12</w:t>
      </w:r>
      <w:r>
        <w:rPr>
          <w:noProof/>
        </w:rPr>
        <w:fldChar w:fldCharType="end"/>
      </w:r>
    </w:p>
    <w:p w14:paraId="764C0DD1" w14:textId="353521C2"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13.3 Branding &amp; Experience</w:t>
      </w:r>
      <w:r>
        <w:rPr>
          <w:noProof/>
        </w:rPr>
        <w:tab/>
      </w:r>
      <w:r>
        <w:rPr>
          <w:noProof/>
        </w:rPr>
        <w:fldChar w:fldCharType="begin"/>
      </w:r>
      <w:r>
        <w:rPr>
          <w:noProof/>
        </w:rPr>
        <w:instrText xml:space="preserve"> PAGEREF _Toc235441689 \h </w:instrText>
      </w:r>
      <w:r>
        <w:rPr>
          <w:noProof/>
        </w:rPr>
      </w:r>
      <w:r>
        <w:rPr>
          <w:noProof/>
        </w:rPr>
        <w:fldChar w:fldCharType="separate"/>
      </w:r>
      <w:r>
        <w:rPr>
          <w:noProof/>
        </w:rPr>
        <w:t>13</w:t>
      </w:r>
      <w:r>
        <w:rPr>
          <w:noProof/>
        </w:rPr>
        <w:fldChar w:fldCharType="end"/>
      </w:r>
    </w:p>
    <w:p w14:paraId="5EBAF459" w14:textId="51BD369B"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13.4 Reporting &amp; Analytics</w:t>
      </w:r>
      <w:r>
        <w:rPr>
          <w:noProof/>
        </w:rPr>
        <w:tab/>
      </w:r>
      <w:r>
        <w:rPr>
          <w:noProof/>
        </w:rPr>
        <w:fldChar w:fldCharType="begin"/>
      </w:r>
      <w:r>
        <w:rPr>
          <w:noProof/>
        </w:rPr>
        <w:instrText xml:space="preserve"> PAGEREF _Toc235441690 \h </w:instrText>
      </w:r>
      <w:r>
        <w:rPr>
          <w:noProof/>
        </w:rPr>
      </w:r>
      <w:r>
        <w:rPr>
          <w:noProof/>
        </w:rPr>
        <w:fldChar w:fldCharType="separate"/>
      </w:r>
      <w:r>
        <w:rPr>
          <w:noProof/>
        </w:rPr>
        <w:t>13</w:t>
      </w:r>
      <w:r>
        <w:rPr>
          <w:noProof/>
        </w:rPr>
        <w:fldChar w:fldCharType="end"/>
      </w:r>
    </w:p>
    <w:p w14:paraId="453CEA0D" w14:textId="7B1487A7"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13.5 Administration &amp; Governance</w:t>
      </w:r>
      <w:r>
        <w:rPr>
          <w:noProof/>
        </w:rPr>
        <w:tab/>
      </w:r>
      <w:r>
        <w:rPr>
          <w:noProof/>
        </w:rPr>
        <w:fldChar w:fldCharType="begin"/>
      </w:r>
      <w:r>
        <w:rPr>
          <w:noProof/>
        </w:rPr>
        <w:instrText xml:space="preserve"> PAGEREF _Toc235441691 \h </w:instrText>
      </w:r>
      <w:r>
        <w:rPr>
          <w:noProof/>
        </w:rPr>
      </w:r>
      <w:r>
        <w:rPr>
          <w:noProof/>
        </w:rPr>
        <w:fldChar w:fldCharType="separate"/>
      </w:r>
      <w:r>
        <w:rPr>
          <w:noProof/>
        </w:rPr>
        <w:t>14</w:t>
      </w:r>
      <w:r>
        <w:rPr>
          <w:noProof/>
        </w:rPr>
        <w:fldChar w:fldCharType="end"/>
      </w:r>
    </w:p>
    <w:p w14:paraId="4CEBC7E5" w14:textId="218E7F9E"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13.6 AI Capabilities</w:t>
      </w:r>
      <w:r>
        <w:rPr>
          <w:noProof/>
        </w:rPr>
        <w:tab/>
      </w:r>
      <w:r>
        <w:rPr>
          <w:noProof/>
        </w:rPr>
        <w:fldChar w:fldCharType="begin"/>
      </w:r>
      <w:r>
        <w:rPr>
          <w:noProof/>
        </w:rPr>
        <w:instrText xml:space="preserve"> PAGEREF _Toc235441692 \h </w:instrText>
      </w:r>
      <w:r>
        <w:rPr>
          <w:noProof/>
        </w:rPr>
      </w:r>
      <w:r>
        <w:rPr>
          <w:noProof/>
        </w:rPr>
        <w:fldChar w:fldCharType="separate"/>
      </w:r>
      <w:r>
        <w:rPr>
          <w:noProof/>
        </w:rPr>
        <w:t>15</w:t>
      </w:r>
      <w:r>
        <w:rPr>
          <w:noProof/>
        </w:rPr>
        <w:fldChar w:fldCharType="end"/>
      </w:r>
    </w:p>
    <w:p w14:paraId="0C60677F" w14:textId="304360C2"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14. AI Capabilities</w:t>
      </w:r>
      <w:r>
        <w:rPr>
          <w:noProof/>
        </w:rPr>
        <w:tab/>
      </w:r>
      <w:r>
        <w:rPr>
          <w:noProof/>
        </w:rPr>
        <w:fldChar w:fldCharType="begin"/>
      </w:r>
      <w:r>
        <w:rPr>
          <w:noProof/>
        </w:rPr>
        <w:instrText xml:space="preserve"> PAGEREF _Toc235441693 \h </w:instrText>
      </w:r>
      <w:r>
        <w:rPr>
          <w:noProof/>
        </w:rPr>
      </w:r>
      <w:r>
        <w:rPr>
          <w:noProof/>
        </w:rPr>
        <w:fldChar w:fldCharType="separate"/>
      </w:r>
      <w:r>
        <w:rPr>
          <w:noProof/>
        </w:rPr>
        <w:t>15</w:t>
      </w:r>
      <w:r>
        <w:rPr>
          <w:noProof/>
        </w:rPr>
        <w:fldChar w:fldCharType="end"/>
      </w:r>
    </w:p>
    <w:p w14:paraId="696F3BAA" w14:textId="71B278AB"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14.1 Current Capabilities (Included)</w:t>
      </w:r>
      <w:r>
        <w:rPr>
          <w:noProof/>
        </w:rPr>
        <w:tab/>
      </w:r>
      <w:r>
        <w:rPr>
          <w:noProof/>
        </w:rPr>
        <w:fldChar w:fldCharType="begin"/>
      </w:r>
      <w:r>
        <w:rPr>
          <w:noProof/>
        </w:rPr>
        <w:instrText xml:space="preserve"> PAGEREF _Toc235441694 \h </w:instrText>
      </w:r>
      <w:r>
        <w:rPr>
          <w:noProof/>
        </w:rPr>
      </w:r>
      <w:r>
        <w:rPr>
          <w:noProof/>
        </w:rPr>
        <w:fldChar w:fldCharType="separate"/>
      </w:r>
      <w:r>
        <w:rPr>
          <w:noProof/>
        </w:rPr>
        <w:t>15</w:t>
      </w:r>
      <w:r>
        <w:rPr>
          <w:noProof/>
        </w:rPr>
        <w:fldChar w:fldCharType="end"/>
      </w:r>
    </w:p>
    <w:p w14:paraId="6B50E25D" w14:textId="42CAA336"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14.2 Optional Capabilities (Scoped per Engagement)</w:t>
      </w:r>
      <w:r>
        <w:rPr>
          <w:noProof/>
        </w:rPr>
        <w:tab/>
      </w:r>
      <w:r>
        <w:rPr>
          <w:noProof/>
        </w:rPr>
        <w:fldChar w:fldCharType="begin"/>
      </w:r>
      <w:r>
        <w:rPr>
          <w:noProof/>
        </w:rPr>
        <w:instrText xml:space="preserve"> PAGEREF _Toc235441695 \h </w:instrText>
      </w:r>
      <w:r>
        <w:rPr>
          <w:noProof/>
        </w:rPr>
      </w:r>
      <w:r>
        <w:rPr>
          <w:noProof/>
        </w:rPr>
        <w:fldChar w:fldCharType="separate"/>
      </w:r>
      <w:r>
        <w:rPr>
          <w:noProof/>
        </w:rPr>
        <w:t>16</w:t>
      </w:r>
      <w:r>
        <w:rPr>
          <w:noProof/>
        </w:rPr>
        <w:fldChar w:fldCharType="end"/>
      </w:r>
    </w:p>
    <w:p w14:paraId="1909026C" w14:textId="35640884"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14.3 Future Roadmap</w:t>
      </w:r>
      <w:r>
        <w:rPr>
          <w:noProof/>
        </w:rPr>
        <w:tab/>
      </w:r>
      <w:r>
        <w:rPr>
          <w:noProof/>
        </w:rPr>
        <w:fldChar w:fldCharType="begin"/>
      </w:r>
      <w:r>
        <w:rPr>
          <w:noProof/>
        </w:rPr>
        <w:instrText xml:space="preserve"> PAGEREF _Toc235441696 \h </w:instrText>
      </w:r>
      <w:r>
        <w:rPr>
          <w:noProof/>
        </w:rPr>
      </w:r>
      <w:r>
        <w:rPr>
          <w:noProof/>
        </w:rPr>
        <w:fldChar w:fldCharType="separate"/>
      </w:r>
      <w:r>
        <w:rPr>
          <w:noProof/>
        </w:rPr>
        <w:t>17</w:t>
      </w:r>
      <w:r>
        <w:rPr>
          <w:noProof/>
        </w:rPr>
        <w:fldChar w:fldCharType="end"/>
      </w:r>
    </w:p>
    <w:p w14:paraId="09AEADCC" w14:textId="0713F3D3"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15. User Roles</w:t>
      </w:r>
      <w:r>
        <w:rPr>
          <w:noProof/>
        </w:rPr>
        <w:tab/>
      </w:r>
      <w:r>
        <w:rPr>
          <w:noProof/>
        </w:rPr>
        <w:fldChar w:fldCharType="begin"/>
      </w:r>
      <w:r>
        <w:rPr>
          <w:noProof/>
        </w:rPr>
        <w:instrText xml:space="preserve"> PAGEREF _Toc235441697 \h </w:instrText>
      </w:r>
      <w:r>
        <w:rPr>
          <w:noProof/>
        </w:rPr>
      </w:r>
      <w:r>
        <w:rPr>
          <w:noProof/>
        </w:rPr>
        <w:fldChar w:fldCharType="separate"/>
      </w:r>
      <w:r>
        <w:rPr>
          <w:noProof/>
        </w:rPr>
        <w:t>17</w:t>
      </w:r>
      <w:r>
        <w:rPr>
          <w:noProof/>
        </w:rPr>
        <w:fldChar w:fldCharType="end"/>
      </w:r>
    </w:p>
    <w:p w14:paraId="0D4E264E" w14:textId="248AD71C"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16. Reporting and Analytics</w:t>
      </w:r>
      <w:r>
        <w:rPr>
          <w:noProof/>
        </w:rPr>
        <w:tab/>
      </w:r>
      <w:r>
        <w:rPr>
          <w:noProof/>
        </w:rPr>
        <w:fldChar w:fldCharType="begin"/>
      </w:r>
      <w:r>
        <w:rPr>
          <w:noProof/>
        </w:rPr>
        <w:instrText xml:space="preserve"> PAGEREF _Toc235441698 \h </w:instrText>
      </w:r>
      <w:r>
        <w:rPr>
          <w:noProof/>
        </w:rPr>
      </w:r>
      <w:r>
        <w:rPr>
          <w:noProof/>
        </w:rPr>
        <w:fldChar w:fldCharType="separate"/>
      </w:r>
      <w:r>
        <w:rPr>
          <w:noProof/>
        </w:rPr>
        <w:t>18</w:t>
      </w:r>
      <w:r>
        <w:rPr>
          <w:noProof/>
        </w:rPr>
        <w:fldChar w:fldCharType="end"/>
      </w:r>
    </w:p>
    <w:p w14:paraId="0A2044D9" w14:textId="1109C3AE"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17. Technical Architecture</w:t>
      </w:r>
      <w:r>
        <w:rPr>
          <w:noProof/>
        </w:rPr>
        <w:tab/>
      </w:r>
      <w:r>
        <w:rPr>
          <w:noProof/>
        </w:rPr>
        <w:fldChar w:fldCharType="begin"/>
      </w:r>
      <w:r>
        <w:rPr>
          <w:noProof/>
        </w:rPr>
        <w:instrText xml:space="preserve"> PAGEREF _Toc235441699 \h </w:instrText>
      </w:r>
      <w:r>
        <w:rPr>
          <w:noProof/>
        </w:rPr>
      </w:r>
      <w:r>
        <w:rPr>
          <w:noProof/>
        </w:rPr>
        <w:fldChar w:fldCharType="separate"/>
      </w:r>
      <w:r>
        <w:rPr>
          <w:noProof/>
        </w:rPr>
        <w:t>20</w:t>
      </w:r>
      <w:r>
        <w:rPr>
          <w:noProof/>
        </w:rPr>
        <w:fldChar w:fldCharType="end"/>
      </w:r>
    </w:p>
    <w:p w14:paraId="12FDE963" w14:textId="4F50176F"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17.1 Technology Stack</w:t>
      </w:r>
      <w:r>
        <w:rPr>
          <w:noProof/>
        </w:rPr>
        <w:tab/>
      </w:r>
      <w:r>
        <w:rPr>
          <w:noProof/>
        </w:rPr>
        <w:fldChar w:fldCharType="begin"/>
      </w:r>
      <w:r>
        <w:rPr>
          <w:noProof/>
        </w:rPr>
        <w:instrText xml:space="preserve"> PAGEREF _Toc235441700 \h </w:instrText>
      </w:r>
      <w:r>
        <w:rPr>
          <w:noProof/>
        </w:rPr>
      </w:r>
      <w:r>
        <w:rPr>
          <w:noProof/>
        </w:rPr>
        <w:fldChar w:fldCharType="separate"/>
      </w:r>
      <w:r>
        <w:rPr>
          <w:noProof/>
        </w:rPr>
        <w:t>20</w:t>
      </w:r>
      <w:r>
        <w:rPr>
          <w:noProof/>
        </w:rPr>
        <w:fldChar w:fldCharType="end"/>
      </w:r>
    </w:p>
    <w:p w14:paraId="31EF496A" w14:textId="63BB0730"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17.2 Architecture Diagram</w:t>
      </w:r>
      <w:r>
        <w:rPr>
          <w:noProof/>
        </w:rPr>
        <w:tab/>
      </w:r>
      <w:r>
        <w:rPr>
          <w:noProof/>
        </w:rPr>
        <w:fldChar w:fldCharType="begin"/>
      </w:r>
      <w:r>
        <w:rPr>
          <w:noProof/>
        </w:rPr>
        <w:instrText xml:space="preserve"> PAGEREF _Toc235441701 \h </w:instrText>
      </w:r>
      <w:r>
        <w:rPr>
          <w:noProof/>
        </w:rPr>
      </w:r>
      <w:r>
        <w:rPr>
          <w:noProof/>
        </w:rPr>
        <w:fldChar w:fldCharType="separate"/>
      </w:r>
      <w:r>
        <w:rPr>
          <w:noProof/>
        </w:rPr>
        <w:t>20</w:t>
      </w:r>
      <w:r>
        <w:rPr>
          <w:noProof/>
        </w:rPr>
        <w:fldChar w:fldCharType="end"/>
      </w:r>
    </w:p>
    <w:p w14:paraId="43E0482A" w14:textId="09D6477F"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18. Real-Time Architecture</w:t>
      </w:r>
      <w:r>
        <w:rPr>
          <w:noProof/>
        </w:rPr>
        <w:tab/>
      </w:r>
      <w:r>
        <w:rPr>
          <w:noProof/>
        </w:rPr>
        <w:fldChar w:fldCharType="begin"/>
      </w:r>
      <w:r>
        <w:rPr>
          <w:noProof/>
        </w:rPr>
        <w:instrText xml:space="preserve"> PAGEREF _Toc235441702 \h </w:instrText>
      </w:r>
      <w:r>
        <w:rPr>
          <w:noProof/>
        </w:rPr>
      </w:r>
      <w:r>
        <w:rPr>
          <w:noProof/>
        </w:rPr>
        <w:fldChar w:fldCharType="separate"/>
      </w:r>
      <w:r>
        <w:rPr>
          <w:noProof/>
        </w:rPr>
        <w:t>21</w:t>
      </w:r>
      <w:r>
        <w:rPr>
          <w:noProof/>
        </w:rPr>
        <w:fldChar w:fldCharType="end"/>
      </w:r>
    </w:p>
    <w:p w14:paraId="0E3D593D" w14:textId="12C227EE"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18.1 Session Flow</w:t>
      </w:r>
      <w:r>
        <w:rPr>
          <w:noProof/>
        </w:rPr>
        <w:tab/>
      </w:r>
      <w:r>
        <w:rPr>
          <w:noProof/>
        </w:rPr>
        <w:fldChar w:fldCharType="begin"/>
      </w:r>
      <w:r>
        <w:rPr>
          <w:noProof/>
        </w:rPr>
        <w:instrText xml:space="preserve"> PAGEREF _Toc235441703 \h </w:instrText>
      </w:r>
      <w:r>
        <w:rPr>
          <w:noProof/>
        </w:rPr>
      </w:r>
      <w:r>
        <w:rPr>
          <w:noProof/>
        </w:rPr>
        <w:fldChar w:fldCharType="separate"/>
      </w:r>
      <w:r>
        <w:rPr>
          <w:noProof/>
        </w:rPr>
        <w:t>21</w:t>
      </w:r>
      <w:r>
        <w:rPr>
          <w:noProof/>
        </w:rPr>
        <w:fldChar w:fldCharType="end"/>
      </w:r>
    </w:p>
    <w:p w14:paraId="629534CD" w14:textId="563914ED"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18.2 Server-Authoritative Timing, Reconnection, and Why It Matters at Scale</w:t>
      </w:r>
      <w:r>
        <w:rPr>
          <w:noProof/>
        </w:rPr>
        <w:tab/>
      </w:r>
      <w:r>
        <w:rPr>
          <w:noProof/>
        </w:rPr>
        <w:fldChar w:fldCharType="begin"/>
      </w:r>
      <w:r>
        <w:rPr>
          <w:noProof/>
        </w:rPr>
        <w:instrText xml:space="preserve"> PAGEREF _Toc235441704 \h </w:instrText>
      </w:r>
      <w:r>
        <w:rPr>
          <w:noProof/>
        </w:rPr>
      </w:r>
      <w:r>
        <w:rPr>
          <w:noProof/>
        </w:rPr>
        <w:fldChar w:fldCharType="separate"/>
      </w:r>
      <w:r>
        <w:rPr>
          <w:noProof/>
        </w:rPr>
        <w:t>21</w:t>
      </w:r>
      <w:r>
        <w:rPr>
          <w:noProof/>
        </w:rPr>
        <w:fldChar w:fldCharType="end"/>
      </w:r>
    </w:p>
    <w:p w14:paraId="11178CCB" w14:textId="6AE91415"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lastRenderedPageBreak/>
        <w:t>19. Deployment Options</w:t>
      </w:r>
      <w:r>
        <w:rPr>
          <w:noProof/>
        </w:rPr>
        <w:tab/>
      </w:r>
      <w:r>
        <w:rPr>
          <w:noProof/>
        </w:rPr>
        <w:fldChar w:fldCharType="begin"/>
      </w:r>
      <w:r>
        <w:rPr>
          <w:noProof/>
        </w:rPr>
        <w:instrText xml:space="preserve"> PAGEREF _Toc235441705 \h </w:instrText>
      </w:r>
      <w:r>
        <w:rPr>
          <w:noProof/>
        </w:rPr>
      </w:r>
      <w:r>
        <w:rPr>
          <w:noProof/>
        </w:rPr>
        <w:fldChar w:fldCharType="separate"/>
      </w:r>
      <w:r>
        <w:rPr>
          <w:noProof/>
        </w:rPr>
        <w:t>22</w:t>
      </w:r>
      <w:r>
        <w:rPr>
          <w:noProof/>
        </w:rPr>
        <w:fldChar w:fldCharType="end"/>
      </w:r>
    </w:p>
    <w:p w14:paraId="4F8105F0" w14:textId="452D6F0F"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19.1 Cloud / SaaS</w:t>
      </w:r>
      <w:r>
        <w:rPr>
          <w:noProof/>
        </w:rPr>
        <w:tab/>
      </w:r>
      <w:r>
        <w:rPr>
          <w:noProof/>
        </w:rPr>
        <w:fldChar w:fldCharType="begin"/>
      </w:r>
      <w:r>
        <w:rPr>
          <w:noProof/>
        </w:rPr>
        <w:instrText xml:space="preserve"> PAGEREF _Toc235441706 \h </w:instrText>
      </w:r>
      <w:r>
        <w:rPr>
          <w:noProof/>
        </w:rPr>
      </w:r>
      <w:r>
        <w:rPr>
          <w:noProof/>
        </w:rPr>
        <w:fldChar w:fldCharType="separate"/>
      </w:r>
      <w:r>
        <w:rPr>
          <w:noProof/>
        </w:rPr>
        <w:t>22</w:t>
      </w:r>
      <w:r>
        <w:rPr>
          <w:noProof/>
        </w:rPr>
        <w:fldChar w:fldCharType="end"/>
      </w:r>
    </w:p>
    <w:p w14:paraId="23CD98E3" w14:textId="5967CA60"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19.2 On-Premises</w:t>
      </w:r>
      <w:r>
        <w:rPr>
          <w:noProof/>
        </w:rPr>
        <w:tab/>
      </w:r>
      <w:r>
        <w:rPr>
          <w:noProof/>
        </w:rPr>
        <w:fldChar w:fldCharType="begin"/>
      </w:r>
      <w:r>
        <w:rPr>
          <w:noProof/>
        </w:rPr>
        <w:instrText xml:space="preserve"> PAGEREF _Toc235441707 \h </w:instrText>
      </w:r>
      <w:r>
        <w:rPr>
          <w:noProof/>
        </w:rPr>
      </w:r>
      <w:r>
        <w:rPr>
          <w:noProof/>
        </w:rPr>
        <w:fldChar w:fldCharType="separate"/>
      </w:r>
      <w:r>
        <w:rPr>
          <w:noProof/>
        </w:rPr>
        <w:t>22</w:t>
      </w:r>
      <w:r>
        <w:rPr>
          <w:noProof/>
        </w:rPr>
        <w:fldChar w:fldCharType="end"/>
      </w:r>
    </w:p>
    <w:p w14:paraId="216F07FF" w14:textId="0691EFCC"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19.3 Hybrid</w:t>
      </w:r>
      <w:r>
        <w:rPr>
          <w:noProof/>
        </w:rPr>
        <w:tab/>
      </w:r>
      <w:r>
        <w:rPr>
          <w:noProof/>
        </w:rPr>
        <w:fldChar w:fldCharType="begin"/>
      </w:r>
      <w:r>
        <w:rPr>
          <w:noProof/>
        </w:rPr>
        <w:instrText xml:space="preserve"> PAGEREF _Toc235441708 \h </w:instrText>
      </w:r>
      <w:r>
        <w:rPr>
          <w:noProof/>
        </w:rPr>
      </w:r>
      <w:r>
        <w:rPr>
          <w:noProof/>
        </w:rPr>
        <w:fldChar w:fldCharType="separate"/>
      </w:r>
      <w:r>
        <w:rPr>
          <w:noProof/>
        </w:rPr>
        <w:t>23</w:t>
      </w:r>
      <w:r>
        <w:rPr>
          <w:noProof/>
        </w:rPr>
        <w:fldChar w:fldCharType="end"/>
      </w:r>
    </w:p>
    <w:p w14:paraId="3B9278B6" w14:textId="1B271AEE"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20. Cybersecurity</w:t>
      </w:r>
      <w:r>
        <w:rPr>
          <w:noProof/>
        </w:rPr>
        <w:tab/>
      </w:r>
      <w:r>
        <w:rPr>
          <w:noProof/>
        </w:rPr>
        <w:fldChar w:fldCharType="begin"/>
      </w:r>
      <w:r>
        <w:rPr>
          <w:noProof/>
        </w:rPr>
        <w:instrText xml:space="preserve"> PAGEREF _Toc235441709 \h </w:instrText>
      </w:r>
      <w:r>
        <w:rPr>
          <w:noProof/>
        </w:rPr>
      </w:r>
      <w:r>
        <w:rPr>
          <w:noProof/>
        </w:rPr>
        <w:fldChar w:fldCharType="separate"/>
      </w:r>
      <w:r>
        <w:rPr>
          <w:noProof/>
        </w:rPr>
        <w:t>23</w:t>
      </w:r>
      <w:r>
        <w:rPr>
          <w:noProof/>
        </w:rPr>
        <w:fldChar w:fldCharType="end"/>
      </w:r>
    </w:p>
    <w:p w14:paraId="7D2DA4FF" w14:textId="3EDAC2D8"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21. Data Protection</w:t>
      </w:r>
      <w:r>
        <w:rPr>
          <w:noProof/>
        </w:rPr>
        <w:tab/>
      </w:r>
      <w:r>
        <w:rPr>
          <w:noProof/>
        </w:rPr>
        <w:fldChar w:fldCharType="begin"/>
      </w:r>
      <w:r>
        <w:rPr>
          <w:noProof/>
        </w:rPr>
        <w:instrText xml:space="preserve"> PAGEREF _Toc235441710 \h </w:instrText>
      </w:r>
      <w:r>
        <w:rPr>
          <w:noProof/>
        </w:rPr>
      </w:r>
      <w:r>
        <w:rPr>
          <w:noProof/>
        </w:rPr>
        <w:fldChar w:fldCharType="separate"/>
      </w:r>
      <w:r>
        <w:rPr>
          <w:noProof/>
        </w:rPr>
        <w:t>24</w:t>
      </w:r>
      <w:r>
        <w:rPr>
          <w:noProof/>
        </w:rPr>
        <w:fldChar w:fldCharType="end"/>
      </w:r>
    </w:p>
    <w:p w14:paraId="5B1FC465" w14:textId="489BE057"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22. Data Ownership</w:t>
      </w:r>
      <w:r>
        <w:rPr>
          <w:noProof/>
        </w:rPr>
        <w:tab/>
      </w:r>
      <w:r>
        <w:rPr>
          <w:noProof/>
        </w:rPr>
        <w:fldChar w:fldCharType="begin"/>
      </w:r>
      <w:r>
        <w:rPr>
          <w:noProof/>
        </w:rPr>
        <w:instrText xml:space="preserve"> PAGEREF _Toc235441711 \h </w:instrText>
      </w:r>
      <w:r>
        <w:rPr>
          <w:noProof/>
        </w:rPr>
      </w:r>
      <w:r>
        <w:rPr>
          <w:noProof/>
        </w:rPr>
        <w:fldChar w:fldCharType="separate"/>
      </w:r>
      <w:r>
        <w:rPr>
          <w:noProof/>
        </w:rPr>
        <w:t>25</w:t>
      </w:r>
      <w:r>
        <w:rPr>
          <w:noProof/>
        </w:rPr>
        <w:fldChar w:fldCharType="end"/>
      </w:r>
    </w:p>
    <w:p w14:paraId="6CBE36F9" w14:textId="7F9E993E"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23. Integration Options</w:t>
      </w:r>
      <w:r>
        <w:rPr>
          <w:noProof/>
        </w:rPr>
        <w:tab/>
      </w:r>
      <w:r>
        <w:rPr>
          <w:noProof/>
        </w:rPr>
        <w:fldChar w:fldCharType="begin"/>
      </w:r>
      <w:r>
        <w:rPr>
          <w:noProof/>
        </w:rPr>
        <w:instrText xml:space="preserve"> PAGEREF _Toc235441712 \h </w:instrText>
      </w:r>
      <w:r>
        <w:rPr>
          <w:noProof/>
        </w:rPr>
      </w:r>
      <w:r>
        <w:rPr>
          <w:noProof/>
        </w:rPr>
        <w:fldChar w:fldCharType="separate"/>
      </w:r>
      <w:r>
        <w:rPr>
          <w:noProof/>
        </w:rPr>
        <w:t>25</w:t>
      </w:r>
      <w:r>
        <w:rPr>
          <w:noProof/>
        </w:rPr>
        <w:fldChar w:fldCharType="end"/>
      </w:r>
    </w:p>
    <w:p w14:paraId="584FD7F4" w14:textId="301DD252"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24. Performance and Scalability</w:t>
      </w:r>
      <w:r>
        <w:rPr>
          <w:noProof/>
        </w:rPr>
        <w:tab/>
      </w:r>
      <w:r>
        <w:rPr>
          <w:noProof/>
        </w:rPr>
        <w:fldChar w:fldCharType="begin"/>
      </w:r>
      <w:r>
        <w:rPr>
          <w:noProof/>
        </w:rPr>
        <w:instrText xml:space="preserve"> PAGEREF _Toc235441713 \h </w:instrText>
      </w:r>
      <w:r>
        <w:rPr>
          <w:noProof/>
        </w:rPr>
      </w:r>
      <w:r>
        <w:rPr>
          <w:noProof/>
        </w:rPr>
        <w:fldChar w:fldCharType="separate"/>
      </w:r>
      <w:r>
        <w:rPr>
          <w:noProof/>
        </w:rPr>
        <w:t>26</w:t>
      </w:r>
      <w:r>
        <w:rPr>
          <w:noProof/>
        </w:rPr>
        <w:fldChar w:fldCharType="end"/>
      </w:r>
    </w:p>
    <w:p w14:paraId="0A1CA241" w14:textId="2873BC16"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25. Implementation Methodology</w:t>
      </w:r>
      <w:r>
        <w:rPr>
          <w:noProof/>
        </w:rPr>
        <w:tab/>
      </w:r>
      <w:r>
        <w:rPr>
          <w:noProof/>
        </w:rPr>
        <w:fldChar w:fldCharType="begin"/>
      </w:r>
      <w:r>
        <w:rPr>
          <w:noProof/>
        </w:rPr>
        <w:instrText xml:space="preserve"> PAGEREF _Toc235441714 \h </w:instrText>
      </w:r>
      <w:r>
        <w:rPr>
          <w:noProof/>
        </w:rPr>
      </w:r>
      <w:r>
        <w:rPr>
          <w:noProof/>
        </w:rPr>
        <w:fldChar w:fldCharType="separate"/>
      </w:r>
      <w:r>
        <w:rPr>
          <w:noProof/>
        </w:rPr>
        <w:t>28</w:t>
      </w:r>
      <w:r>
        <w:rPr>
          <w:noProof/>
        </w:rPr>
        <w:fldChar w:fldCharType="end"/>
      </w:r>
    </w:p>
    <w:p w14:paraId="07895FB3" w14:textId="4C7DF4B6"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26. Project Timeline</w:t>
      </w:r>
      <w:r>
        <w:rPr>
          <w:noProof/>
        </w:rPr>
        <w:tab/>
      </w:r>
      <w:r>
        <w:rPr>
          <w:noProof/>
        </w:rPr>
        <w:fldChar w:fldCharType="begin"/>
      </w:r>
      <w:r>
        <w:rPr>
          <w:noProof/>
        </w:rPr>
        <w:instrText xml:space="preserve"> PAGEREF _Toc235441715 \h </w:instrText>
      </w:r>
      <w:r>
        <w:rPr>
          <w:noProof/>
        </w:rPr>
      </w:r>
      <w:r>
        <w:rPr>
          <w:noProof/>
        </w:rPr>
        <w:fldChar w:fldCharType="separate"/>
      </w:r>
      <w:r>
        <w:rPr>
          <w:noProof/>
        </w:rPr>
        <w:t>29</w:t>
      </w:r>
      <w:r>
        <w:rPr>
          <w:noProof/>
        </w:rPr>
        <w:fldChar w:fldCharType="end"/>
      </w:r>
    </w:p>
    <w:p w14:paraId="3C28FF77" w14:textId="05E01A3F" w:rsidR="0005785F" w:rsidRDefault="0005785F" w:rsidP="0005785F">
      <w:pPr>
        <w:pStyle w:val="TOC2"/>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26.1 Milestones</w:t>
      </w:r>
      <w:r>
        <w:rPr>
          <w:noProof/>
        </w:rPr>
        <w:tab/>
      </w:r>
      <w:r>
        <w:rPr>
          <w:noProof/>
        </w:rPr>
        <w:fldChar w:fldCharType="begin"/>
      </w:r>
      <w:r>
        <w:rPr>
          <w:noProof/>
        </w:rPr>
        <w:instrText xml:space="preserve"> PAGEREF _Toc235441716 \h </w:instrText>
      </w:r>
      <w:r>
        <w:rPr>
          <w:noProof/>
        </w:rPr>
      </w:r>
      <w:r>
        <w:rPr>
          <w:noProof/>
        </w:rPr>
        <w:fldChar w:fldCharType="separate"/>
      </w:r>
      <w:r>
        <w:rPr>
          <w:noProof/>
        </w:rPr>
        <w:t>30</w:t>
      </w:r>
      <w:r>
        <w:rPr>
          <w:noProof/>
        </w:rPr>
        <w:fldChar w:fldCharType="end"/>
      </w:r>
    </w:p>
    <w:p w14:paraId="0BDD3CDE" w14:textId="34619FE7"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27. Project Governance</w:t>
      </w:r>
      <w:r>
        <w:rPr>
          <w:noProof/>
        </w:rPr>
        <w:tab/>
      </w:r>
      <w:r>
        <w:rPr>
          <w:noProof/>
        </w:rPr>
        <w:fldChar w:fldCharType="begin"/>
      </w:r>
      <w:r>
        <w:rPr>
          <w:noProof/>
        </w:rPr>
        <w:instrText xml:space="preserve"> PAGEREF _Toc235441717 \h </w:instrText>
      </w:r>
      <w:r>
        <w:rPr>
          <w:noProof/>
        </w:rPr>
      </w:r>
      <w:r>
        <w:rPr>
          <w:noProof/>
        </w:rPr>
        <w:fldChar w:fldCharType="separate"/>
      </w:r>
      <w:r>
        <w:rPr>
          <w:noProof/>
        </w:rPr>
        <w:t>30</w:t>
      </w:r>
      <w:r>
        <w:rPr>
          <w:noProof/>
        </w:rPr>
        <w:fldChar w:fldCharType="end"/>
      </w:r>
    </w:p>
    <w:p w14:paraId="4174D2CF" w14:textId="59D35064"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28. Deliverables</w:t>
      </w:r>
      <w:r>
        <w:rPr>
          <w:noProof/>
        </w:rPr>
        <w:tab/>
      </w:r>
      <w:r>
        <w:rPr>
          <w:noProof/>
        </w:rPr>
        <w:fldChar w:fldCharType="begin"/>
      </w:r>
      <w:r>
        <w:rPr>
          <w:noProof/>
        </w:rPr>
        <w:instrText xml:space="preserve"> PAGEREF _Toc235441718 \h </w:instrText>
      </w:r>
      <w:r>
        <w:rPr>
          <w:noProof/>
        </w:rPr>
      </w:r>
      <w:r>
        <w:rPr>
          <w:noProof/>
        </w:rPr>
        <w:fldChar w:fldCharType="separate"/>
      </w:r>
      <w:r>
        <w:rPr>
          <w:noProof/>
        </w:rPr>
        <w:t>31</w:t>
      </w:r>
      <w:r>
        <w:rPr>
          <w:noProof/>
        </w:rPr>
        <w:fldChar w:fldCharType="end"/>
      </w:r>
    </w:p>
    <w:p w14:paraId="39C837F3" w14:textId="5278B887"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29. Training and Knowledge Transfer</w:t>
      </w:r>
      <w:r>
        <w:rPr>
          <w:noProof/>
        </w:rPr>
        <w:tab/>
      </w:r>
      <w:r>
        <w:rPr>
          <w:noProof/>
        </w:rPr>
        <w:fldChar w:fldCharType="begin"/>
      </w:r>
      <w:r>
        <w:rPr>
          <w:noProof/>
        </w:rPr>
        <w:instrText xml:space="preserve"> PAGEREF _Toc235441719 \h </w:instrText>
      </w:r>
      <w:r>
        <w:rPr>
          <w:noProof/>
        </w:rPr>
      </w:r>
      <w:r>
        <w:rPr>
          <w:noProof/>
        </w:rPr>
        <w:fldChar w:fldCharType="separate"/>
      </w:r>
      <w:r>
        <w:rPr>
          <w:noProof/>
        </w:rPr>
        <w:t>33</w:t>
      </w:r>
      <w:r>
        <w:rPr>
          <w:noProof/>
        </w:rPr>
        <w:fldChar w:fldCharType="end"/>
      </w:r>
    </w:p>
    <w:p w14:paraId="51173C91" w14:textId="08DF5F5D"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30. Testing and Acceptance</w:t>
      </w:r>
      <w:r>
        <w:rPr>
          <w:noProof/>
        </w:rPr>
        <w:tab/>
      </w:r>
      <w:r>
        <w:rPr>
          <w:noProof/>
        </w:rPr>
        <w:fldChar w:fldCharType="begin"/>
      </w:r>
      <w:r>
        <w:rPr>
          <w:noProof/>
        </w:rPr>
        <w:instrText xml:space="preserve"> PAGEREF _Toc235441720 \h </w:instrText>
      </w:r>
      <w:r>
        <w:rPr>
          <w:noProof/>
        </w:rPr>
      </w:r>
      <w:r>
        <w:rPr>
          <w:noProof/>
        </w:rPr>
        <w:fldChar w:fldCharType="separate"/>
      </w:r>
      <w:r>
        <w:rPr>
          <w:noProof/>
        </w:rPr>
        <w:t>33</w:t>
      </w:r>
      <w:r>
        <w:rPr>
          <w:noProof/>
        </w:rPr>
        <w:fldChar w:fldCharType="end"/>
      </w:r>
    </w:p>
    <w:p w14:paraId="037B77F9" w14:textId="27A33F39"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31. Support and Maintenance</w:t>
      </w:r>
      <w:r>
        <w:rPr>
          <w:noProof/>
        </w:rPr>
        <w:tab/>
      </w:r>
      <w:r>
        <w:rPr>
          <w:noProof/>
        </w:rPr>
        <w:fldChar w:fldCharType="begin"/>
      </w:r>
      <w:r>
        <w:rPr>
          <w:noProof/>
        </w:rPr>
        <w:instrText xml:space="preserve"> PAGEREF _Toc235441721 \h </w:instrText>
      </w:r>
      <w:r>
        <w:rPr>
          <w:noProof/>
        </w:rPr>
      </w:r>
      <w:r>
        <w:rPr>
          <w:noProof/>
        </w:rPr>
        <w:fldChar w:fldCharType="separate"/>
      </w:r>
      <w:r>
        <w:rPr>
          <w:noProof/>
        </w:rPr>
        <w:t>34</w:t>
      </w:r>
      <w:r>
        <w:rPr>
          <w:noProof/>
        </w:rPr>
        <w:fldChar w:fldCharType="end"/>
      </w:r>
    </w:p>
    <w:p w14:paraId="32B63126" w14:textId="422FB166" w:rsidR="0005785F" w:rsidRDefault="0005785F" w:rsidP="0005785F">
      <w:pPr>
        <w:pStyle w:val="TOC1"/>
        <w:tabs>
          <w:tab w:val="right" w:leader="dot" w:pos="9629"/>
        </w:tabs>
        <w:rPr>
          <w:rFonts w:asciiTheme="minorHAnsi" w:hAnsiTheme="minorHAnsi" w:cstheme="minorBidi"/>
          <w:noProof/>
          <w:kern w:val="2"/>
          <w14:ligatures w14:val="standardContextual"/>
        </w:rPr>
      </w:pPr>
      <w:r w:rsidRPr="009D698F">
        <w:rPr>
          <w:rFonts w:ascii="Segoe UI" w:eastAsia="Times New Roman" w:hAnsi="Segoe UI" w:cs="Segoe UI"/>
          <w:noProof/>
          <w:lang w:val="en"/>
        </w:rPr>
        <w:t>32. SLA</w:t>
      </w:r>
      <w:r>
        <w:rPr>
          <w:noProof/>
        </w:rPr>
        <w:tab/>
      </w:r>
      <w:r>
        <w:rPr>
          <w:noProof/>
        </w:rPr>
        <w:fldChar w:fldCharType="begin"/>
      </w:r>
      <w:r>
        <w:rPr>
          <w:noProof/>
        </w:rPr>
        <w:instrText xml:space="preserve"> PAGEREF _Toc235441722 \h </w:instrText>
      </w:r>
      <w:r>
        <w:rPr>
          <w:noProof/>
        </w:rPr>
      </w:r>
      <w:r>
        <w:rPr>
          <w:noProof/>
        </w:rPr>
        <w:fldChar w:fldCharType="separate"/>
      </w:r>
      <w:r>
        <w:rPr>
          <w:noProof/>
        </w:rPr>
        <w:t>34</w:t>
      </w:r>
      <w:r>
        <w:rPr>
          <w:noProof/>
        </w:rPr>
        <w:fldChar w:fldCharType="end"/>
      </w:r>
    </w:p>
    <w:p w14:paraId="05A928BC" w14:textId="1288404C" w:rsidR="00A51104" w:rsidRDefault="0005785F" w:rsidP="0005785F">
      <w:pPr>
        <w:pStyle w:val="NormalWeb"/>
        <w:rPr>
          <w:rFonts w:ascii="Segoe UI" w:hAnsi="Segoe UI" w:cs="Segoe UI"/>
          <w:color w:val="1F2933"/>
          <w:sz w:val="21"/>
          <w:szCs w:val="21"/>
          <w:lang w:val="en"/>
        </w:rPr>
      </w:pPr>
      <w:r>
        <w:rPr>
          <w:rFonts w:ascii="Segoe UI" w:hAnsi="Segoe UI" w:cs="Segoe UI"/>
          <w:color w:val="1F2933"/>
          <w:sz w:val="21"/>
          <w:szCs w:val="21"/>
          <w:lang w:val="en"/>
        </w:rPr>
        <w:fldChar w:fldCharType="end"/>
      </w:r>
    </w:p>
    <w:p w14:paraId="458C703D" w14:textId="77777777" w:rsidR="00A51104" w:rsidRDefault="00A51104">
      <w:pPr>
        <w:pStyle w:val="Heading1"/>
        <w:rPr>
          <w:rFonts w:ascii="Segoe UI" w:eastAsia="Times New Roman" w:hAnsi="Segoe UI" w:cs="Segoe UI"/>
          <w:lang w:val="en"/>
        </w:rPr>
      </w:pPr>
      <w:bookmarkStart w:id="5" w:name="_Toc235441678"/>
      <w:r>
        <w:rPr>
          <w:rFonts w:ascii="Segoe UI" w:eastAsia="Times New Roman" w:hAnsi="Segoe UI" w:cs="Segoe UI"/>
          <w:lang w:val="en"/>
        </w:rPr>
        <w:t>5. Letter of Submission</w:t>
      </w:r>
      <w:bookmarkEnd w:id="5"/>
    </w:p>
    <w:p w14:paraId="37BAB9FD"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[Client Name]</w:t>
      </w:r>
    </w:p>
    <w:p w14:paraId="117DF2FC" w14:textId="77777777" w:rsidR="00A51104" w:rsidRDefault="00A51104">
      <w:pPr>
        <w:pStyle w:val="muted"/>
        <w:spacing w:before="120" w:beforeAutospacing="0" w:after="120" w:afterAutospacing="0"/>
        <w:rPr>
          <w:rFonts w:ascii="Segoe UI" w:hAnsi="Segoe UI" w:cs="Segoe UI"/>
          <w:lang w:val="en"/>
        </w:rPr>
      </w:pPr>
      <w:r>
        <w:rPr>
          <w:rFonts w:ascii="Segoe UI" w:hAnsi="Segoe UI" w:cs="Segoe UI"/>
          <w:lang w:val="en"/>
        </w:rPr>
        <w:t>[Date]</w:t>
      </w:r>
    </w:p>
    <w:p w14:paraId="27DF5962"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Dear Sir / Madam,</w:t>
      </w:r>
    </w:p>
    <w:p w14:paraId="3E74C20B" w14:textId="77777777" w:rsidR="00A51104" w:rsidRDefault="00A51104">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Subject: Proposal for the Supply, Configuration, and Support of the Live Quiz Platform</w:t>
      </w:r>
    </w:p>
    <w:p w14:paraId="2044F7BD"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On behalf of Altanfith Aldwaliah SPC, I would like to thank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for the opportunity to submit this proposal. We appreciate the time and consideration your team has invested in reviewing our solution, and we welcome the opportunity to support your organization's engagement, training, and assessment objectives.</w:t>
      </w:r>
    </w:p>
    <w:p w14:paraId="10E0DC0A"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presents the Live Quiz Platform as an enterprise engagement, assessment, and analytics solution designed to help organizations such as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run live sessions, structured assessments, and knowledge-evaluation activities with the branding control, reporting depth, and security posture that a large organization requires — going beyond what general-purpose public quiz tools are built to offer. The following sections set out our understanding of your requirements, the proposed solution, our technical architecture and delivery methodology, and the commercial models available for this engagement.</w:t>
      </w:r>
    </w:p>
    <w:p w14:paraId="1D661EF6"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lastRenderedPageBreak/>
        <w:t xml:space="preserve">This proposal, including its commercial terms, is valid for a period of 30 days from the date shown above. We remain available throughout this period to answer questions, arrange a live demonstration, or refine any aspect of this proposal to better reflect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requirements.</w:t>
      </w:r>
    </w:p>
    <w:p w14:paraId="71BE871A"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look forward to the possibility of working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and would welcome the opportunity to discuss this proposal further at your convenience.</w:t>
      </w:r>
    </w:p>
    <w:p w14:paraId="3551D214" w14:textId="77777777" w:rsidR="00A51104" w:rsidRDefault="00A51104">
      <w:pPr>
        <w:pStyle w:val="NormalWeb"/>
        <w:spacing w:before="480"/>
        <w:rPr>
          <w:rFonts w:ascii="Segoe UI" w:hAnsi="Segoe UI" w:cs="Segoe UI"/>
          <w:color w:val="1F2933"/>
          <w:sz w:val="21"/>
          <w:szCs w:val="21"/>
          <w:lang w:val="en"/>
        </w:rPr>
      </w:pPr>
      <w:r>
        <w:rPr>
          <w:rFonts w:ascii="Segoe UI" w:hAnsi="Segoe UI" w:cs="Segoe UI"/>
          <w:color w:val="1F2933"/>
          <w:sz w:val="21"/>
          <w:szCs w:val="21"/>
          <w:lang w:val="en"/>
        </w:rPr>
        <w:t>Yours faithfully,</w:t>
      </w:r>
    </w:p>
    <w:p w14:paraId="1EF516D2" w14:textId="77777777" w:rsidR="00A51104" w:rsidRDefault="00A51104">
      <w:pPr>
        <w:pStyle w:val="NormalWeb"/>
        <w:spacing w:before="480"/>
        <w:rPr>
          <w:rFonts w:ascii="Segoe UI" w:hAnsi="Segoe UI" w:cs="Segoe UI"/>
          <w:color w:val="1F2933"/>
          <w:sz w:val="21"/>
          <w:szCs w:val="21"/>
          <w:lang w:val="en"/>
        </w:rPr>
      </w:pPr>
      <w:r>
        <w:rPr>
          <w:rStyle w:val="Strong"/>
          <w:rFonts w:ascii="Segoe UI" w:hAnsi="Segoe UI" w:cs="Segoe UI"/>
          <w:color w:val="1F2933"/>
          <w:sz w:val="21"/>
          <w:szCs w:val="21"/>
          <w:lang w:val="en"/>
        </w:rPr>
        <w:t>Haitham Al Lamki</w:t>
      </w:r>
      <w:r>
        <w:rPr>
          <w:rFonts w:ascii="Segoe UI" w:hAnsi="Segoe UI" w:cs="Segoe UI"/>
          <w:color w:val="1F2933"/>
          <w:sz w:val="21"/>
          <w:szCs w:val="21"/>
          <w:lang w:val="en"/>
        </w:rPr>
        <w:br/>
      </w:r>
      <w:r>
        <w:rPr>
          <w:rFonts w:ascii="Segoe UI" w:hAnsi="Segoe UI" w:cs="Segoe UI"/>
          <w:color w:val="1F2933"/>
          <w:sz w:val="21"/>
          <w:szCs w:val="21"/>
          <w:lang w:val="en"/>
        </w:rPr>
        <w:t>Altanfith Aldwaliah SPC</w:t>
      </w:r>
      <w:r>
        <w:rPr>
          <w:rFonts w:ascii="Segoe UI" w:hAnsi="Segoe UI" w:cs="Segoe UI"/>
          <w:color w:val="1F2933"/>
          <w:sz w:val="21"/>
          <w:szCs w:val="21"/>
          <w:lang w:val="en"/>
        </w:rPr>
        <w:br/>
        <w:t>Email: haitham@altanfith.com</w:t>
      </w:r>
      <w:r>
        <w:rPr>
          <w:rFonts w:ascii="Segoe UI" w:hAnsi="Segoe UI" w:cs="Segoe UI"/>
          <w:color w:val="1F2933"/>
          <w:sz w:val="21"/>
          <w:szCs w:val="21"/>
          <w:lang w:val="en"/>
        </w:rPr>
        <w:br/>
        <w:t>Phone: +968 9937 1775</w:t>
      </w:r>
      <w:r>
        <w:rPr>
          <w:rFonts w:ascii="Segoe UI" w:hAnsi="Segoe UI" w:cs="Segoe UI"/>
          <w:color w:val="1F2933"/>
          <w:sz w:val="21"/>
          <w:szCs w:val="21"/>
          <w:lang w:val="en"/>
        </w:rPr>
        <w:br/>
        <w:t>Sultanate of Oman</w:t>
      </w:r>
    </w:p>
    <w:p w14:paraId="3B7929B1" w14:textId="77777777" w:rsidR="00A51104" w:rsidRDefault="00A51104">
      <w:pPr>
        <w:pStyle w:val="Heading1"/>
        <w:rPr>
          <w:rFonts w:ascii="Segoe UI" w:eastAsia="Times New Roman" w:hAnsi="Segoe UI" w:cs="Segoe UI"/>
          <w:lang w:val="en"/>
        </w:rPr>
      </w:pPr>
      <w:bookmarkStart w:id="6" w:name="_Toc235441679"/>
      <w:r>
        <w:rPr>
          <w:rFonts w:ascii="Segoe UI" w:eastAsia="Times New Roman" w:hAnsi="Segoe UI" w:cs="Segoe UI"/>
          <w:lang w:val="en"/>
        </w:rPr>
        <w:t>6. Executive Summary</w:t>
      </w:r>
      <w:bookmarkEnd w:id="6"/>
    </w:p>
    <w:p w14:paraId="32413601"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is pleased to present the Live Quiz Platform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as an enterprise engagement, assessment, and knowledge-evaluation platform — a flexible, customizable alternative to general public quiz tools, purpose-built for organizations that require organizational branding, structured reporting, and enterprise-grade controls around how live sessions and assessments are run.</w:t>
      </w:r>
    </w:p>
    <w:p w14:paraId="0AC1A1E1"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not a concept or a prototype. It is already in real operational use at Abraj Energy Services, where it supports HSE meetings and employee engagement activities, with single live sessions that have brought together more than 100 participants at once. This production track record gives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confidence that the core platform is stable, functional, and capable of supporting real organizational events at meaningful scale, rather than a solution that exists only on paper.</w:t>
      </w:r>
    </w:p>
    <w:p w14:paraId="416BDC3A"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 is bilingual by design, with a fully localized Arabic and English interface including complete right-to-left (RTL) support for Arabic — a capability that matters for organizations operating across Oman and the wider Gulf region, where sessions, dashboards, and reports need to be equally usable in either language.</w:t>
      </w:r>
    </w:p>
    <w:p w14:paraId="61EC6C58"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Content creation is accelerated through AI-assisted generation: administrators can generate a complete quiz from a topic or title, or from an uploaded PDF, Word document, URL, or pasted text, with the AI assigning suggested difficulty levels and answer explanations. Every AI-generated item is presented to an administrator for review and editing before it is used in a live session — the platform is designed to keep a human reviewer in the loop rather than publishing AI output automatically. Additional AI cap</w:t>
      </w:r>
      <w:r>
        <w:rPr>
          <w:rFonts w:ascii="Segoe UI" w:hAnsi="Segoe UI" w:cs="Segoe UI"/>
          <w:color w:val="1F2933"/>
          <w:sz w:val="21"/>
          <w:szCs w:val="21"/>
          <w:lang w:val="en"/>
        </w:rPr>
        <w:t xml:space="preserve">abilities, such as AI-assisted rewriting, suggestions, and generated visual themes, are available as optional, separately scoped additions, and a further set of AI-driven insights and reporting features sits on our future roadmap. </w:t>
      </w:r>
    </w:p>
    <w:p w14:paraId="46054C8D" w14:textId="77777777" w:rsidR="00A51104" w:rsidRDefault="00A51104">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choose how the platform is hosted and delivered. Three deployment models are available: a fully managed cloud/SaaS option, a fully on-premises option in which the Express.js backend runs entirely within the client's own infrastructure, and a hybrid option that splits components between the two — the right choice depends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data residency, network, and cybersecurity requirements, and is confirmed through a dedicated infrastructure assessment rather than assumed in advance. Commercially, </w:t>
      </w:r>
      <w:r>
        <w:rPr>
          <w:rFonts w:ascii="Segoe UI" w:hAnsi="Segoe UI" w:cs="Segoe UI"/>
          <w:color w:val="1F2933"/>
          <w:sz w:val="21"/>
          <w:szCs w:val="21"/>
          <w:lang w:val="en"/>
        </w:rPr>
        <w:t xml:space="preserve">the platform is available under three models — an annual SaaS subscription, a one-time perpetual license, and an enterprise custom development partnership —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ownership and cost structure that best fits its procurement approach.</w:t>
      </w:r>
    </w:p>
    <w:p w14:paraId="54569C3B"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lastRenderedPageBreak/>
        <w:t>Underpinning all of this is the fact that Altanfith Aldwaliah SPC is an Omani company: delivery, support, and communication happen locally, in Arabic and English, without the delays or handover friction that come with an offshore vendor. This local presence supports the value of the platform — it is the foundation the offer is delivered on, not the offer itself.</w:t>
      </w:r>
    </w:p>
    <w:tbl>
      <w:tblPr>
        <w:tblW w:w="5000" w:type="pct"/>
        <w:tblCellMar>
          <w:top w:w="15" w:type="dxa"/>
          <w:left w:w="15" w:type="dxa"/>
          <w:bottom w:w="15" w:type="dxa"/>
          <w:right w:w="15" w:type="dxa"/>
        </w:tblCellMar>
        <w:tblLook w:val="04A0" w:firstRow="1" w:lastRow="0" w:firstColumn="1" w:lastColumn="0" w:noHBand="0" w:noVBand="1"/>
      </w:tblPr>
      <w:tblGrid>
        <w:gridCol w:w="1851"/>
        <w:gridCol w:w="7768"/>
      </w:tblGrid>
      <w:tr w:rsidR="00000000" w14:paraId="47A44CE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9B46990"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Proposal at a glance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4282E5" w14:textId="77777777" w:rsidR="00A51104" w:rsidRDefault="00A51104">
            <w:pPr>
              <w:spacing w:before="160" w:after="160"/>
              <w:rPr>
                <w:rFonts w:ascii="Segoe UI" w:eastAsia="Times New Roman" w:hAnsi="Segoe UI" w:cs="Segoe UI"/>
                <w:b/>
                <w:bCs/>
                <w:color w:val="FFFFFF"/>
                <w:sz w:val="19"/>
                <w:szCs w:val="19"/>
              </w:rPr>
            </w:pPr>
          </w:p>
        </w:tc>
      </w:tr>
      <w:tr w:rsidR="00000000" w14:paraId="2AEC937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271F3A"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Solution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E5975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Enterprise engagement, assessment &amp; analytics platform — Live Quiz Platform</w:t>
            </w:r>
          </w:p>
        </w:tc>
      </w:tr>
      <w:tr w:rsidR="00000000" w14:paraId="4A05B44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E21D69"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Proven use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8F358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 production at Abraj Energy Services — HSE meetings &amp; engagement sessions with 100+ live participants</w:t>
            </w:r>
          </w:p>
        </w:tc>
      </w:tr>
      <w:tr w:rsidR="00000000" w14:paraId="1041388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E26DD2"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Deployment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9C038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Cloud/SaaS, fully on-premises, or hybrid — confirmed via infrastructure assessment</w:t>
            </w:r>
          </w:p>
        </w:tc>
      </w:tr>
      <w:tr w:rsidR="00000000" w14:paraId="3CABCDE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215F24"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Commercial models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4BBD5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SaaS subscription · perpetual license · enterprise custom development partnership</w:t>
            </w:r>
          </w:p>
        </w:tc>
      </w:tr>
      <w:tr w:rsidR="00000000" w14:paraId="67BFDB0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08120F"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AI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A980D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quiz generation from topic, PDF, document, URL, or text — always reviewed by an administrator before use</w:t>
            </w:r>
          </w:p>
        </w:tc>
      </w:tr>
      <w:tr w:rsidR="00000000" w14:paraId="7EC2665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431E45"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Support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ED1EC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Bronze / Silver / Gold packages, delivered locally from Oman in Arabic and English</w:t>
            </w:r>
          </w:p>
        </w:tc>
      </w:tr>
    </w:tbl>
    <w:p w14:paraId="02DE3F8E" w14:textId="77777777" w:rsidR="00A51104" w:rsidRDefault="00A51104">
      <w:pPr>
        <w:pStyle w:val="Heading1"/>
        <w:rPr>
          <w:rFonts w:ascii="Segoe UI" w:eastAsia="Times New Roman" w:hAnsi="Segoe UI" w:cs="Segoe UI"/>
          <w:lang w:val="en"/>
        </w:rPr>
      </w:pPr>
      <w:bookmarkStart w:id="7" w:name="_Toc235441680"/>
      <w:r>
        <w:rPr>
          <w:rFonts w:ascii="Segoe UI" w:eastAsia="Times New Roman" w:hAnsi="Segoe UI" w:cs="Segoe UI"/>
          <w:lang w:val="en"/>
        </w:rPr>
        <w:t>7. About Altanfith Aldwaliah SPC</w:t>
      </w:r>
      <w:bookmarkEnd w:id="7"/>
    </w:p>
    <w:p w14:paraId="2338D393"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Altanfith Aldwaliah SPC is a Sultanate of Oman-based software company focused on designing, building, and supporting enterprise digital platforms for government, oil &amp; gas, education, and private-sector organizations. Our work centers on delivering software that is not simply installed and left running, but actively configured, branded, and adapted around each client's operational, reporting, and security requirements.</w:t>
      </w:r>
    </w:p>
    <w:p w14:paraId="56196F97"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Our core capability areas span custom application development, enterprise platform configuration, and applied artificial intelligence — including AI-assisted content generation of the kind used within the Live Quiz Platform itself. We combine this technical capability with a practical understanding of how large Omani organizations operate: the governance structures they answer to, the security review processes their IT and cybersecurity teams require, and the bilingual Arabic/English environment in which th</w:t>
      </w:r>
      <w:r>
        <w:rPr>
          <w:rFonts w:ascii="Segoe UI" w:hAnsi="Segoe UI" w:cs="Segoe UI"/>
          <w:color w:val="1F2933"/>
          <w:sz w:val="21"/>
          <w:szCs w:val="21"/>
          <w:lang w:val="en"/>
        </w:rPr>
        <w:t>eir staff and stakeholders work.</w:t>
      </w:r>
    </w:p>
    <w:p w14:paraId="28DAE5C0"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a direct expression of this approach. Rather than offering a generic, one-size-fits-all quiz tool, we designed and continue to develop a platform that can be shaped around each client's branding, workflows, integration landscape, and deployment preferences — and that is already proven in real operational use, as set out in Section 12 of this proposal.</w:t>
      </w:r>
    </w:p>
    <w:p w14:paraId="70ACADD2"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As an Omani company, Altanfith Aldwaliah SPC is able to engage directly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teams throughout discovery, delivery, and ongoing support, in Arabic and English, without reliance on an intermediary or an offshore support desk operating outside Gulf business hours.</w:t>
      </w:r>
    </w:p>
    <w:p w14:paraId="2B953E89" w14:textId="77777777" w:rsidR="00A51104" w:rsidRDefault="00A51104">
      <w:pPr>
        <w:pStyle w:val="Heading1"/>
        <w:rPr>
          <w:rFonts w:ascii="Segoe UI" w:eastAsia="Times New Roman" w:hAnsi="Segoe UI" w:cs="Segoe UI"/>
          <w:lang w:val="en"/>
        </w:rPr>
      </w:pPr>
      <w:bookmarkStart w:id="8" w:name="_Toc235441681"/>
      <w:r>
        <w:rPr>
          <w:rFonts w:ascii="Segoe UI" w:eastAsia="Times New Roman" w:hAnsi="Segoe UI" w:cs="Segoe UI"/>
          <w:lang w:val="en"/>
        </w:rPr>
        <w:lastRenderedPageBreak/>
        <w:t>8. Understanding of Client Requirements</w:t>
      </w:r>
      <w:bookmarkEnd w:id="8"/>
    </w:p>
    <w:p w14:paraId="178CE151"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Large Omani organizations — whether in government, oil &amp; gas, education, or the private sector — typically approach an engagement and assessment platform with a common set of expectations that go well beyond what a free or public quiz tool is designed to provide. Based on our experience delivering the Live Quiz Platform into a live production environment, we understand these expectations to include the following.</w:t>
      </w:r>
    </w:p>
    <w:tbl>
      <w:tblPr>
        <w:tblW w:w="5000" w:type="pct"/>
        <w:tblCellMar>
          <w:top w:w="15" w:type="dxa"/>
          <w:left w:w="15" w:type="dxa"/>
          <w:bottom w:w="15" w:type="dxa"/>
          <w:right w:w="15" w:type="dxa"/>
        </w:tblCellMar>
        <w:tblLook w:val="04A0" w:firstRow="1" w:lastRow="0" w:firstColumn="1" w:lastColumn="0" w:noHBand="0" w:noVBand="1"/>
      </w:tblPr>
      <w:tblGrid>
        <w:gridCol w:w="3408"/>
        <w:gridCol w:w="6211"/>
      </w:tblGrid>
      <w:tr w:rsidR="00000000" w14:paraId="0169509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2ACA836"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Requirement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4BDD38C"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Our response</w:t>
            </w:r>
          </w:p>
        </w:tc>
      </w:tr>
      <w:tr w:rsidR="00000000" w14:paraId="360164F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467E1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control over branding, so that sessions and materials reflect the organization's own visual identity rather than a generic third-party look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5EFC4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Per-tenant organization branding, including logo and color customization, custom themes, custom backgrounds, and custom UI text, is built into the platform</w:t>
            </w:r>
          </w:p>
        </w:tc>
      </w:tr>
      <w:tr w:rsidR="00000000" w14:paraId="4D2DB6D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8B600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Control over where data resides and how it is retained, including the ability to keep sensitive data within the organization's own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EFAF8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 fully on-premises deployment option is available, in which the backend and database can run entirely within </w:t>
            </w: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data retention and export terms are defined in the commercial agreement, and final data residency arrangements are confirmed during discovery and infrastructure assessment</w:t>
            </w:r>
          </w:p>
        </w:tc>
      </w:tr>
      <w:tr w:rsidR="00000000" w14:paraId="7C65259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CD40F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genuinely bilingual Arabic and English experience, not a partial translation layered onto an English-first product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42D15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interface, including full right-to-left (RTL) layout, is available in Arabic and English as a core, included capability</w:t>
            </w:r>
          </w:p>
        </w:tc>
      </w:tr>
      <w:tr w:rsidR="00000000" w14:paraId="0398594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609E0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Compatibility with the organization's internal cybersecurity review and approval process before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9B299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is developed with awareness of the OWASP Top 10 and includes controls such as role-based access, audit logging, and API rate limiting; the full architecture is made available for client security review, and deployment is subject to the client's cybersecurity assessment as described in Section 20</w:t>
            </w:r>
          </w:p>
        </w:tc>
      </w:tr>
      <w:tr w:rsidR="00000000" w14:paraId="4C92BD7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A5F28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Practical integration paths into the organization's existing systems (identity, HR, reporting) rather than a fully closed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56EB6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REST APIs and a defined set of integration options are available; specific integrations such as single sign-on, HR systems, or Power BI can be configured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environment and are scoped individually, as described in Section 23</w:t>
            </w:r>
          </w:p>
        </w:tc>
      </w:tr>
      <w:tr w:rsidR="00000000" w14:paraId="11D6432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7C5F2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Local support that understands the organization's language, working hours, and escalation expectations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5AD62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Aldwaliah SPC is based in the Sultanate of Oman and delivers support in Arabic and English under Bronze, Silver, and Gold packages, as described in Section 31</w:t>
            </w:r>
          </w:p>
        </w:tc>
      </w:tr>
    </w:tbl>
    <w:p w14:paraId="63D9FBDD"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These requirements shape both the design of the platform and the structure of this proposal: the sections that follow set out how the Live Quiz Platform, its architecture, and our delivery methodology are built to answer each of them directly.</w:t>
      </w:r>
    </w:p>
    <w:p w14:paraId="3CA033F0" w14:textId="77777777" w:rsidR="00A51104" w:rsidRDefault="00A51104">
      <w:pPr>
        <w:pStyle w:val="Heading1"/>
        <w:rPr>
          <w:rFonts w:ascii="Segoe UI" w:eastAsia="Times New Roman" w:hAnsi="Segoe UI" w:cs="Segoe UI"/>
          <w:lang w:val="en"/>
        </w:rPr>
      </w:pPr>
      <w:bookmarkStart w:id="9" w:name="_Toc235441682"/>
      <w:r>
        <w:rPr>
          <w:rFonts w:ascii="Segoe UI" w:eastAsia="Times New Roman" w:hAnsi="Segoe UI" w:cs="Segoe UI"/>
          <w:lang w:val="en"/>
        </w:rPr>
        <w:lastRenderedPageBreak/>
        <w:t>9. Business Challenges</w:t>
      </w:r>
      <w:bookmarkEnd w:id="9"/>
    </w:p>
    <w:p w14:paraId="68F5522E"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Organizations that rely on free or general-purpose public quiz tools for internal engagement, training, or assessment activities commonly encounter a consistent set of limitations once usage moves beyond a single informal session.</w:t>
      </w:r>
    </w:p>
    <w:tbl>
      <w:tblPr>
        <w:tblW w:w="5000" w:type="pct"/>
        <w:tblCellMar>
          <w:top w:w="15" w:type="dxa"/>
          <w:left w:w="15" w:type="dxa"/>
          <w:bottom w:w="15" w:type="dxa"/>
          <w:right w:w="15" w:type="dxa"/>
        </w:tblCellMar>
        <w:tblLook w:val="04A0" w:firstRow="1" w:lastRow="0" w:firstColumn="1" w:lastColumn="0" w:noHBand="0" w:noVBand="1"/>
      </w:tblPr>
      <w:tblGrid>
        <w:gridCol w:w="3839"/>
        <w:gridCol w:w="5780"/>
      </w:tblGrid>
      <w:tr w:rsidR="00000000" w14:paraId="7041FBE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65EA04E"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Challenge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73891E7"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Consequence</w:t>
            </w:r>
          </w:p>
        </w:tc>
      </w:tr>
      <w:tr w:rsidR="00000000" w14:paraId="12A1A4C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6A5EA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Generic public quiz tools are built for open, consumer use and lack enterprise controls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BD34D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 organizational branding, no role-based administration, and no ability to enforce the organization's own access and data-handling requirements</w:t>
            </w:r>
          </w:p>
        </w:tc>
      </w:tr>
      <w:tr w:rsidR="00000000" w14:paraId="1064026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3A48D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and question content is created ad hoc and scattered across individual accounts, files, and departments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0A54C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Content cannot be reused, standardized, or governed centrally, and is often lost when the individual who created it moves on</w:t>
            </w:r>
          </w:p>
        </w:tc>
      </w:tr>
      <w:tr w:rsidR="00000000" w14:paraId="7E7B3F1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BC2F3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tools offer little to no organizational-level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6BFAA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cannot see participation, performance, or engagement trends across departments, sessions, or time — results exist only as isolated, per-session snapshots</w:t>
            </w:r>
          </w:p>
        </w:tc>
      </w:tr>
      <w:tr w:rsidR="00000000" w14:paraId="54268F9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313E0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 created and collected through a public, third-party tool sits outside the organization's own environment and control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26AF7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This raises data residency and governance concerns for organizations subject to internal compliance requirements or operating in regulated sectors, particularly where session content or participant data is sensitive</w:t>
            </w:r>
          </w:p>
        </w:tc>
      </w:tr>
      <w:tr w:rsidR="00000000" w14:paraId="00E8D7D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60985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Repetitive use of the same generic tool and format across HSE briefings and training sessions leads to engagement fatigue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C1D3D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Participation and attention decline over time, undermining the safety and learning objectives the sessions are intended to support</w:t>
            </w:r>
          </w:p>
        </w:tc>
      </w:tr>
      <w:tr w:rsidR="00000000" w14:paraId="417D077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AC384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tools typically offer only a single, English-first interface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F8D7D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Arabic-speaking participants and administrators are left with a translated or inconsistent experience, reducing usability and adoption across a bilingual workforce</w:t>
            </w:r>
          </w:p>
        </w:tc>
      </w:tr>
    </w:tbl>
    <w:p w14:paraId="7494D23F"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and the enterprise delivery model set out in this proposal, are designed specifically to address these gaps — as described in the sections that follow.</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704805B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52AF8E" w14:textId="77777777" w:rsidR="00A51104" w:rsidRDefault="00A51104">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TWO</w:t>
            </w:r>
          </w:p>
          <w:p w14:paraId="5B258704" w14:textId="77777777" w:rsidR="00A51104" w:rsidRDefault="00A51104">
            <w:pPr>
              <w:pStyle w:val="NormalWeb"/>
              <w:rPr>
                <w:rFonts w:ascii="Segoe UI" w:hAnsi="Segoe UI" w:cs="Segoe UI"/>
                <w:b/>
                <w:bCs/>
                <w:color w:val="FFFFFF"/>
                <w:sz w:val="44"/>
                <w:szCs w:val="44"/>
              </w:rPr>
            </w:pPr>
            <w:r>
              <w:rPr>
                <w:rFonts w:ascii="Segoe UI" w:hAnsi="Segoe UI" w:cs="Segoe UI"/>
                <w:b/>
                <w:bCs/>
                <w:color w:val="FFFFFF"/>
                <w:sz w:val="44"/>
                <w:szCs w:val="44"/>
              </w:rPr>
              <w:t>The Solution</w:t>
            </w:r>
          </w:p>
          <w:p w14:paraId="49B999A4" w14:textId="77777777" w:rsidR="00A51104" w:rsidRDefault="00A51104">
            <w:pPr>
              <w:pStyle w:val="NormalWeb"/>
              <w:rPr>
                <w:rFonts w:ascii="Segoe UI" w:hAnsi="Segoe UI" w:cs="Segoe UI"/>
                <w:color w:val="1F2933"/>
              </w:rPr>
            </w:pPr>
            <w:r>
              <w:rPr>
                <w:rFonts w:ascii="Segoe UI" w:hAnsi="Segoe UI" w:cs="Segoe UI"/>
                <w:color w:val="1F2933"/>
              </w:rPr>
              <w:t>How the Live Quiz Platform answers the requirements and challenges set out above</w:t>
            </w:r>
          </w:p>
        </w:tc>
      </w:tr>
    </w:tbl>
    <w:p w14:paraId="16100EDB" w14:textId="77777777" w:rsidR="00A51104" w:rsidRDefault="00A51104">
      <w:pPr>
        <w:pStyle w:val="Heading1"/>
        <w:pageBreakBefore/>
        <w:rPr>
          <w:rFonts w:ascii="Segoe UI" w:eastAsia="Times New Roman" w:hAnsi="Segoe UI" w:cs="Segoe UI"/>
          <w:lang w:val="en"/>
        </w:rPr>
      </w:pPr>
      <w:bookmarkStart w:id="10" w:name="_Toc235441683"/>
      <w:r>
        <w:rPr>
          <w:rFonts w:ascii="Segoe UI" w:eastAsia="Times New Roman" w:hAnsi="Segoe UI" w:cs="Segoe UI"/>
          <w:lang w:val="en"/>
        </w:rPr>
        <w:lastRenderedPageBreak/>
        <w:t>10. Proposed Solution</w:t>
      </w:r>
      <w:bookmarkEnd w:id="10"/>
    </w:p>
    <w:p w14:paraId="0116A53B"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proposes the Live Quiz Platform as a single platform that brings together live engagement, structured assessment, and organizational analytics,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does not need to operate separate tools for running a live session, evaluating knowledge, and reporting on the results.</w:t>
      </w:r>
    </w:p>
    <w:p w14:paraId="5CCD685A"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designed to support a broad range of use cases across a large organization, from safety and training activities to recruitment and internal communication. The table below reflects the categories of use the platform is built to support; the specific mix relevant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be confirmed during discovery.</w:t>
      </w:r>
    </w:p>
    <w:tbl>
      <w:tblPr>
        <w:tblW w:w="5000" w:type="pct"/>
        <w:tblCellMar>
          <w:top w:w="15" w:type="dxa"/>
          <w:left w:w="15" w:type="dxa"/>
          <w:bottom w:w="15" w:type="dxa"/>
          <w:right w:w="15" w:type="dxa"/>
        </w:tblCellMar>
        <w:tblLook w:val="04A0" w:firstRow="1" w:lastRow="0" w:firstColumn="1" w:lastColumn="0" w:noHBand="0" w:noVBand="1"/>
      </w:tblPr>
      <w:tblGrid>
        <w:gridCol w:w="2621"/>
        <w:gridCol w:w="3518"/>
        <w:gridCol w:w="3480"/>
      </w:tblGrid>
      <w:tr w:rsidR="00000000" w14:paraId="00AAECE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F292D12"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Engagement &amp; Training</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9B2F1D0"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Assessment &amp; Evaluation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0F3B671"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Organizational &amp; Institutional</w:t>
            </w:r>
          </w:p>
        </w:tc>
      </w:tr>
      <w:tr w:rsidR="00000000" w14:paraId="313BA49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4E802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HSE meetings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97412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Knowledge assessments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AAF9B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Government awareness campaigns</w:t>
            </w:r>
          </w:p>
        </w:tc>
      </w:tr>
      <w:tr w:rsidR="00000000" w14:paraId="4FC0265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2557D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Employee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A8CFE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Recruitment assessments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3C3B6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Educational institutions</w:t>
            </w:r>
          </w:p>
        </w:tc>
      </w:tr>
      <w:tr w:rsidR="00000000" w14:paraId="413023A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8B2FA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Corporate workshops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B0941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Interviews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2D9EC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Schools &amp; universities</w:t>
            </w:r>
          </w:p>
        </w:tc>
      </w:tr>
      <w:tr w:rsidR="00000000" w14:paraId="331FBAA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D3EFA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Team-building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9E499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Surveys &amp; polls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79F10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compliance assessments</w:t>
            </w:r>
          </w:p>
        </w:tc>
      </w:tr>
      <w:tr w:rsidR="00000000" w14:paraId="6D5DCB8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49A73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Corporate events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A0A21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Certification preparation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769C7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Employee onboarding</w:t>
            </w:r>
          </w:p>
        </w:tc>
      </w:tr>
      <w:tr w:rsidR="00000000" w14:paraId="5FC5154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56311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Competitions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A635F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Learning &amp; development programs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71332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Safety awareness</w:t>
            </w:r>
          </w:p>
        </w:tc>
      </w:tr>
    </w:tbl>
    <w:p w14:paraId="26CED72F"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It is important to be clear about how we position the Live Quiz Platform. Live, buzzer-style quiz tools such as Kahoot are widely known and are a useful category reference for the live-session experience — but the Live Quiz Platform is not a copy of any such tool. It is an enterprise platform: customizable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operational workflows, branding, reporting requirements, security posture, and integration landscape, and deployable in a way a general public tool is not, including fully on-premises within the client's own infrastructure. The sections that follow set out the platform itself (Sections 11–16), its technical architecture and deployment options (Sections 17–24), our delivery methodology (Sections 25–32), and the commercial terms under which it is offered (Sections 33 onward).</w:t>
      </w:r>
    </w:p>
    <w:p w14:paraId="6821DFFE" w14:textId="77777777" w:rsidR="00A51104" w:rsidRDefault="00A51104">
      <w:pPr>
        <w:pStyle w:val="Heading1"/>
        <w:rPr>
          <w:rFonts w:ascii="Segoe UI" w:eastAsia="Times New Roman" w:hAnsi="Segoe UI" w:cs="Segoe UI"/>
          <w:lang w:val="en"/>
        </w:rPr>
      </w:pPr>
      <w:bookmarkStart w:id="11" w:name="_Toc235441684"/>
      <w:r>
        <w:rPr>
          <w:rFonts w:ascii="Segoe UI" w:eastAsia="Times New Roman" w:hAnsi="Segoe UI" w:cs="Segoe UI"/>
          <w:lang w:val="en"/>
        </w:rPr>
        <w:t>11. Platform Overview</w:t>
      </w:r>
      <w:bookmarkEnd w:id="11"/>
    </w:p>
    <w:p w14:paraId="769AFCC5"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best understood through the lifecycle of a typical session, from creation through to reporting.</w:t>
      </w:r>
    </w:p>
    <w:p w14:paraId="32E0082E"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An administrator or quiz creator begins by building a quiz manually, or by using the platform's AI-assisted generation to produce a complete quiz from a topic, an uploaded PDF or Word document, a URL, or pasted text — with every AI-generated question reviewed and editable before use. The quiz is then branded with the organization's own logo, colors, and theme, and can be organized into a reusable question bank tagged by subject and difficulty for future sessions.</w:t>
      </w:r>
    </w:p>
    <w:p w14:paraId="57A694DE"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lastRenderedPageBreak/>
        <w:t>When it is time to run a session, the host launches the quiz live. Participants join in seconds using a QR code, a direct link, or a session PIN, without needing to create an account. As the session runs, the platform is server-authoritative for timing and scoring: the server determines when a question opens and closes and calculates results, while participant and host devices render what is happening in real time — including live answer submission, a live leaderboard, and automatic reconnection if a partic</w:t>
      </w:r>
      <w:r>
        <w:rPr>
          <w:rFonts w:ascii="Segoe UI" w:hAnsi="Segoe UI" w:cs="Segoe UI"/>
          <w:color w:val="1F2933"/>
          <w:sz w:val="21"/>
          <w:szCs w:val="21"/>
          <w:lang w:val="en"/>
        </w:rPr>
        <w:t>ipant's network connection drops mid-session. At the close of the session, the top three participants are shown on a podium, alongside the full participant ranking.</w:t>
      </w:r>
    </w:p>
    <w:p w14:paraId="2CA9DF6B"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After the session ends, results are not lost. They are captured in the platform's reporting and session history, giving administrators and management access to participation data, performance analysis, and historical comparisons across sessions — described in full in Section 16.</w:t>
      </w:r>
    </w:p>
    <w:p w14:paraId="0BECCC63"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Across this lifecycle, the platform's capability set is organized into six pillars, summarized below and detailed in full in Section 13.</w:t>
      </w:r>
    </w:p>
    <w:tbl>
      <w:tblPr>
        <w:tblW w:w="5000" w:type="pct"/>
        <w:tblCellMar>
          <w:top w:w="15" w:type="dxa"/>
          <w:left w:w="15" w:type="dxa"/>
          <w:bottom w:w="15" w:type="dxa"/>
          <w:right w:w="15" w:type="dxa"/>
        </w:tblCellMar>
        <w:tblLook w:val="04A0" w:firstRow="1" w:lastRow="0" w:firstColumn="1" w:lastColumn="0" w:noHBand="0" w:noVBand="1"/>
      </w:tblPr>
      <w:tblGrid>
        <w:gridCol w:w="2221"/>
        <w:gridCol w:w="7398"/>
      </w:tblGrid>
      <w:tr w:rsidR="00000000" w14:paraId="2784039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669B481"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Pillar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03E77BA"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covers</w:t>
            </w:r>
          </w:p>
        </w:tc>
      </w:tr>
      <w:tr w:rsidR="00000000" w14:paraId="0B4E769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8BB7B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creation &amp; content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13AFD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and question authoring, question banks, bulk import, templates, versioning, and auto-save/draft recovery</w:t>
            </w:r>
          </w:p>
        </w:tc>
      </w:tr>
      <w:tr w:rsidR="00000000" w14:paraId="0F191BA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287FB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hosting &amp; participation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B912F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QR/link/PIN joining, real-time answers, live leaderboard, ranking, podium, and automatic reconnection</w:t>
            </w:r>
          </w:p>
        </w:tc>
      </w:tr>
      <w:tr w:rsidR="00000000" w14:paraId="22F2F40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4740B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Branding &amp; experience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8AA54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branding, custom themes and backgrounds, and a bilingual Arabic/English interface with full RTL support</w:t>
            </w:r>
          </w:p>
        </w:tc>
      </w:tr>
      <w:tr w:rsidR="00000000" w14:paraId="6732690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89621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&amp; analytics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854EF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Result summaries, performance and difficulty analysis, historical and department-level reporting, and Excel/CSV/PDF export</w:t>
            </w:r>
          </w:p>
        </w:tc>
      </w:tr>
      <w:tr w:rsidR="00000000" w14:paraId="610A795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F4774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Administration &amp; governance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90C60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multi-tenant organization/department structure, multiple administrators, audit logs, and session history</w:t>
            </w:r>
          </w:p>
        </w:tc>
      </w:tr>
      <w:tr w:rsidR="00000000" w14:paraId="6C7AD00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DF287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capabilities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217B1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quiz generation from topic, document, URL, or text, with administrator review before use — detailed in Section 14</w:t>
            </w:r>
          </w:p>
        </w:tc>
      </w:tr>
    </w:tbl>
    <w:p w14:paraId="3E8AA33C" w14:textId="77777777" w:rsidR="00A51104" w:rsidRDefault="00A51104">
      <w:pPr>
        <w:pStyle w:val="Heading1"/>
        <w:rPr>
          <w:rFonts w:ascii="Segoe UI" w:eastAsia="Times New Roman" w:hAnsi="Segoe UI" w:cs="Segoe UI"/>
          <w:lang w:val="en"/>
        </w:rPr>
      </w:pPr>
      <w:bookmarkStart w:id="12" w:name="_Toc235441685"/>
      <w:r>
        <w:rPr>
          <w:rFonts w:ascii="Segoe UI" w:eastAsia="Times New Roman" w:hAnsi="Segoe UI" w:cs="Segoe UI"/>
          <w:lang w:val="en"/>
        </w:rPr>
        <w:t>12. Current Use Case</w:t>
      </w:r>
      <w:bookmarkEnd w:id="12"/>
    </w:p>
    <w:p w14:paraId="67A50BC9"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not a concept, prototype, or proof of demonstration — it is in real, ongoing operational use today.</w:t>
      </w:r>
    </w:p>
    <w:p w14:paraId="41C219CD"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currently deployed and actively used within </w:t>
      </w:r>
      <w:r>
        <w:rPr>
          <w:rStyle w:val="Strong"/>
          <w:rFonts w:ascii="Segoe UI" w:hAnsi="Segoe UI" w:cs="Segoe UI"/>
          <w:color w:val="1F2933"/>
          <w:sz w:val="21"/>
          <w:szCs w:val="21"/>
          <w:lang w:val="en"/>
        </w:rPr>
        <w:t>Abraj Energy Services</w:t>
      </w:r>
      <w:r>
        <w:rPr>
          <w:rFonts w:ascii="Segoe UI" w:hAnsi="Segoe UI" w:cs="Segoe UI"/>
          <w:color w:val="1F2933"/>
          <w:sz w:val="21"/>
          <w:szCs w:val="21"/>
          <w:lang w:val="en"/>
        </w:rPr>
        <w:t>, where it supports HSE (Health, Safety, and Environment) meetings and employee engagement activities. Live sessions run on the platform have brought together more than 100 participants at once, joining and answering in real time within a single session.</w:t>
      </w:r>
    </w:p>
    <w:p w14:paraId="4E64AA02"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present this use case as evidence that the core platform — live session hosting, real-time participation at meaningful scale, and the underlying engagement experience — is production-proven </w:t>
      </w:r>
      <w:r>
        <w:rPr>
          <w:rFonts w:ascii="Segoe UI" w:hAnsi="Segoe UI" w:cs="Segoe UI"/>
          <w:color w:val="1F2933"/>
          <w:sz w:val="21"/>
          <w:szCs w:val="21"/>
          <w:lang w:val="en"/>
        </w:rPr>
        <w:lastRenderedPageBreak/>
        <w:t>and functioning in a real organizational setting, rather than as a marketing claim or a controlled demonstration environment. We have not included any additional client references, dates, or testimonial statements beyond what is described above, and we will not represent any other deployment as a live production reference unless and until it is one.</w:t>
      </w:r>
    </w:p>
    <w:p w14:paraId="06DAF515" w14:textId="77777777" w:rsidR="00A51104" w:rsidRDefault="00A51104">
      <w:pPr>
        <w:pStyle w:val="Heading1"/>
        <w:rPr>
          <w:rFonts w:ascii="Segoe UI" w:eastAsia="Times New Roman" w:hAnsi="Segoe UI" w:cs="Segoe UI"/>
          <w:lang w:val="en"/>
        </w:rPr>
      </w:pPr>
      <w:bookmarkStart w:id="13" w:name="_Toc235441686"/>
      <w:r>
        <w:rPr>
          <w:rFonts w:ascii="Segoe UI" w:eastAsia="Times New Roman" w:hAnsi="Segoe UI" w:cs="Segoe UI"/>
          <w:lang w:val="en"/>
        </w:rPr>
        <w:t>13. Functional Scope</w:t>
      </w:r>
      <w:bookmarkEnd w:id="13"/>
    </w:p>
    <w:p w14:paraId="18F8DEC1"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tables below set out the platform's functional scope in full, grouped into six capability areas. Each capability is marked with its current status: </w:t>
      </w:r>
      <w:r>
        <w:rPr>
          <w:rStyle w:val="badge-inc1"/>
          <w:rFonts w:ascii="Segoe UI" w:hAnsi="Segoe UI" w:cs="Segoe UI"/>
          <w:sz w:val="21"/>
          <w:szCs w:val="21"/>
          <w:lang w:val="en"/>
        </w:rPr>
        <w:t>Included</w:t>
      </w:r>
      <w:r>
        <w:rPr>
          <w:rFonts w:ascii="Segoe UI" w:hAnsi="Segoe UI" w:cs="Segoe UI"/>
          <w:color w:val="1F2933"/>
          <w:sz w:val="21"/>
          <w:szCs w:val="21"/>
          <w:lang w:val="en"/>
        </w:rPr>
        <w:t xml:space="preserve"> capabilities are part of the core platform today;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capabilities are available as scoped additions; </w:t>
      </w:r>
      <w:r>
        <w:rPr>
          <w:rStyle w:val="badge-fut1"/>
          <w:rFonts w:ascii="Segoe UI" w:hAnsi="Segoe UI" w:cs="Segoe UI"/>
          <w:sz w:val="21"/>
          <w:szCs w:val="21"/>
          <w:lang w:val="en"/>
        </w:rPr>
        <w:t>Future enhancement</w:t>
      </w:r>
      <w:r>
        <w:rPr>
          <w:rFonts w:ascii="Segoe UI" w:hAnsi="Segoe UI" w:cs="Segoe UI"/>
          <w:color w:val="1F2933"/>
          <w:sz w:val="21"/>
          <w:szCs w:val="21"/>
          <w:lang w:val="en"/>
        </w:rPr>
        <w:t xml:space="preserve"> items are on our roadmap and not part of the current platform.</w:t>
      </w:r>
    </w:p>
    <w:p w14:paraId="1E864777" w14:textId="77777777" w:rsidR="00A51104" w:rsidRDefault="00A51104">
      <w:pPr>
        <w:pStyle w:val="Heading2"/>
        <w:rPr>
          <w:rFonts w:ascii="Segoe UI" w:eastAsia="Times New Roman" w:hAnsi="Segoe UI" w:cs="Segoe UI"/>
          <w:lang w:val="en"/>
        </w:rPr>
      </w:pPr>
      <w:bookmarkStart w:id="14" w:name="_Toc235441687"/>
      <w:r>
        <w:rPr>
          <w:rFonts w:ascii="Segoe UI" w:eastAsia="Times New Roman" w:hAnsi="Segoe UI" w:cs="Segoe UI"/>
          <w:lang w:val="en"/>
        </w:rPr>
        <w:t>13.1 Quiz Creation &amp; Content</w:t>
      </w:r>
      <w:bookmarkEnd w:id="14"/>
    </w:p>
    <w:tbl>
      <w:tblPr>
        <w:tblW w:w="5000" w:type="pct"/>
        <w:tblCellMar>
          <w:top w:w="15" w:type="dxa"/>
          <w:left w:w="15" w:type="dxa"/>
          <w:bottom w:w="15" w:type="dxa"/>
          <w:right w:w="15" w:type="dxa"/>
        </w:tblCellMar>
        <w:tblLook w:val="04A0" w:firstRow="1" w:lastRow="0" w:firstColumn="1" w:lastColumn="0" w:noHBand="0" w:noVBand="1"/>
      </w:tblPr>
      <w:tblGrid>
        <w:gridCol w:w="2261"/>
        <w:gridCol w:w="6344"/>
        <w:gridCol w:w="1014"/>
      </w:tblGrid>
      <w:tr w:rsidR="00000000" w14:paraId="5E07E83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070604C"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22B02B4"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713649F"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46CB211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63CE7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creation &amp;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F447D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Create, edit, and manage quizzes from a central administration interface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755F06"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4BFEEB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C0C31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question types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087C5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Single-answer questions with 4–6 choices, multi-select questions, and true/false questions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9686D9"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667578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3527E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Polls &amp; surveys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4807A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Non-scored question formats for gathering opinion or feedback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5A89DA"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028CD7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9575A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timers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CFC74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time limits per question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1C1A47"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D77537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5F267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Scoring &amp; points configuration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54AF1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points and scoring rules per question or quiz</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CD5D0B"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FFC55C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CA390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&amp; private quizzes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FB775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Quizzes can be restricted to the organization or made available more broadly, per administrator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1F5492"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B719A4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74A7D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bank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579B1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Central, reusable question repository organized by subject, tags, and difficulty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E51C0B"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AFFE47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3960A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Bulk import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3EAB7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Bulk import of questions from Excel, CSV, or Word files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457755"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4A1E02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EBF12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templates &amp; reuse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90770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Reusable quiz templates to standardize content across sessions and departments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3266E3"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D91529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2192F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Edit &amp; duplicate quizzes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0FA9D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Existing quizzes can be edited or duplicated as a starting point for new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F30848"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599A62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1AAA5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Auto-save during creation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06E2D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content is saved automatically while an administrator is authoring 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393457"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A6978E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88EB8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Draft recovery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BFA7E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In-progress drafts can be recovered rather than lost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9A16CC"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AD9251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51472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Versioning of quiz content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23BDA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Changes to quiz content are versioned over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3037CA"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77709BA0" w14:textId="77777777" w:rsidR="00A51104" w:rsidRDefault="00A51104">
      <w:pPr>
        <w:pStyle w:val="Heading2"/>
        <w:rPr>
          <w:rFonts w:ascii="Segoe UI" w:eastAsia="Times New Roman" w:hAnsi="Segoe UI" w:cs="Segoe UI"/>
          <w:lang w:val="en"/>
        </w:rPr>
      </w:pPr>
      <w:bookmarkStart w:id="15" w:name="_Toc235441688"/>
      <w:r>
        <w:rPr>
          <w:rFonts w:ascii="Segoe UI" w:eastAsia="Times New Roman" w:hAnsi="Segoe UI" w:cs="Segoe UI"/>
          <w:lang w:val="en"/>
        </w:rPr>
        <w:t>13.2 Live Hosting &amp; Participation</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2379"/>
        <w:gridCol w:w="6226"/>
        <w:gridCol w:w="1014"/>
      </w:tblGrid>
      <w:tr w:rsidR="00000000" w14:paraId="46D7B74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60F32DA"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01E9410"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022EC80"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1CC45F9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9FF42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hosting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66DE5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 a quiz as a live, timed session for a group of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6DF107"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E84D64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946A6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QR-code joining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C34BA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a session by scanning a QR code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3B56FC"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2370A6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1DBF6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Direct-link joining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45C40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via a direct shareable link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7E8EBF"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2723B7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97FE0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Game code / session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F8DA6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by entering a short session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DFCAC1"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8367D3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5EEBC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participant joining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877AE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appear in the host's lobby as they join, in real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82990E"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DD1546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6E534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answer submission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7D189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answers are submitted and processed in real time via WebSocket connection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253E3D"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386DB6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A077C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leaderboard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20884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live leaderboard updates as answers are scored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19DED7"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BC0C6C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9B336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104A2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 updates live throughout the session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FA133D"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5BF39F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9796C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Top-three winners podium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80A7E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podium view highlights the top three participants at session close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B772E2"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65508E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20A2B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0EE6F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Complete ranking of all participants, not only the top three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C0BE65"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66E03F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43421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Automatic reconnection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4B1A7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who lose network connectivity mid-session are automatically reconnected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42095D"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259BB42A" w14:textId="77777777" w:rsidR="00A51104" w:rsidRDefault="00A51104">
      <w:pPr>
        <w:pStyle w:val="Heading2"/>
        <w:rPr>
          <w:rFonts w:ascii="Segoe UI" w:eastAsia="Times New Roman" w:hAnsi="Segoe UI" w:cs="Segoe UI"/>
          <w:lang w:val="en"/>
        </w:rPr>
      </w:pPr>
      <w:bookmarkStart w:id="16" w:name="_Toc235441689"/>
      <w:r>
        <w:rPr>
          <w:rFonts w:ascii="Segoe UI" w:eastAsia="Times New Roman" w:hAnsi="Segoe UI" w:cs="Segoe UI"/>
          <w:lang w:val="en"/>
        </w:rPr>
        <w:t>13.3 Branding &amp; Experience</w:t>
      </w:r>
      <w:bookmarkEnd w:id="16"/>
    </w:p>
    <w:tbl>
      <w:tblPr>
        <w:tblW w:w="5000" w:type="pct"/>
        <w:tblCellMar>
          <w:top w:w="15" w:type="dxa"/>
          <w:left w:w="15" w:type="dxa"/>
          <w:bottom w:w="15" w:type="dxa"/>
          <w:right w:w="15" w:type="dxa"/>
        </w:tblCellMar>
        <w:tblLook w:val="04A0" w:firstRow="1" w:lastRow="0" w:firstColumn="1" w:lastColumn="0" w:noHBand="0" w:noVBand="1"/>
      </w:tblPr>
      <w:tblGrid>
        <w:gridCol w:w="2200"/>
        <w:gridCol w:w="6401"/>
        <w:gridCol w:w="1018"/>
      </w:tblGrid>
      <w:tr w:rsidR="00000000" w14:paraId="6C03E26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15B6C06"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B4C07F0"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ED928EC"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4DC8570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11DFE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themes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C8D58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Visual themes can be selected or configured per organization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B45FB4"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15DB2E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C085A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backgrounds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D55D0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background imagery for quizzes and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5D74FB"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B92113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A5FD9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branding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FEA5C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Per-tenant branding, including logo and color customization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2AC345"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73040A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AA90E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UI text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8654A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Interface text can be adapted per organization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693C04"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65E4C9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2CAF9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 &amp; English interface with full RTL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590FC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Complete bilingual interface with full right-to-left layout support for Arabic — positioned as a core enterprise bilingual capability, not an add-on translation layer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BFB3B8"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56502F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AC55C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languages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62A95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for interface languages beyond Arabic and English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07AC2D"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3F2F24DB" w14:textId="77777777" w:rsidR="00A51104" w:rsidRDefault="00A51104">
      <w:pPr>
        <w:pStyle w:val="Heading2"/>
        <w:rPr>
          <w:rFonts w:ascii="Segoe UI" w:eastAsia="Times New Roman" w:hAnsi="Segoe UI" w:cs="Segoe UI"/>
          <w:lang w:val="en"/>
        </w:rPr>
      </w:pPr>
      <w:bookmarkStart w:id="17" w:name="_Toc235441690"/>
      <w:r>
        <w:rPr>
          <w:rFonts w:ascii="Segoe UI" w:eastAsia="Times New Roman" w:hAnsi="Segoe UI" w:cs="Segoe UI"/>
          <w:lang w:val="en"/>
        </w:rPr>
        <w:t>13.4 Reporting &amp; Analytics</w:t>
      </w:r>
      <w:bookmarkEnd w:id="17"/>
    </w:p>
    <w:tbl>
      <w:tblPr>
        <w:tblW w:w="5000" w:type="pct"/>
        <w:tblCellMar>
          <w:top w:w="15" w:type="dxa"/>
          <w:left w:w="15" w:type="dxa"/>
          <w:bottom w:w="15" w:type="dxa"/>
          <w:right w:w="15" w:type="dxa"/>
        </w:tblCellMar>
        <w:tblLook w:val="04A0" w:firstRow="1" w:lastRow="0" w:firstColumn="1" w:lastColumn="0" w:noHBand="0" w:noVBand="1"/>
      </w:tblPr>
      <w:tblGrid>
        <w:gridCol w:w="2581"/>
        <w:gridCol w:w="5154"/>
        <w:gridCol w:w="1884"/>
      </w:tblGrid>
      <w:tr w:rsidR="00000000" w14:paraId="2382C8F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EA5B3B6"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5EC11E8"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C779B04"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7F11BA8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645D6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result summary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60490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results at quiz and session level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DE8142"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640B1B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2CFF0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411F8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Ranked results per 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63C31B"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71D283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EE50D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 performers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A0D52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Identification of top-performing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1EDD50"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F0EAD3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9CC43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Correct/incorrect answer analysis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210E1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Breakdown of correct versus incorrect responses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27199E"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ADD604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19247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difficulty analysis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9926F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Analysis of question-level difficulty based on response patterns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780ED3"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8A342E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C2B93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Participant completion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493D4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who completed a session and who did not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C026F3"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E1C78C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4A268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B4F2F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rolled up by department or organizational unit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DACDF7"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AF29B6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53959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9F579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to results and reports from past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F108FE"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695600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41129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Session comparison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73FA7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Comparison of results across multiple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5C4A25"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837183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90FC2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262C5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PDF format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7F42EB"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DD991F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AA11C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Excel &amp; 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79314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Excel and CSV formats, with Arabic and English report headers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6326F0"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908925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C277B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dashboard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779B6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Consolidated dashboard view for management-level oversight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914B76"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2A22DB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E3988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insights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5E78D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4E79C5" w14:textId="77777777" w:rsidR="00A51104" w:rsidRDefault="00A51104">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42C1AE2F" w14:textId="77777777" w:rsidR="00A51104" w:rsidRDefault="00A51104">
      <w:pPr>
        <w:pStyle w:val="Heading2"/>
        <w:rPr>
          <w:rFonts w:ascii="Segoe UI" w:eastAsia="Times New Roman" w:hAnsi="Segoe UI" w:cs="Segoe UI"/>
          <w:lang w:val="en"/>
        </w:rPr>
      </w:pPr>
      <w:bookmarkStart w:id="18" w:name="_Toc235441691"/>
      <w:r>
        <w:rPr>
          <w:rFonts w:ascii="Segoe UI" w:eastAsia="Times New Roman" w:hAnsi="Segoe UI" w:cs="Segoe UI"/>
          <w:lang w:val="en"/>
        </w:rPr>
        <w:t>13.5 Administration &amp; Governance</w:t>
      </w:r>
      <w:bookmarkEnd w:id="18"/>
    </w:p>
    <w:tbl>
      <w:tblPr>
        <w:tblW w:w="5000" w:type="pct"/>
        <w:tblCellMar>
          <w:top w:w="15" w:type="dxa"/>
          <w:left w:w="15" w:type="dxa"/>
          <w:bottom w:w="15" w:type="dxa"/>
          <w:right w:w="15" w:type="dxa"/>
        </w:tblCellMar>
        <w:tblLook w:val="04A0" w:firstRow="1" w:lastRow="0" w:firstColumn="1" w:lastColumn="0" w:noHBand="0" w:noVBand="1"/>
      </w:tblPr>
      <w:tblGrid>
        <w:gridCol w:w="2929"/>
        <w:gridCol w:w="5672"/>
        <w:gridCol w:w="1018"/>
      </w:tblGrid>
      <w:tr w:rsidR="00000000" w14:paraId="7C319D8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B442AF3"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1307902"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B9EF533"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3735900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7676B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Administrative dashboard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B4A5B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Central dashboard for platform and content administration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454A07"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A14ABA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E38A8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user accounts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46450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accounts scoped to the organization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D39556"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9A8FCC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0A145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BB22F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and permissions governed by role-based access control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383DD6"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3FD67D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F552E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departments/organizations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7B2DA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Multi-tenant support for multiple departments or organizations on one platform, each with isolated data</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926A1B"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28C3D5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86BC9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administrators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FDB9E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for more than one administrator per organization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D0E274"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A1D918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199A6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Audit logs of administrative actions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455EE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Administrative actions are recorded in an audit log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57672B"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D00FE1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647E4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User activity/login visibility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4E016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user activity and login events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9987F2"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913F43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21AF5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session history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51ADB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record of quiz sessions run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816BDE"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4DE1AD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8C061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Soft-delete with archive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D3929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Deleted content is archived rather than permanently removed, supporting recovery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AAFDF9"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05A9C0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B96F3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Notification options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EC968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notifications for administrators and/or participants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56A090"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7F2007E9" w14:textId="77777777" w:rsidR="00A51104" w:rsidRDefault="00A51104">
      <w:pPr>
        <w:pStyle w:val="Heading2"/>
        <w:rPr>
          <w:rFonts w:ascii="Segoe UI" w:eastAsia="Times New Roman" w:hAnsi="Segoe UI" w:cs="Segoe UI"/>
          <w:lang w:val="en"/>
        </w:rPr>
      </w:pPr>
      <w:bookmarkStart w:id="19" w:name="_Toc235441692"/>
      <w:r>
        <w:rPr>
          <w:rFonts w:ascii="Segoe UI" w:eastAsia="Times New Roman" w:hAnsi="Segoe UI" w:cs="Segoe UI"/>
          <w:lang w:val="en"/>
        </w:rPr>
        <w:t>13.6 AI Capabilities</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1649"/>
        <w:gridCol w:w="6929"/>
        <w:gridCol w:w="1041"/>
      </w:tblGrid>
      <w:tr w:rsidR="00000000" w14:paraId="358B609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ADC7A45"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74B7006"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415708B"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36AA29F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05170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content generation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51851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 quizzes from a topic, an uploaded PDF or Word document, a URL, or pasted text, with administrator review before use. The full classification of current, optional, and future AI capabilities is set out in Section 14 (AI Capabilities)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6CA95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See Section 14</w:t>
            </w:r>
          </w:p>
        </w:tc>
      </w:tr>
    </w:tbl>
    <w:p w14:paraId="391949E4" w14:textId="77777777" w:rsidR="00A51104" w:rsidRDefault="00A51104">
      <w:pPr>
        <w:pStyle w:val="Heading1"/>
        <w:rPr>
          <w:rFonts w:ascii="Segoe UI" w:eastAsia="Times New Roman" w:hAnsi="Segoe UI" w:cs="Segoe UI"/>
          <w:lang w:val="en"/>
        </w:rPr>
      </w:pPr>
      <w:bookmarkStart w:id="20" w:name="_Toc235441693"/>
      <w:r>
        <w:rPr>
          <w:rFonts w:ascii="Segoe UI" w:eastAsia="Times New Roman" w:hAnsi="Segoe UI" w:cs="Segoe UI"/>
          <w:lang w:val="en"/>
        </w:rPr>
        <w:t>14. AI Capabilities</w:t>
      </w:r>
      <w:bookmarkEnd w:id="20"/>
    </w:p>
    <w:p w14:paraId="1A348327"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includes AI-assisted content generation as a core, already-implemented capability, alongside a further set of AI features that are available as optional, separately scoped additions, and a set of AI-driven reporting capabilities that sit on our future roadmap. This section sets out the distinction clearly,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see exactly what is included today, what can be added, and what is planned for the future.</w:t>
      </w:r>
    </w:p>
    <w:p w14:paraId="6B98220B" w14:textId="77777777" w:rsidR="00A51104" w:rsidRDefault="00A51104">
      <w:pPr>
        <w:pStyle w:val="Heading2"/>
        <w:rPr>
          <w:rFonts w:ascii="Segoe UI" w:eastAsia="Times New Roman" w:hAnsi="Segoe UI" w:cs="Segoe UI"/>
          <w:lang w:val="en"/>
        </w:rPr>
      </w:pPr>
      <w:bookmarkStart w:id="21" w:name="_Toc235441694"/>
      <w:r>
        <w:rPr>
          <w:rFonts w:ascii="Segoe UI" w:eastAsia="Times New Roman" w:hAnsi="Segoe UI" w:cs="Segoe UI"/>
          <w:lang w:val="en"/>
        </w:rPr>
        <w:t>14.1 Current Capabilities (Included)</w:t>
      </w:r>
      <w:bookmarkEnd w:id="21"/>
    </w:p>
    <w:tbl>
      <w:tblPr>
        <w:tblW w:w="5000" w:type="pct"/>
        <w:tblCellMar>
          <w:top w:w="15" w:type="dxa"/>
          <w:left w:w="15" w:type="dxa"/>
          <w:bottom w:w="15" w:type="dxa"/>
          <w:right w:w="15" w:type="dxa"/>
        </w:tblCellMar>
        <w:tblLook w:val="04A0" w:firstRow="1" w:lastRow="0" w:firstColumn="1" w:lastColumn="0" w:noHBand="0" w:noVBand="1"/>
      </w:tblPr>
      <w:tblGrid>
        <w:gridCol w:w="2526"/>
        <w:gridCol w:w="6079"/>
        <w:gridCol w:w="1014"/>
      </w:tblGrid>
      <w:tr w:rsidR="00000000" w14:paraId="741F133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65EE6A6"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1C34273"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AD90EF0"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2125D23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31BCF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 topic or title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2C07C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complete quiz, including questions and answer choices, is generated from a short topic or title prompt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345822"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F1501A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FE54D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an uploaded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0A3D5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the content of an uploaded PDF document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DFD5AC"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A6625F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EC1E5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an uploaded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53859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the content of an uploaded Word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395B08"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7AD38D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CA2E7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Quiz generation from a URL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6599F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from the content of a supplied URL or webpage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D099E9"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5DD707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69741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pasted text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9819E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text pasted into the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26BAEA"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157BB0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3117D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AI-assigned difficulty levels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6C884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Generated questions are automatically assigned a suggested difficulty level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B58261"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0DF1BA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AFA63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answer explanations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8819D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Generated questions include a suggested explanation for the correct answer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543E18"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F1A8D1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339B2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review before use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D4BCD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All AI-generated content is presented to an administrator for review and editing before it is used in a live session or published to a question bank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5DD755"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58A310C1" w14:textId="77777777" w:rsidR="00A51104" w:rsidRDefault="00A51104">
      <w:pPr>
        <w:pStyle w:val="Heading2"/>
        <w:rPr>
          <w:rFonts w:ascii="Segoe UI" w:eastAsia="Times New Roman" w:hAnsi="Segoe UI" w:cs="Segoe UI"/>
          <w:lang w:val="en"/>
        </w:rPr>
      </w:pPr>
      <w:bookmarkStart w:id="22" w:name="_Toc235441695"/>
      <w:r>
        <w:rPr>
          <w:rFonts w:ascii="Segoe UI" w:eastAsia="Times New Roman" w:hAnsi="Segoe UI" w:cs="Segoe UI"/>
          <w:lang w:val="en"/>
        </w:rPr>
        <w:t>14.2 Optional Capabilities (Scoped per Engagement)</w:t>
      </w:r>
      <w:bookmarkEnd w:id="22"/>
    </w:p>
    <w:p w14:paraId="02C6A9D0"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following AI capabilities are not part of the current platform but can be added as a separately scoped engagement.</w:t>
      </w:r>
    </w:p>
    <w:tbl>
      <w:tblPr>
        <w:tblW w:w="5000" w:type="pct"/>
        <w:tblCellMar>
          <w:top w:w="15" w:type="dxa"/>
          <w:left w:w="15" w:type="dxa"/>
          <w:bottom w:w="15" w:type="dxa"/>
          <w:right w:w="15" w:type="dxa"/>
        </w:tblCellMar>
        <w:tblLook w:val="04A0" w:firstRow="1" w:lastRow="0" w:firstColumn="1" w:lastColumn="0" w:noHBand="0" w:noVBand="1"/>
      </w:tblPr>
      <w:tblGrid>
        <w:gridCol w:w="2665"/>
        <w:gridCol w:w="5936"/>
        <w:gridCol w:w="1018"/>
      </w:tblGrid>
      <w:tr w:rsidR="00000000" w14:paraId="433B4FF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A6D410B"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C650A7A"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B4FE619"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77615FD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78369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question suggestions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D3E41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AI-suggested questions offered while an administrator authors a quiz manually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E37736"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2543665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A73D8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answer suggestions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F076A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AI-suggested answer choices for a manually authored question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05B6D1"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76D1EB4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B8E49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question rewriting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26C41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rewriting of existing question text for clarity or tone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3E29B0"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3548D36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3CC2C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difficulty re-adjustment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0A775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review and re-adjustment of difficulty levels across an existing question bank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8FF222"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20855B8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E3C49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quiz backgrounds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FA372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background imagery for quizzes and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2228D6"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443A90E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15365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themes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D186F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visual themes for the platform interface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33546C"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28CF080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D57CF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result summaries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28703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narrative summary of a single session's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65CF50"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2973D7D3" w14:textId="77777777" w:rsidR="00A51104" w:rsidRDefault="00A51104">
      <w:pPr>
        <w:pStyle w:val="Heading2"/>
        <w:rPr>
          <w:rFonts w:ascii="Segoe UI" w:eastAsia="Times New Roman" w:hAnsi="Segoe UI" w:cs="Segoe UI"/>
          <w:lang w:val="en"/>
        </w:rPr>
      </w:pPr>
      <w:bookmarkStart w:id="23" w:name="_Toc235441696"/>
      <w:r>
        <w:rPr>
          <w:rFonts w:ascii="Segoe UI" w:eastAsia="Times New Roman" w:hAnsi="Segoe UI" w:cs="Segoe UI"/>
          <w:lang w:val="en"/>
        </w:rPr>
        <w:lastRenderedPageBreak/>
        <w:t>14.3 Future Roadmap</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842"/>
        <w:gridCol w:w="4920"/>
        <w:gridCol w:w="1857"/>
      </w:tblGrid>
      <w:tr w:rsidR="00000000" w14:paraId="00533B3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C2B86FA"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CE6100C"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1024D0F"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5740DA0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12EC0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F5432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and trend analysis across historical session data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1DEE04" w14:textId="77777777" w:rsidR="00A51104" w:rsidRDefault="00A51104">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r w:rsidR="00000000" w14:paraId="08E7328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F84E4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management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E0B61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summary reports intended for management-level review</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B578C6" w14:textId="77777777" w:rsidR="00A51104" w:rsidRDefault="00A51104">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288A1C6B" w14:textId="77777777" w:rsidR="00A51104" w:rsidRDefault="00A51104">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AI features are delivered using a commercial large-language-model API; usage allowances, and any associated API costs, are defined in the applicable commercial model (see Section 33). Cloud-based AI generation requires internet connectivity. A private, on-premises AI deployment is a future roadmap option that would depend on separate, dedicated infrastructure and is not part of the current platform. As with any AI-generated content,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should review AI-generated quizzes, questions, and summaries before they are used in a live or published context.</w:t>
      </w:r>
    </w:p>
    <w:p w14:paraId="5570F143" w14:textId="77777777" w:rsidR="00A51104" w:rsidRDefault="00A51104">
      <w:pPr>
        <w:pStyle w:val="Heading1"/>
        <w:rPr>
          <w:rFonts w:ascii="Segoe UI" w:eastAsia="Times New Roman" w:hAnsi="Segoe UI" w:cs="Segoe UI"/>
          <w:lang w:val="en"/>
        </w:rPr>
      </w:pPr>
      <w:bookmarkStart w:id="24" w:name="_Toc235441697"/>
      <w:r>
        <w:rPr>
          <w:rFonts w:ascii="Segoe UI" w:eastAsia="Times New Roman" w:hAnsi="Segoe UI" w:cs="Segoe UI"/>
          <w:lang w:val="en"/>
        </w:rPr>
        <w:t>15. User Roles</w:t>
      </w:r>
      <w:bookmarkEnd w:id="24"/>
    </w:p>
    <w:p w14:paraId="68E4809D"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platform's role-based access model is designed to reflect how a large organization actually assigns administrative and operational responsibility, rather than offering a single flat administrator account.</w:t>
      </w:r>
    </w:p>
    <w:tbl>
      <w:tblPr>
        <w:tblW w:w="5000" w:type="pct"/>
        <w:tblCellMar>
          <w:top w:w="15" w:type="dxa"/>
          <w:left w:w="15" w:type="dxa"/>
          <w:bottom w:w="15" w:type="dxa"/>
          <w:right w:w="15" w:type="dxa"/>
        </w:tblCellMar>
        <w:tblLook w:val="04A0" w:firstRow="1" w:lastRow="0" w:firstColumn="1" w:lastColumn="0" w:noHBand="0" w:noVBand="1"/>
      </w:tblPr>
      <w:tblGrid>
        <w:gridCol w:w="2735"/>
        <w:gridCol w:w="6884"/>
      </w:tblGrid>
      <w:tr w:rsidR="00000000" w14:paraId="7361EB4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126E8BE"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CBB9577"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w:t>
            </w:r>
          </w:p>
        </w:tc>
      </w:tr>
      <w:tr w:rsidR="00000000" w14:paraId="623FC93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8B856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Super Administrator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8A1B2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platform administration across all organizations and departments</w:t>
            </w:r>
          </w:p>
        </w:tc>
      </w:tr>
      <w:tr w:rsidR="00000000" w14:paraId="78A2CF4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16D8A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Administrator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81ABA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Manages a single organization, including its users, branding, and content</w:t>
            </w:r>
          </w:p>
        </w:tc>
      </w:tr>
      <w:tr w:rsidR="00000000" w14:paraId="6D2BC64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F5C33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 Administrator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4DC28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Manages a department's content and users within an organization</w:t>
            </w:r>
          </w:p>
        </w:tc>
      </w:tr>
      <w:tr w:rsidR="00000000" w14:paraId="26F2C71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633FF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Creator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9A491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Authors quizzes and question banks</w:t>
            </w:r>
          </w:p>
        </w:tc>
      </w:tr>
      <w:tr w:rsidR="00000000" w14:paraId="5352163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CC2E4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18DFE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Runs training-oriented sessions</w:t>
            </w:r>
          </w:p>
        </w:tc>
      </w:tr>
      <w:tr w:rsidR="00000000" w14:paraId="628AC14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2AA3B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D70FE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Runs live sessions</w:t>
            </w:r>
          </w:p>
        </w:tc>
      </w:tr>
      <w:tr w:rsidR="00000000" w14:paraId="572E29B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25940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Viewer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AD15E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Views results</w:t>
            </w:r>
          </w:p>
        </w:tc>
      </w:tr>
      <w:tr w:rsidR="00000000" w14:paraId="2B7F803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024D4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5C99A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Joins and answers in a live session — no account required</w:t>
            </w:r>
          </w:p>
        </w:tc>
      </w:tr>
      <w:tr w:rsidR="00000000" w14:paraId="69CBB7E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66DB8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Auditor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01B00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access to audit and activity logs</w:t>
            </w:r>
          </w:p>
        </w:tc>
      </w:tr>
      <w:tr w:rsidR="00000000" w14:paraId="70ACFDD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5B7A0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User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6444B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access to dashboards and reports</w:t>
            </w:r>
          </w:p>
        </w:tc>
      </w:tr>
    </w:tbl>
    <w:p w14:paraId="37930762" w14:textId="77777777" w:rsidR="00A51104" w:rsidRDefault="00A51104">
      <w:pPr>
        <w:pStyle w:val="muted"/>
        <w:spacing w:before="120" w:beforeAutospacing="0" w:after="120" w:afterAutospacing="0"/>
        <w:rPr>
          <w:rFonts w:ascii="Segoe UI" w:hAnsi="Segoe UI" w:cs="Segoe UI"/>
          <w:lang w:val="en"/>
        </w:rPr>
      </w:pPr>
      <w:r>
        <w:rPr>
          <w:rFonts w:ascii="Segoe UI" w:hAnsi="Segoe UI" w:cs="Segoe UI"/>
          <w:lang w:val="en"/>
        </w:rPr>
        <w:t xml:space="preserve">The final role model applied for </w:t>
      </w:r>
      <w:r>
        <w:rPr>
          <w:rStyle w:val="Strong"/>
          <w:rFonts w:ascii="Segoe UI" w:hAnsi="Segoe UI" w:cs="Segoe UI"/>
          <w:lang w:val="en"/>
        </w:rPr>
        <w:t>[Client Name]</w:t>
      </w:r>
      <w:r>
        <w:rPr>
          <w:rFonts w:ascii="Segoe UI" w:hAnsi="Segoe UI" w:cs="Segoe UI"/>
          <w:lang w:val="en"/>
        </w:rPr>
        <w:t xml:space="preserve"> is configured during discovery, and can be mapped to the client's own directory groups where a single sign-on integration is included in scope (see Section 23).</w:t>
      </w:r>
    </w:p>
    <w:p w14:paraId="1E8F1232" w14:textId="77777777" w:rsidR="00A51104" w:rsidRDefault="00A51104">
      <w:pPr>
        <w:pStyle w:val="Heading1"/>
        <w:rPr>
          <w:rFonts w:ascii="Segoe UI" w:eastAsia="Times New Roman" w:hAnsi="Segoe UI" w:cs="Segoe UI"/>
          <w:lang w:val="en"/>
        </w:rPr>
      </w:pPr>
      <w:bookmarkStart w:id="25" w:name="_Toc235441698"/>
      <w:r>
        <w:rPr>
          <w:rFonts w:ascii="Segoe UI" w:eastAsia="Times New Roman" w:hAnsi="Segoe UI" w:cs="Segoe UI"/>
          <w:lang w:val="en"/>
        </w:rPr>
        <w:t>16. Reporting and Analytics</w:t>
      </w:r>
      <w:bookmarkEnd w:id="25"/>
    </w:p>
    <w:p w14:paraId="71B9C89A"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platform's reporting and analytics capabilities give administrators and management visibility into participation, performance, and engagement, both at the level of a single session and across the organization's session history over time.</w:t>
      </w:r>
    </w:p>
    <w:tbl>
      <w:tblPr>
        <w:tblW w:w="5000" w:type="pct"/>
        <w:tblCellMar>
          <w:top w:w="15" w:type="dxa"/>
          <w:left w:w="15" w:type="dxa"/>
          <w:bottom w:w="15" w:type="dxa"/>
          <w:right w:w="15" w:type="dxa"/>
        </w:tblCellMar>
        <w:tblLook w:val="04A0" w:firstRow="1" w:lastRow="0" w:firstColumn="1" w:lastColumn="0" w:noHBand="0" w:noVBand="1"/>
      </w:tblPr>
      <w:tblGrid>
        <w:gridCol w:w="2783"/>
        <w:gridCol w:w="4856"/>
        <w:gridCol w:w="1980"/>
      </w:tblGrid>
      <w:tr w:rsidR="00000000" w14:paraId="42F0504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F519DE0"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92283CC"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C2718D4"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03134C0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43EC9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result summary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D9077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results at quiz and session level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FF7409"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562BD6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583D7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3BA23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Ranked results per 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CA065B"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D942A9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090B4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 performers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02B47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Identification of top-performing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D1A42D"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6E2072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33A1D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Correct/incorrect answer analysis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D3FED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Breakdown of correct versus incorrect responses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E50447"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A9434D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38A06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difficulty analysis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6E95B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Analysis of question-level difficulty based on response patterns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716DF5"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3C2752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BCA22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completion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A4AD7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who completed a session and who did not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9FBA7E"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69EC3C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160D8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10AC5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rolled up by department or organizational unit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B11C7C"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459BEC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CA419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43784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to results and reports from past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6A12A3"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83A36F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F8775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Session comparison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06198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Comparison of results across multiple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0ECF79"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2A44A7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5B6BA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3EFD2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PDF format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81ABB0"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A982AB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C994A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Export to Excel &amp; 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592B0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Excel and CSV formats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D398C3"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B2E0E3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AA5E1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dashboard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E9062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Consolidated dashboard view for management-level oversight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9EDA6B"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C5F402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E3470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insights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29314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549183" w14:textId="77777777" w:rsidR="00A51104" w:rsidRDefault="00A51104">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0D2E0CA4"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All PDF, Excel, and CSV exports are compliance-ready: report headers are rendered in both Arabic and English, so that reports generated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be shared and archived internally without additional reformatting, regardless of which language the reviewing team works in.</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128A042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A7A095" w14:textId="77777777" w:rsidR="00A51104" w:rsidRDefault="00A51104">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THREE</w:t>
            </w:r>
          </w:p>
          <w:p w14:paraId="4BC84606" w14:textId="77777777" w:rsidR="00A51104" w:rsidRDefault="00A51104">
            <w:pPr>
              <w:pStyle w:val="NormalWeb"/>
              <w:rPr>
                <w:rFonts w:ascii="Segoe UI" w:hAnsi="Segoe UI" w:cs="Segoe UI"/>
                <w:b/>
                <w:bCs/>
                <w:color w:val="FFFFFF"/>
                <w:sz w:val="44"/>
                <w:szCs w:val="44"/>
              </w:rPr>
            </w:pPr>
            <w:r>
              <w:rPr>
                <w:rFonts w:ascii="Segoe UI" w:hAnsi="Segoe UI" w:cs="Segoe UI"/>
                <w:b/>
                <w:bCs/>
                <w:color w:val="FFFFFF"/>
                <w:sz w:val="44"/>
                <w:szCs w:val="44"/>
              </w:rPr>
              <w:t>Technical Architecture</w:t>
            </w:r>
          </w:p>
          <w:p w14:paraId="5D334279" w14:textId="77777777" w:rsidR="00A51104" w:rsidRDefault="00A51104">
            <w:pPr>
              <w:pStyle w:val="NormalWeb"/>
              <w:rPr>
                <w:rFonts w:ascii="Segoe UI" w:hAnsi="Segoe UI" w:cs="Segoe UI"/>
                <w:color w:val="1F2933"/>
              </w:rPr>
            </w:pPr>
            <w:r>
              <w:rPr>
                <w:rFonts w:ascii="Segoe UI" w:hAnsi="Segoe UI" w:cs="Segoe UI"/>
                <w:color w:val="1F2933"/>
              </w:rPr>
              <w:t>How the platform is built, deployed, and secured</w:t>
            </w:r>
          </w:p>
        </w:tc>
      </w:tr>
    </w:tbl>
    <w:p w14:paraId="53CF4BF3" w14:textId="77777777" w:rsidR="00A51104" w:rsidRDefault="00A51104">
      <w:pPr>
        <w:pStyle w:val="Heading1"/>
        <w:pageBreakBefore/>
        <w:rPr>
          <w:rFonts w:ascii="Segoe UI" w:eastAsia="Times New Roman" w:hAnsi="Segoe UI" w:cs="Segoe UI"/>
          <w:lang w:val="en"/>
        </w:rPr>
      </w:pPr>
      <w:bookmarkStart w:id="26" w:name="_Toc235441699"/>
      <w:r>
        <w:rPr>
          <w:rFonts w:ascii="Segoe UI" w:eastAsia="Times New Roman" w:hAnsi="Segoe UI" w:cs="Segoe UI"/>
          <w:lang w:val="en"/>
        </w:rPr>
        <w:lastRenderedPageBreak/>
        <w:t>17. Technical Architecture</w:t>
      </w:r>
      <w:bookmarkEnd w:id="26"/>
    </w:p>
    <w:p w14:paraId="52A1910D"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built on a modern, well-established web application stack, selected for reliability, security, and the ability to run in cloud, on-premises, or hybrid environments without architectural rework.</w:t>
      </w:r>
    </w:p>
    <w:p w14:paraId="1B468F85" w14:textId="77777777" w:rsidR="00A51104" w:rsidRDefault="00A51104">
      <w:pPr>
        <w:pStyle w:val="Heading2"/>
        <w:rPr>
          <w:rFonts w:ascii="Segoe UI" w:eastAsia="Times New Roman" w:hAnsi="Segoe UI" w:cs="Segoe UI"/>
          <w:lang w:val="en"/>
        </w:rPr>
      </w:pPr>
      <w:bookmarkStart w:id="27" w:name="_Toc235441700"/>
      <w:r>
        <w:rPr>
          <w:rFonts w:ascii="Segoe UI" w:eastAsia="Times New Roman" w:hAnsi="Segoe UI" w:cs="Segoe UI"/>
          <w:lang w:val="en"/>
        </w:rPr>
        <w:t>17.1 Technology Stack</w:t>
      </w:r>
      <w:bookmarkEnd w:id="27"/>
    </w:p>
    <w:tbl>
      <w:tblPr>
        <w:tblW w:w="5000" w:type="pct"/>
        <w:tblCellMar>
          <w:top w:w="15" w:type="dxa"/>
          <w:left w:w="15" w:type="dxa"/>
          <w:bottom w:w="15" w:type="dxa"/>
          <w:right w:w="15" w:type="dxa"/>
        </w:tblCellMar>
        <w:tblLook w:val="04A0" w:firstRow="1" w:lastRow="0" w:firstColumn="1" w:lastColumn="0" w:noHBand="0" w:noVBand="1"/>
      </w:tblPr>
      <w:tblGrid>
        <w:gridCol w:w="1483"/>
        <w:gridCol w:w="2206"/>
        <w:gridCol w:w="5930"/>
      </w:tblGrid>
      <w:tr w:rsidR="00000000" w14:paraId="4FE2BC1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CFC9517"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Layer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0F080E8"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Technology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58DE6FA"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Notes</w:t>
            </w:r>
          </w:p>
        </w:tc>
      </w:tr>
      <w:tr w:rsidR="00000000" w14:paraId="23838CA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57B23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Frontend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5BB12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React (single-page application)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A81D9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Also deployable with Next.js where required by the client's environment</w:t>
            </w:r>
          </w:p>
        </w:tc>
      </w:tr>
      <w:tr w:rsidR="00000000" w14:paraId="177F23C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B702D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Backend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F4995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Node.js with Express.js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AC8BE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Exposes a REST API consumed by the frontend</w:t>
            </w:r>
          </w:p>
        </w:tc>
      </w:tr>
      <w:tr w:rsidR="00000000" w14:paraId="4C13C1F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8BAE5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Authentication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ABB91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Token/session-based authentication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E8626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JWT or an equivalent secure token-based system</w:t>
            </w:r>
          </w:p>
        </w:tc>
      </w:tr>
      <w:tr w:rsidR="00000000" w14:paraId="7A972DF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05E62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5AEE1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PostgreSQL (recommended)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6D8BC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Enterprise database with row-level, per-organization data isolation; MongoDB may be considered depending on the final architecture agreed with </w:t>
            </w:r>
            <w:r>
              <w:rPr>
                <w:rStyle w:val="Strong"/>
                <w:rFonts w:ascii="Segoe UI" w:eastAsia="Times New Roman" w:hAnsi="Segoe UI" w:cs="Segoe UI"/>
                <w:color w:val="1F2933"/>
                <w:sz w:val="19"/>
                <w:szCs w:val="19"/>
              </w:rPr>
              <w:t>[Client Name]</w:t>
            </w:r>
          </w:p>
        </w:tc>
      </w:tr>
      <w:tr w:rsidR="00000000" w14:paraId="0675E98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CA9E0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layer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1CD81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9AE5F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Used for participant joining, live answers, and leaderboard updates; timing and scoring are server-authoritative</w:t>
            </w:r>
          </w:p>
        </w:tc>
      </w:tr>
      <w:tr w:rsidR="00000000" w14:paraId="71DF0DF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8C0ED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216C0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on-premises, or hybrid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3A050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See Section 19 for the full comparison of deployment options</w:t>
            </w:r>
          </w:p>
        </w:tc>
      </w:tr>
    </w:tbl>
    <w:p w14:paraId="1527C0AF" w14:textId="77777777" w:rsidR="00A51104" w:rsidRDefault="00A51104">
      <w:pPr>
        <w:pStyle w:val="Heading2"/>
        <w:rPr>
          <w:rFonts w:ascii="Segoe UI" w:eastAsia="Times New Roman" w:hAnsi="Segoe UI" w:cs="Segoe UI"/>
          <w:lang w:val="en"/>
        </w:rPr>
      </w:pPr>
      <w:bookmarkStart w:id="28" w:name="_Toc235441701"/>
      <w:r>
        <w:rPr>
          <w:rFonts w:ascii="Segoe UI" w:eastAsia="Times New Roman" w:hAnsi="Segoe UI" w:cs="Segoe UI"/>
          <w:lang w:val="en"/>
        </w:rPr>
        <w:t>17.2 Architecture Diagram</w:t>
      </w:r>
      <w:bookmarkEnd w:id="28"/>
    </w:p>
    <w:p w14:paraId="3117A81B"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diagram below shows the platform's core request and real-time data flow, followed by the three supported deployment variants.</w:t>
      </w:r>
    </w:p>
    <w:tbl>
      <w:tblPr>
        <w:tblW w:w="5000" w:type="pct"/>
        <w:tblCellMar>
          <w:top w:w="15" w:type="dxa"/>
          <w:left w:w="15" w:type="dxa"/>
          <w:bottom w:w="15" w:type="dxa"/>
          <w:right w:w="15" w:type="dxa"/>
        </w:tblCellMar>
        <w:tblLook w:val="04A0" w:firstRow="1" w:lastRow="0" w:firstColumn="1" w:lastColumn="0" w:noHBand="0" w:noVBand="1"/>
      </w:tblPr>
      <w:tblGrid>
        <w:gridCol w:w="2117"/>
        <w:gridCol w:w="577"/>
        <w:gridCol w:w="1731"/>
        <w:gridCol w:w="577"/>
        <w:gridCol w:w="2501"/>
        <w:gridCol w:w="577"/>
        <w:gridCol w:w="1539"/>
      </w:tblGrid>
      <w:tr w:rsidR="00000000" w14:paraId="04E995DB" w14:textId="77777777">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7398E5ED" w14:textId="77777777" w:rsidR="00A51104" w:rsidRDefault="00A51104">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Browser</w:t>
            </w:r>
            <w:r>
              <w:rPr>
                <w:rFonts w:ascii="Segoe UI" w:eastAsia="Times New Roman" w:hAnsi="Segoe UI" w:cs="Segoe UI"/>
                <w:color w:val="1F2933"/>
                <w:sz w:val="19"/>
                <w:szCs w:val="19"/>
              </w:rPr>
              <w:br/>
              <w:t>(Host &amp; Participants)</w:t>
            </w:r>
          </w:p>
        </w:tc>
        <w:tc>
          <w:tcPr>
            <w:tcW w:w="300" w:type="pct"/>
            <w:tcBorders>
              <w:top w:val="nil"/>
              <w:left w:val="nil"/>
              <w:bottom w:val="nil"/>
              <w:right w:val="nil"/>
            </w:tcBorders>
            <w:tcMar>
              <w:top w:w="100" w:type="dxa"/>
              <w:left w:w="120" w:type="dxa"/>
              <w:bottom w:w="100" w:type="dxa"/>
              <w:right w:w="120" w:type="dxa"/>
            </w:tcMar>
            <w:hideMark/>
          </w:tcPr>
          <w:p w14:paraId="4BB9B84C" w14:textId="77777777" w:rsidR="00A51104" w:rsidRDefault="00A51104">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9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2EE0178C" w14:textId="77777777" w:rsidR="00A51104" w:rsidRDefault="00A51104">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HTTPS / WSS</w:t>
            </w:r>
          </w:p>
        </w:tc>
        <w:tc>
          <w:tcPr>
            <w:tcW w:w="300" w:type="pct"/>
            <w:tcBorders>
              <w:top w:val="nil"/>
              <w:left w:val="nil"/>
              <w:bottom w:val="nil"/>
              <w:right w:val="nil"/>
            </w:tcBorders>
            <w:tcMar>
              <w:top w:w="100" w:type="dxa"/>
              <w:left w:w="120" w:type="dxa"/>
              <w:bottom w:w="100" w:type="dxa"/>
              <w:right w:w="120" w:type="dxa"/>
            </w:tcMar>
            <w:hideMark/>
          </w:tcPr>
          <w:p w14:paraId="65F42AD3" w14:textId="77777777" w:rsidR="00A51104" w:rsidRDefault="00A51104">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3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631BE01B" w14:textId="77777777" w:rsidR="00A51104" w:rsidRDefault="00A51104">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Express.js API</w:t>
            </w:r>
            <w:r>
              <w:rPr>
                <w:rFonts w:ascii="Segoe UI" w:eastAsia="Times New Roman" w:hAnsi="Segoe UI" w:cs="Segoe UI"/>
                <w:color w:val="1F2933"/>
                <w:sz w:val="19"/>
                <w:szCs w:val="19"/>
              </w:rPr>
              <w:br/>
              <w:t>+ WebSocket server</w:t>
            </w:r>
          </w:p>
        </w:tc>
        <w:tc>
          <w:tcPr>
            <w:tcW w:w="300" w:type="pct"/>
            <w:tcBorders>
              <w:top w:val="nil"/>
              <w:left w:val="nil"/>
              <w:bottom w:val="nil"/>
              <w:right w:val="nil"/>
            </w:tcBorders>
            <w:tcMar>
              <w:top w:w="100" w:type="dxa"/>
              <w:left w:w="120" w:type="dxa"/>
              <w:bottom w:w="100" w:type="dxa"/>
              <w:right w:w="120" w:type="dxa"/>
            </w:tcMar>
            <w:hideMark/>
          </w:tcPr>
          <w:p w14:paraId="3F714486" w14:textId="77777777" w:rsidR="00A51104" w:rsidRDefault="00A51104">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775EA4EA" w14:textId="77777777" w:rsidR="00A51104" w:rsidRDefault="00A51104">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PostgreSQL</w:t>
            </w:r>
            <w:r>
              <w:rPr>
                <w:rFonts w:ascii="Segoe UI" w:eastAsia="Times New Roman" w:hAnsi="Segoe UI" w:cs="Segoe UI"/>
                <w:color w:val="1F2933"/>
                <w:sz w:val="19"/>
                <w:szCs w:val="19"/>
              </w:rPr>
              <w:br/>
              <w:t>(row-level tenant isolation)</w:t>
            </w:r>
          </w:p>
        </w:tc>
      </w:tr>
    </w:tbl>
    <w:p w14:paraId="102694F4" w14:textId="77777777" w:rsidR="00A51104" w:rsidRDefault="00A51104">
      <w:pPr>
        <w:pStyle w:val="muted"/>
        <w:spacing w:before="120" w:beforeAutospacing="0" w:after="120" w:afterAutospacing="0"/>
        <w:rPr>
          <w:rFonts w:ascii="Segoe UI" w:hAnsi="Segoe UI" w:cs="Segoe UI"/>
          <w:lang w:val="en"/>
        </w:rPr>
      </w:pPr>
      <w:r>
        <w:rPr>
          <w:rFonts w:ascii="Segoe UI" w:hAnsi="Segoe UI" w:cs="Segoe UI"/>
          <w:lang w:val="en"/>
        </w:rPr>
        <w:t>Browser clients communicate with the Express.js API and WebSocket server over HTTPS and secure WebSockets (WSS); the application server is the sole component with direct database access.</w:t>
      </w:r>
    </w:p>
    <w:tbl>
      <w:tblPr>
        <w:tblW w:w="5000" w:type="pct"/>
        <w:tblCellMar>
          <w:top w:w="15" w:type="dxa"/>
          <w:left w:w="15" w:type="dxa"/>
          <w:bottom w:w="15" w:type="dxa"/>
          <w:right w:w="15" w:type="dxa"/>
        </w:tblCellMar>
        <w:tblLook w:val="04A0" w:firstRow="1" w:lastRow="0" w:firstColumn="1" w:lastColumn="0" w:noHBand="0" w:noVBand="1"/>
      </w:tblPr>
      <w:tblGrid>
        <w:gridCol w:w="1860"/>
        <w:gridCol w:w="3566"/>
        <w:gridCol w:w="4193"/>
      </w:tblGrid>
      <w:tr w:rsidR="00000000" w14:paraId="130FAAE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32D166E"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lastRenderedPageBreak/>
              <w:t>Deployment Variant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3C23FDE"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Application Layer (Frontend + Express.js API)</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E19138C"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Database Layer</w:t>
            </w:r>
          </w:p>
        </w:tc>
      </w:tr>
      <w:tr w:rsidR="00000000" w14:paraId="4FD51E2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1CB0A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 SaaS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B26BE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E290A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r>
      <w:tr w:rsidR="00000000" w14:paraId="4E40C54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F3A2A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On-Premises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B4AA21"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EF8151"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p>
        </w:tc>
      </w:tr>
      <w:tr w:rsidR="00000000" w14:paraId="25AC4CE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DD589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Hybrid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9C4EE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8AE628"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xml:space="preserve"> (sensitive data remains client-side)</w:t>
            </w:r>
          </w:p>
        </w:tc>
      </w:tr>
    </w:tbl>
    <w:p w14:paraId="5E0EC828" w14:textId="77777777" w:rsidR="00A51104" w:rsidRDefault="00A51104">
      <w:pPr>
        <w:pStyle w:val="Heading1"/>
        <w:rPr>
          <w:rFonts w:ascii="Segoe UI" w:eastAsia="Times New Roman" w:hAnsi="Segoe UI" w:cs="Segoe UI"/>
          <w:lang w:val="en"/>
        </w:rPr>
      </w:pPr>
      <w:bookmarkStart w:id="29" w:name="_Toc235441702"/>
      <w:r>
        <w:rPr>
          <w:rFonts w:ascii="Segoe UI" w:eastAsia="Times New Roman" w:hAnsi="Segoe UI" w:cs="Segoe UI"/>
          <w:lang w:val="en"/>
        </w:rPr>
        <w:t>18. Real-Time Architecture</w:t>
      </w:r>
      <w:bookmarkEnd w:id="29"/>
    </w:p>
    <w:p w14:paraId="782184A3"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Live sessions depend on the platform's real-time layer behaving predictably under load, and behaving fairly for every participant regardless of network conditions. This section describes how that is achieved.</w:t>
      </w:r>
    </w:p>
    <w:p w14:paraId="38EA66D0" w14:textId="77777777" w:rsidR="00A51104" w:rsidRDefault="00A51104">
      <w:pPr>
        <w:pStyle w:val="Heading2"/>
        <w:rPr>
          <w:rFonts w:ascii="Segoe UI" w:eastAsia="Times New Roman" w:hAnsi="Segoe UI" w:cs="Segoe UI"/>
          <w:lang w:val="en"/>
        </w:rPr>
      </w:pPr>
      <w:bookmarkStart w:id="30" w:name="_Toc235441703"/>
      <w:r>
        <w:rPr>
          <w:rFonts w:ascii="Segoe UI" w:eastAsia="Times New Roman" w:hAnsi="Segoe UI" w:cs="Segoe UI"/>
          <w:lang w:val="en"/>
        </w:rPr>
        <w:t>18.1 Session Flow</w:t>
      </w:r>
      <w:bookmarkEnd w:id="30"/>
    </w:p>
    <w:p w14:paraId="13770E4F"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A live session follows a consistent, server-driven flow from join through to the final leaderboard.</w:t>
      </w:r>
    </w:p>
    <w:tbl>
      <w:tblPr>
        <w:tblW w:w="5000" w:type="pct"/>
        <w:tblCellMar>
          <w:top w:w="15" w:type="dxa"/>
          <w:left w:w="15" w:type="dxa"/>
          <w:bottom w:w="15" w:type="dxa"/>
          <w:right w:w="15" w:type="dxa"/>
        </w:tblCellMar>
        <w:tblLook w:val="04A0" w:firstRow="1" w:lastRow="0" w:firstColumn="1" w:lastColumn="0" w:noHBand="0" w:noVBand="1"/>
      </w:tblPr>
      <w:tblGrid>
        <w:gridCol w:w="1669"/>
        <w:gridCol w:w="7950"/>
      </w:tblGrid>
      <w:tr w:rsidR="00000000" w14:paraId="3048C6D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96CB0E2"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Step</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CAB32E"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happens</w:t>
            </w:r>
          </w:p>
        </w:tc>
      </w:tr>
      <w:tr w:rsidR="00000000" w14:paraId="493792F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0061B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Join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B0C9B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connect over a WebSocket session as they scan a QR code, follow a direct link, or enter a session PIN; the host's lobby view updates in real time as each participant joins</w:t>
            </w:r>
          </w:p>
        </w:tc>
      </w:tr>
      <w:tr w:rsidR="00000000" w14:paraId="22F1B01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0D5EE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Question broadcast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FE899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When the host opens a question, the server broadcasts the question to all connected participants at the same moment</w:t>
            </w:r>
          </w:p>
        </w:tc>
      </w:tr>
      <w:tr w:rsidR="00000000" w14:paraId="29827A3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FD1F5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Answer submission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A86DA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submit answers over the WebSocket connection while the question is live; the correct answer is never sent to a participant's device before the question closes</w:t>
            </w:r>
          </w:p>
        </w:tc>
      </w:tr>
      <w:tr w:rsidR="00000000" w14:paraId="3632C85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97DA8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Server-side scoring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A6AC7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server, not the client, determines when the question closes, evaluates each submitted answer, and calculates the resulting score</w:t>
            </w:r>
          </w:p>
        </w:tc>
      </w:tr>
      <w:tr w:rsidR="00000000" w14:paraId="3BC437B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3B8DA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Leaderboard push</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B67C1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Updated rankings are pushed to the host and participant devices in real time once scoring is complete</w:t>
            </w:r>
          </w:p>
        </w:tc>
      </w:tr>
    </w:tbl>
    <w:p w14:paraId="7199E60E" w14:textId="77777777" w:rsidR="00A51104" w:rsidRDefault="00A51104">
      <w:pPr>
        <w:pStyle w:val="Heading2"/>
        <w:rPr>
          <w:rFonts w:ascii="Segoe UI" w:eastAsia="Times New Roman" w:hAnsi="Segoe UI" w:cs="Segoe UI"/>
          <w:lang w:val="en"/>
        </w:rPr>
      </w:pPr>
      <w:bookmarkStart w:id="31" w:name="_Toc235441704"/>
      <w:r>
        <w:rPr>
          <w:rFonts w:ascii="Segoe UI" w:eastAsia="Times New Roman" w:hAnsi="Segoe UI" w:cs="Segoe UI"/>
          <w:lang w:val="en"/>
        </w:rPr>
        <w:t>18.2 Server-Authoritative Timing, Reconnection, and Why It Matters at Scale</w:t>
      </w:r>
      <w:bookmarkEnd w:id="31"/>
    </w:p>
    <w:p w14:paraId="381B95FB"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Question timing, closure, and scoring are controlled by the server, not by any individual device: participant and host devices render a countdown, an open or closed question, and an updated </w:t>
      </w:r>
      <w:r>
        <w:rPr>
          <w:rFonts w:ascii="Segoe UI" w:hAnsi="Segoe UI" w:cs="Segoe UI"/>
          <w:color w:val="1F2933"/>
          <w:sz w:val="21"/>
          <w:szCs w:val="21"/>
          <w:lang w:val="en"/>
        </w:rPr>
        <w:lastRenderedPageBreak/>
        <w:t>leaderboard, but they never decide when a question opens or closes and are never trusted with the correct answer before it is safe to reveal it. Where a participant's device loses connectivity mid-session — common in venues with variable Wi-Fi or mobile coverage — the platform automatically attempts to reconnect the session rather than dropping the participant. For a session of the scale described in Section 24, this combination is what keeps a large, live audience in a fair, synchronized session rather tha</w:t>
      </w:r>
      <w:r>
        <w:rPr>
          <w:rFonts w:ascii="Segoe UI" w:hAnsi="Segoe UI" w:cs="Segoe UI"/>
          <w:color w:val="1F2933"/>
          <w:sz w:val="21"/>
          <w:szCs w:val="21"/>
          <w:lang w:val="en"/>
        </w:rPr>
        <w:t>n a collection of individually drifting client experiences.</w:t>
      </w:r>
    </w:p>
    <w:p w14:paraId="1555916F" w14:textId="77777777" w:rsidR="00A51104" w:rsidRDefault="00A51104">
      <w:pPr>
        <w:pStyle w:val="Heading1"/>
        <w:rPr>
          <w:rFonts w:ascii="Segoe UI" w:eastAsia="Times New Roman" w:hAnsi="Segoe UI" w:cs="Segoe UI"/>
          <w:lang w:val="en"/>
        </w:rPr>
      </w:pPr>
      <w:bookmarkStart w:id="32" w:name="_Toc235441705"/>
      <w:r>
        <w:rPr>
          <w:rFonts w:ascii="Segoe UI" w:eastAsia="Times New Roman" w:hAnsi="Segoe UI" w:cs="Segoe UI"/>
          <w:lang w:val="en"/>
        </w:rPr>
        <w:t>19. Deployment Options</w:t>
      </w:r>
      <w:bookmarkEnd w:id="32"/>
    </w:p>
    <w:p w14:paraId="0EB8FB3C" w14:textId="77777777" w:rsidR="00A51104" w:rsidRDefault="00A51104">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choose from three deployment options, so that the choice of hosting model reflects data residency, network, and cybersecurity requirements rather than a one-size-fits-all default.</w:t>
      </w:r>
    </w:p>
    <w:tbl>
      <w:tblPr>
        <w:tblW w:w="5000" w:type="pct"/>
        <w:tblCellMar>
          <w:top w:w="15" w:type="dxa"/>
          <w:left w:w="15" w:type="dxa"/>
          <w:bottom w:w="15" w:type="dxa"/>
          <w:right w:w="15" w:type="dxa"/>
        </w:tblCellMar>
        <w:tblLook w:val="04A0" w:firstRow="1" w:lastRow="0" w:firstColumn="1" w:lastColumn="0" w:noHBand="0" w:noVBand="1"/>
      </w:tblPr>
      <w:tblGrid>
        <w:gridCol w:w="1409"/>
        <w:gridCol w:w="2913"/>
        <w:gridCol w:w="3021"/>
        <w:gridCol w:w="2276"/>
      </w:tblGrid>
      <w:tr w:rsidR="00000000" w14:paraId="40AFB33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98AF134" w14:textId="77777777" w:rsidR="00A51104" w:rsidRDefault="00A51104">
            <w:pPr>
              <w:rPr>
                <w:rFonts w:ascii="Segoe UI" w:hAnsi="Segoe UI" w:cs="Segoe UI"/>
                <w:color w:val="1F2933"/>
                <w:sz w:val="21"/>
                <w:szCs w:val="21"/>
                <w:lang w:val="en"/>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25451E1"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1 — SaaS / Cloud</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7D5CD20"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2 — On-Premises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02B1ACA"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3 — Hybrid</w:t>
            </w:r>
          </w:p>
        </w:tc>
      </w:tr>
      <w:tr w:rsidR="00000000" w14:paraId="4844C1A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7C0EBE"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Hosted by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4E51D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A73FA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infrastructure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420EF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Split between Altanfith and client infrastructure</w:t>
            </w:r>
          </w:p>
        </w:tc>
      </w:tr>
      <w:tr w:rsidR="00000000" w14:paraId="33E372D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C68FEC"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Includes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8BF93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hosting, server &amp; database management, backups, security updates, monitoring, maintenance, technical support, version upgrades, AI usage allowance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E3D04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deployment, backend installation, database configuration, environment setup, initial cybersecurity configuration, documentation, training, knowledge transfer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BAEB5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components hosted by Altanfith; sensitive data/database remain in the client environment</w:t>
            </w:r>
          </w:p>
        </w:tc>
      </w:tr>
      <w:tr w:rsidR="00000000" w14:paraId="191AC5D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B9CD8B"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Commercials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0F17B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subscription; lower initial investment; fastest implementation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0EFAD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fee; optional source-code handover; optional annual maintenance contract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B8E44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w:t>
            </w:r>
          </w:p>
        </w:tc>
      </w:tr>
      <w:tr w:rsidR="00000000" w14:paraId="3057DBD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24DCF1"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provides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3CCB7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Browser access only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574E4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Hardware, OS, internal networking, data-center requirements (unless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61F74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w:t>
            </w:r>
          </w:p>
        </w:tc>
      </w:tr>
    </w:tbl>
    <w:p w14:paraId="359AD0A1" w14:textId="77777777" w:rsidR="00A51104" w:rsidRDefault="00A51104">
      <w:pPr>
        <w:pStyle w:val="Heading2"/>
        <w:rPr>
          <w:rFonts w:ascii="Segoe UI" w:eastAsia="Times New Roman" w:hAnsi="Segoe UI" w:cs="Segoe UI"/>
          <w:lang w:val="en"/>
        </w:rPr>
      </w:pPr>
      <w:bookmarkStart w:id="33" w:name="_Toc235441706"/>
      <w:r>
        <w:rPr>
          <w:rFonts w:ascii="Segoe UI" w:eastAsia="Times New Roman" w:hAnsi="Segoe UI" w:cs="Segoe UI"/>
          <w:lang w:val="en"/>
        </w:rPr>
        <w:t>19.1 Cloud / SaaS</w:t>
      </w:r>
      <w:bookmarkEnd w:id="33"/>
    </w:p>
    <w:p w14:paraId="0F42896E"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hosts and manages the full application and database layer, so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requires only browser access. Hosting, backups, monitoring, security updates, and version upgrades are managed by Altanfith as part of the subscription (Section 33, Model A).</w:t>
      </w:r>
    </w:p>
    <w:p w14:paraId="069F0BBE" w14:textId="77777777" w:rsidR="00A51104" w:rsidRDefault="00A51104">
      <w:pPr>
        <w:pStyle w:val="Heading2"/>
        <w:rPr>
          <w:rFonts w:ascii="Segoe UI" w:eastAsia="Times New Roman" w:hAnsi="Segoe UI" w:cs="Segoe UI"/>
          <w:lang w:val="en"/>
        </w:rPr>
      </w:pPr>
      <w:bookmarkStart w:id="34" w:name="_Toc235441707"/>
      <w:r>
        <w:rPr>
          <w:rFonts w:ascii="Segoe UI" w:eastAsia="Times New Roman" w:hAnsi="Segoe UI" w:cs="Segoe UI"/>
          <w:lang w:val="en"/>
        </w:rPr>
        <w:t>19.2 On-Premises</w:t>
      </w:r>
      <w:bookmarkEnd w:id="34"/>
    </w:p>
    <w:p w14:paraId="1E923624"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Express.js backend runs on the client's own internal servers or private cloud — a public cloud environment is not required. The platform's backend has been built to run within a range of internal environments, including:</w:t>
      </w:r>
    </w:p>
    <w:tbl>
      <w:tblPr>
        <w:tblW w:w="5000" w:type="pct"/>
        <w:tblCellMar>
          <w:top w:w="15" w:type="dxa"/>
          <w:left w:w="15" w:type="dxa"/>
          <w:bottom w:w="15" w:type="dxa"/>
          <w:right w:w="15" w:type="dxa"/>
        </w:tblCellMar>
        <w:tblLook w:val="04A0" w:firstRow="1" w:lastRow="0" w:firstColumn="1" w:lastColumn="0" w:noHBand="0" w:noVBand="1"/>
      </w:tblPr>
      <w:tblGrid>
        <w:gridCol w:w="3458"/>
        <w:gridCol w:w="6161"/>
      </w:tblGrid>
      <w:tr w:rsidR="00000000" w14:paraId="4FD891E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A33CCCE"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Supported Environment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044F0D9" w14:textId="77777777" w:rsidR="00A51104" w:rsidRDefault="00A51104">
            <w:pPr>
              <w:spacing w:before="160" w:after="160"/>
              <w:rPr>
                <w:rFonts w:ascii="Segoe UI" w:eastAsia="Times New Roman" w:hAnsi="Segoe UI" w:cs="Segoe UI"/>
                <w:b/>
                <w:bCs/>
                <w:color w:val="FFFFFF"/>
                <w:sz w:val="19"/>
                <w:szCs w:val="19"/>
              </w:rPr>
            </w:pPr>
          </w:p>
        </w:tc>
      </w:tr>
      <w:tr w:rsidR="00000000" w14:paraId="4A73DDA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61C89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Client data center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59573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servers</w:t>
            </w:r>
          </w:p>
        </w:tc>
      </w:tr>
      <w:tr w:rsidR="00000000" w14:paraId="47BCFDA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0C29F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Private cloud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B3973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Virtual machines</w:t>
            </w:r>
          </w:p>
        </w:tc>
      </w:tr>
      <w:tr w:rsidR="00000000" w14:paraId="33E1771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5D013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Docker containers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0437E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Kubernetes</w:t>
            </w:r>
          </w:p>
        </w:tc>
      </w:tr>
      <w:tr w:rsidR="00000000" w14:paraId="686C353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A306A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Linux servers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42DED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Windows Server (subject to technical validation)</w:t>
            </w:r>
          </w:p>
        </w:tc>
      </w:tr>
      <w:tr w:rsidR="00000000" w14:paraId="0CA73D13" w14:textId="77777777">
        <w:tc>
          <w:tcPr>
            <w:tcW w:w="0" w:type="auto"/>
            <w:gridSpan w:val="2"/>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42B85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Hybrid combinations of the above infrastructure types</w:t>
            </w:r>
          </w:p>
        </w:tc>
      </w:tr>
    </w:tbl>
    <w:p w14:paraId="06DEB65B" w14:textId="77777777" w:rsidR="00A51104" w:rsidRDefault="00A51104">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On-premises deployment is </w:t>
      </w:r>
      <w:r>
        <w:rPr>
          <w:rStyle w:val="Strong"/>
          <w:rFonts w:ascii="Segoe UI" w:hAnsi="Segoe UI" w:cs="Segoe UI"/>
          <w:color w:val="1F2933"/>
          <w:sz w:val="21"/>
          <w:szCs w:val="21"/>
          <w:lang w:val="en"/>
        </w:rPr>
        <w:t>subject to infrastructure assessment</w:t>
      </w:r>
      <w:r>
        <w:rPr>
          <w:rFonts w:ascii="Segoe UI" w:hAnsi="Segoe UI" w:cs="Segoe UI"/>
          <w:color w:val="1F2933"/>
          <w:sz w:val="21"/>
          <w:szCs w:val="21"/>
          <w:lang w:val="en"/>
        </w:rPr>
        <w:t xml:space="preserve">. Network policies, database selection, internal DNS, SSL certificates, firewall configuration, backup procedures, and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cybersecurity requirements are all confirmed during this assessment before deployment proceeds. Altanfith does not promise universal compatibility with every client environment in advance of this assessment.</w:t>
      </w:r>
    </w:p>
    <w:p w14:paraId="29067A3B" w14:textId="77777777" w:rsidR="00A51104" w:rsidRDefault="00A51104">
      <w:pPr>
        <w:pStyle w:val="Heading2"/>
        <w:rPr>
          <w:rFonts w:ascii="Segoe UI" w:eastAsia="Times New Roman" w:hAnsi="Segoe UI" w:cs="Segoe UI"/>
          <w:lang w:val="en"/>
        </w:rPr>
      </w:pPr>
      <w:bookmarkStart w:id="35" w:name="_Toc235441708"/>
      <w:r>
        <w:rPr>
          <w:rFonts w:ascii="Segoe UI" w:eastAsia="Times New Roman" w:hAnsi="Segoe UI" w:cs="Segoe UI"/>
          <w:lang w:val="en"/>
        </w:rPr>
        <w:t>19.3 Hybrid</w:t>
      </w:r>
      <w:bookmarkEnd w:id="35"/>
    </w:p>
    <w:p w14:paraId="788BF39C"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 hybrid deployment splits the platform between Altanfith-hosted application components and client-hosted, sensitive data storage. The final design of a hybrid deployment depends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security and integration requirements, and is agreed during discovery and infrastructure assessment rather than fixed in advance.</w:t>
      </w:r>
    </w:p>
    <w:p w14:paraId="2C0DA122" w14:textId="77777777" w:rsidR="00A51104" w:rsidRDefault="00A51104">
      <w:pPr>
        <w:pStyle w:val="Heading1"/>
        <w:rPr>
          <w:rFonts w:ascii="Segoe UI" w:eastAsia="Times New Roman" w:hAnsi="Segoe UI" w:cs="Segoe UI"/>
          <w:lang w:val="en"/>
        </w:rPr>
      </w:pPr>
      <w:bookmarkStart w:id="36" w:name="_Toc235441709"/>
      <w:r>
        <w:rPr>
          <w:rFonts w:ascii="Segoe UI" w:eastAsia="Times New Roman" w:hAnsi="Segoe UI" w:cs="Segoe UI"/>
          <w:lang w:val="en"/>
        </w:rPr>
        <w:t>20. Cybersecurity</w:t>
      </w:r>
      <w:bookmarkEnd w:id="36"/>
    </w:p>
    <w:p w14:paraId="21EB59C3"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is designed with cybersecurity as a foundational concern rather than an add-on, and its controls are developed with awareness of the OWASP Top 10. At the same time, we are deliberate about how we describe our security posture: the statements in this section describe how the platform is designed and configured, not a formal certification, and final acceptance of the security architecture remains subject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own cybersecurity assessment.</w:t>
      </w:r>
    </w:p>
    <w:tbl>
      <w:tblPr>
        <w:tblW w:w="5000" w:type="pct"/>
        <w:tblCellMar>
          <w:top w:w="15" w:type="dxa"/>
          <w:left w:w="15" w:type="dxa"/>
          <w:bottom w:w="15" w:type="dxa"/>
          <w:right w:w="15" w:type="dxa"/>
        </w:tblCellMar>
        <w:tblLook w:val="04A0" w:firstRow="1" w:lastRow="0" w:firstColumn="1" w:lastColumn="0" w:noHBand="0" w:noVBand="1"/>
      </w:tblPr>
      <w:tblGrid>
        <w:gridCol w:w="1718"/>
        <w:gridCol w:w="7901"/>
      </w:tblGrid>
      <w:tr w:rsidR="00000000" w14:paraId="30C6159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CDF6175"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Domain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0AABA9F"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Controls</w:t>
            </w:r>
          </w:p>
        </w:tc>
      </w:tr>
      <w:tr w:rsidR="00000000" w14:paraId="172843F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36312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Encryption &amp; transport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092DA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HTTPS/TLS; encryption in transit; encryption at rest where applicable; backup encryption</w:t>
            </w:r>
          </w:p>
        </w:tc>
      </w:tr>
      <w:tr w:rsidR="00000000" w14:paraId="453042A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C449B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Identity &amp; access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4C323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Secure (bcrypt) password hashing; role-based access control (RBAC); least-privilege access; strong password policy; multi-factor authentication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 session management; token expiration; secure API authentication; user account deactivation; regular access reviews; role-validated host-only operations</w:t>
            </w:r>
          </w:p>
        </w:tc>
      </w:tr>
      <w:tr w:rsidR="00000000" w14:paraId="5D7D8BC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7AABA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3. Application security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1735F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 rate limiting; input validation; output encoding; protection against common web vulnerabilities; secure development practices; developed with awareness of the OWASP Top 10; secure API configuration</w:t>
            </w:r>
          </w:p>
        </w:tc>
      </w:tr>
      <w:tr w:rsidR="00000000" w14:paraId="7EE2273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68761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Audit &amp; monitoring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8607B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Audit logs of administrative actions; login logs; failed-login monitoring; data-access logging; monitoring &amp; alerting; log retention (</w:t>
            </w:r>
            <w:r>
              <w:rPr>
                <w:rStyle w:val="Strong"/>
                <w:rFonts w:ascii="Segoe UI" w:eastAsia="Times New Roman" w:hAnsi="Segoe UI" w:cs="Segoe UI"/>
                <w:color w:val="1F2933"/>
                <w:sz w:val="19"/>
                <w:szCs w:val="19"/>
              </w:rPr>
              <w:t>[Data Retention Period]</w:t>
            </w:r>
            <w:r>
              <w:rPr>
                <w:rFonts w:ascii="Segoe UI" w:eastAsia="Times New Roman" w:hAnsi="Segoe UI" w:cs="Segoe UI"/>
                <w:color w:val="1F2933"/>
                <w:sz w:val="19"/>
                <w:szCs w:val="19"/>
              </w:rPr>
              <w:t>)</w:t>
            </w:r>
          </w:p>
        </w:tc>
      </w:tr>
      <w:tr w:rsidR="00000000" w14:paraId="240A35E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07EE0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Data lifecycle &amp; resilience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437C7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 policy; backup retention; disaster recovery planning; business continuity planning; data retention rules; data deletion and export procedures — expanded in Section 21</w:t>
            </w:r>
          </w:p>
        </w:tc>
      </w:tr>
      <w:tr w:rsidR="00000000" w14:paraId="0FA63AA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C3790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6. Infrastructure &amp; operations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06B04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Secure environment configuration; firewall configuration; network segmentation (on-premises); per-tenant, row-level data isolation in PostgreSQL; database access restrictions; secrets management; environment-variable management; secure source-code repository; separated dev/test/prod environments</w:t>
            </w:r>
          </w:p>
        </w:tc>
      </w:tr>
      <w:tr w:rsidR="00000000" w14:paraId="162E1A9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244FA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7. Process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11EFE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Change management; incident response; security incident notification; data-breach escalation; secure release process; security patching; vulnerability assessment; penetration testing (</w:t>
            </w:r>
            <w:r>
              <w:rPr>
                <w:rStyle w:val="badge-opt1"/>
                <w:rFonts w:ascii="Segoe UI" w:eastAsia="Times New Roman" w:hAnsi="Segoe UI" w:cs="Segoe UI"/>
                <w:sz w:val="19"/>
                <w:szCs w:val="19"/>
              </w:rPr>
              <w:t>Optional service</w:t>
            </w:r>
            <w:r>
              <w:rPr>
                <w:rFonts w:ascii="Segoe UI" w:eastAsia="Times New Roman" w:hAnsi="Segoe UI" w:cs="Segoe UI"/>
                <w:color w:val="1F2933"/>
                <w:sz w:val="19"/>
                <w:szCs w:val="19"/>
              </w:rPr>
              <w:t>); client-approved security architecture</w:t>
            </w:r>
          </w:p>
        </w:tc>
      </w:tr>
    </w:tbl>
    <w:p w14:paraId="01BF9F67"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These controls are designed to align with recognized good practice and with awareness of the OWASP Top 10 — not represented as certified or compliant. Final acceptance is confirmed through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own security assessment (Phase 3, Section 25); the security architecture is only finalized once client-approved. Formal penetration testing is available as an </w:t>
      </w:r>
      <w:r>
        <w:rPr>
          <w:rStyle w:val="badge-opt1"/>
          <w:rFonts w:ascii="Segoe UI" w:hAnsi="Segoe UI" w:cs="Segoe UI"/>
          <w:sz w:val="21"/>
          <w:szCs w:val="21"/>
          <w:lang w:val="en"/>
        </w:rPr>
        <w:t>optional service</w:t>
      </w:r>
      <w:r>
        <w:rPr>
          <w:rFonts w:ascii="Segoe UI" w:hAnsi="Segoe UI" w:cs="Segoe UI"/>
          <w:color w:val="1F2933"/>
          <w:sz w:val="21"/>
          <w:szCs w:val="21"/>
          <w:lang w:val="en"/>
        </w:rPr>
        <w:t>, quoted separately (Section 33); it is not included in the base engagement.</w:t>
      </w:r>
    </w:p>
    <w:p w14:paraId="2F52E5E5" w14:textId="77777777" w:rsidR="00A51104" w:rsidRDefault="00A51104">
      <w:pPr>
        <w:pStyle w:val="Heading1"/>
        <w:rPr>
          <w:rFonts w:ascii="Segoe UI" w:eastAsia="Times New Roman" w:hAnsi="Segoe UI" w:cs="Segoe UI"/>
          <w:lang w:val="en"/>
        </w:rPr>
      </w:pPr>
      <w:bookmarkStart w:id="37" w:name="_Toc235441710"/>
      <w:r>
        <w:rPr>
          <w:rFonts w:ascii="Segoe UI" w:eastAsia="Times New Roman" w:hAnsi="Segoe UI" w:cs="Segoe UI"/>
          <w:lang w:val="en"/>
        </w:rPr>
        <w:t>21. Data Protection</w:t>
      </w:r>
      <w:bookmarkEnd w:id="37"/>
    </w:p>
    <w:p w14:paraId="1A4A53DE"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Data protection builds on the data lifecycle and resilience controls introduced in Section 20 (Domain 5), and describes, in more detail, how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data is backed up, retained, deleted, and exported. Availability and data-durability commitments are not presented as absolutes; they are defined in the agreed SLA, and the platform is designed to align with sound backup, retention, and recovery practice within the parameters agreed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1857"/>
        <w:gridCol w:w="7762"/>
      </w:tblGrid>
      <w:tr w:rsidR="00000000" w14:paraId="03121E1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08035AE"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Aspect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198195F"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Approach</w:t>
            </w:r>
          </w:p>
        </w:tc>
      </w:tr>
      <w:tr w:rsidR="00000000" w14:paraId="42D1077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19244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90D1E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Operated under a defined backup policy; frequency, encryption, and retention arrangements are confirmed as part of the applicable deployment option (Section 19) and the commercial agreement</w:t>
            </w:r>
          </w:p>
        </w:tc>
      </w:tr>
      <w:tr w:rsidR="00000000" w14:paraId="54BFB6F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18792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Retention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ECE95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Session results, audit logs, and participant records are retained for </w:t>
            </w:r>
            <w:r>
              <w:rPr>
                <w:rStyle w:val="Strong"/>
                <w:rFonts w:ascii="Segoe UI" w:eastAsia="Times New Roman" w:hAnsi="Segoe UI" w:cs="Segoe UI"/>
                <w:color w:val="1F2933"/>
                <w:sz w:val="19"/>
                <w:szCs w:val="19"/>
              </w:rPr>
              <w:t>[Data Retention Period]</w:t>
            </w:r>
            <w:r>
              <w:rPr>
                <w:rFonts w:ascii="Segoe UI" w:eastAsia="Times New Roman" w:hAnsi="Segoe UI" w:cs="Segoe UI"/>
                <w:color w:val="1F2933"/>
                <w:sz w:val="19"/>
                <w:szCs w:val="19"/>
              </w:rPr>
              <w:t xml:space="preserve">, configurable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internal data governance or regulatory requirements, subject to confirmation during discovery</w:t>
            </w:r>
          </w:p>
        </w:tc>
      </w:tr>
      <w:tr w:rsidR="00000000" w14:paraId="3102FEE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DA38A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Deletion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BD521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Follows a defined procedure: soft-delete with archive is available at the content level (Section 13.5); permanent deletion procedures, including at contract termination, are defined in the commercial agreement</w:t>
            </w:r>
          </w:p>
        </w:tc>
      </w:tr>
      <w:tr w:rsidR="00000000" w14:paraId="56144B8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F9560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67402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Available on request, and provided as a standard step at contract termination, in an agreed format, so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 xml:space="preserve"> is not dependent on continued platform access to retain its own data</w:t>
            </w:r>
          </w:p>
        </w:tc>
      </w:tr>
      <w:tr w:rsidR="00000000" w14:paraId="50ED631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A1E7C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Disaster recovery &amp; business continuity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44F16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Addressed as part of the deployment design and configured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requirements; specific recovery time/point objectives are confirmed during discovery and infrastructure assessment and depend on the deployment option selected</w:t>
            </w:r>
          </w:p>
        </w:tc>
      </w:tr>
    </w:tbl>
    <w:p w14:paraId="3DFF5A6C" w14:textId="77777777" w:rsidR="00A51104" w:rsidRDefault="00A51104">
      <w:pPr>
        <w:pStyle w:val="Heading1"/>
        <w:rPr>
          <w:rFonts w:ascii="Segoe UI" w:eastAsia="Times New Roman" w:hAnsi="Segoe UI" w:cs="Segoe UI"/>
          <w:lang w:val="en"/>
        </w:rPr>
      </w:pPr>
      <w:bookmarkStart w:id="38" w:name="_Toc235441711"/>
      <w:r>
        <w:rPr>
          <w:rFonts w:ascii="Segoe UI" w:eastAsia="Times New Roman" w:hAnsi="Segoe UI" w:cs="Segoe UI"/>
          <w:lang w:val="en"/>
        </w:rPr>
        <w:t>22. Data Ownership</w:t>
      </w:r>
      <w:bookmarkEnd w:id="38"/>
    </w:p>
    <w:p w14:paraId="083CBEC0"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Ownership of data and intellectual property is set out clearly,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understands exactly what it owns, what Altanfith owns, and how this is affected by the commercial model selected.</w:t>
      </w:r>
    </w:p>
    <w:p w14:paraId="1D6E733D" w14:textId="77777777" w:rsidR="00A51104" w:rsidRDefault="00A51104">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Client data remains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 at all times.</w:t>
      </w:r>
    </w:p>
    <w:p w14:paraId="3147BA6F" w14:textId="77777777" w:rsidR="00A51104" w:rsidRDefault="00A51104">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Altanfith Aldwaliah SPC claims no ownership of client operational data.</w:t>
      </w:r>
    </w:p>
    <w:p w14:paraId="27C814E9" w14:textId="77777777" w:rsidR="00A51104" w:rsidRDefault="00A51104">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Data export is provided at contract termination, in an agreed format.</w:t>
      </w:r>
    </w:p>
    <w:p w14:paraId="41D6E74A" w14:textId="77777777" w:rsidR="00A51104" w:rsidRDefault="00A51104">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Retention and deletion terms are defined in the commercial agreement.</w:t>
      </w:r>
    </w:p>
    <w:p w14:paraId="6C73E802" w14:textId="77777777" w:rsidR="00A51104" w:rsidRDefault="00A51104">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For on-premises deployments, data may remain entirely within </w:t>
      </w:r>
      <w:r>
        <w:rPr>
          <w:rStyle w:val="Strong"/>
          <w:rFonts w:ascii="Segoe UI" w:eastAsia="Times New Roman" w:hAnsi="Segoe UI" w:cs="Segoe UI"/>
          <w:color w:val="1F2933"/>
          <w:sz w:val="21"/>
          <w:szCs w:val="21"/>
          <w:lang w:val="en"/>
        </w:rPr>
        <w:t>[Client Infrastructure]</w:t>
      </w:r>
      <w:r>
        <w:rPr>
          <w:rFonts w:ascii="Segoe UI" w:eastAsia="Times New Roman" w:hAnsi="Segoe UI" w:cs="Segoe UI"/>
          <w:color w:val="1F2933"/>
          <w:sz w:val="21"/>
          <w:szCs w:val="21"/>
          <w:lang w:val="en"/>
        </w:rPr>
        <w:t>.</w:t>
      </w:r>
    </w:p>
    <w:p w14:paraId="359884AC" w14:textId="77777777" w:rsidR="00A51104" w:rsidRDefault="00A51104">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Intellectual property ownership depends on the commercial model selected (see Section 33).</w:t>
      </w:r>
    </w:p>
    <w:p w14:paraId="37267C59" w14:textId="77777777" w:rsidR="00A51104" w:rsidRDefault="00A51104">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Standard platform IP remains with Altanfith Aldwaliah SPC unless transferred by separate agreement.</w:t>
      </w:r>
    </w:p>
    <w:p w14:paraId="5A7D2F35" w14:textId="77777777" w:rsidR="00A51104" w:rsidRDefault="00A51104">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Client-specific content — including questions, participant data, and reports — remains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w:t>
      </w:r>
    </w:p>
    <w:p w14:paraId="0F88EC08" w14:textId="77777777" w:rsidR="00A51104" w:rsidRDefault="00A51104">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Source-code ownership is not automatically included, and applies only where it is expressly stated in the commercial agreement.</w:t>
      </w:r>
    </w:p>
    <w:p w14:paraId="12D3B857" w14:textId="77777777" w:rsidR="00A51104" w:rsidRDefault="00A51104">
      <w:pPr>
        <w:pStyle w:val="Heading1"/>
        <w:rPr>
          <w:rFonts w:ascii="Segoe UI" w:eastAsia="Times New Roman" w:hAnsi="Segoe UI" w:cs="Segoe UI"/>
          <w:lang w:val="en"/>
        </w:rPr>
      </w:pPr>
      <w:bookmarkStart w:id="39" w:name="_Toc235441712"/>
      <w:r>
        <w:rPr>
          <w:rFonts w:ascii="Segoe UI" w:eastAsia="Times New Roman" w:hAnsi="Segoe UI" w:cs="Segoe UI"/>
          <w:lang w:val="en"/>
        </w:rPr>
        <w:t>23. Integration Options</w:t>
      </w:r>
      <w:bookmarkEnd w:id="39"/>
    </w:p>
    <w:p w14:paraId="5F539561"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exposes REST APIs that support integration into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existing systems. Integrations are delivered as scoped work under the Enterprise Custom Development Partnership commercial model (Model C, see Section 33), rather than assumed as part of the base platform, and their final scope is always subject to the availability and technical constraints of the relevant third-party API.</w:t>
      </w:r>
    </w:p>
    <w:tbl>
      <w:tblPr>
        <w:tblW w:w="5000" w:type="pct"/>
        <w:tblCellMar>
          <w:top w:w="15" w:type="dxa"/>
          <w:left w:w="15" w:type="dxa"/>
          <w:bottom w:w="15" w:type="dxa"/>
          <w:right w:w="15" w:type="dxa"/>
        </w:tblCellMar>
        <w:tblLook w:val="04A0" w:firstRow="1" w:lastRow="0" w:firstColumn="1" w:lastColumn="0" w:noHBand="0" w:noVBand="1"/>
      </w:tblPr>
      <w:tblGrid>
        <w:gridCol w:w="3175"/>
        <w:gridCol w:w="5426"/>
        <w:gridCol w:w="1018"/>
      </w:tblGrid>
      <w:tr w:rsidR="00000000" w14:paraId="542FD55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9697C9"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Integration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049C2ED"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8C7CDD2"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2825D5D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17711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 sign-on (Microsoft Entra ID / Active Directory)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59A7E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Authentication against the client's existing identity provider, with roles mapped to directory groups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8B96D3"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78EA6B0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88D83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HR systems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DB4EA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with the client's HR system, for example for user or organizational-unit synchronization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65DD5F"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2D96E8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193D3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Learning Management System (LMS)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4D63A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with the client's LMS for training-related workflows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F407BC"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4F434C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71B92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D83ED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supporting session distribution or notification via 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F0AB9A"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9252D1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9A47B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BDBD2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exposing platform data for consumption in Power BI dashboards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0F39B2"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72A9432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40AE5E"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[Integration System]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6E172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Any additional client system identified during discovery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7B0631"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62829964" w14:textId="77777777" w:rsidR="00A51104" w:rsidRDefault="00A51104">
      <w:pPr>
        <w:pStyle w:val="muted"/>
        <w:spacing w:before="120" w:beforeAutospacing="0" w:after="120" w:afterAutospacing="0"/>
        <w:rPr>
          <w:rFonts w:ascii="Segoe UI" w:hAnsi="Segoe UI" w:cs="Segoe UI"/>
          <w:lang w:val="en"/>
        </w:rPr>
      </w:pPr>
      <w:r>
        <w:rPr>
          <w:rFonts w:ascii="Segoe UI" w:hAnsi="Segoe UI" w:cs="Segoe UI"/>
          <w:lang w:val="en"/>
        </w:rPr>
        <w:t>All integrations listed above are optional and subject to the availability, documentation, and technical constraints of the relevant third-party API; final integration scope is confirmed during discovery (see Section 25, Phase 1) and delivered under Phase 8 (Integration Development) of the implementation methodology.</w:t>
      </w:r>
    </w:p>
    <w:p w14:paraId="47438A56" w14:textId="77777777" w:rsidR="00A51104" w:rsidRDefault="00A51104">
      <w:pPr>
        <w:pStyle w:val="Heading1"/>
        <w:rPr>
          <w:rFonts w:ascii="Segoe UI" w:eastAsia="Times New Roman" w:hAnsi="Segoe UI" w:cs="Segoe UI"/>
          <w:lang w:val="en"/>
        </w:rPr>
      </w:pPr>
      <w:bookmarkStart w:id="40" w:name="_Toc235441713"/>
      <w:r>
        <w:rPr>
          <w:rFonts w:ascii="Segoe UI" w:eastAsia="Times New Roman" w:hAnsi="Segoe UI" w:cs="Segoe UI"/>
          <w:lang w:val="en"/>
        </w:rPr>
        <w:t>24. Performance and Scalability</w:t>
      </w:r>
      <w:bookmarkEnd w:id="40"/>
    </w:p>
    <w:p w14:paraId="051EEC7F"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Performance and scalability claims for the Live Quiz Platform are grounded in what has actually been observed, rather than presented as an unqualified guarantee.</w:t>
      </w:r>
    </w:p>
    <w:p w14:paraId="0E638328"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has supported </w:t>
      </w:r>
      <w:r>
        <w:rPr>
          <w:rStyle w:val="Strong"/>
          <w:rFonts w:ascii="Segoe UI" w:hAnsi="Segoe UI" w:cs="Segoe UI"/>
          <w:color w:val="1F2933"/>
          <w:sz w:val="21"/>
          <w:szCs w:val="21"/>
          <w:lang w:val="en"/>
        </w:rPr>
        <w:t>more than 100 participants in a single live session in real production use</w:t>
      </w:r>
      <w:r>
        <w:rPr>
          <w:rFonts w:ascii="Segoe UI" w:hAnsi="Segoe UI" w:cs="Segoe UI"/>
          <w:color w:val="1F2933"/>
          <w:sz w:val="21"/>
          <w:szCs w:val="21"/>
          <w:lang w:val="en"/>
        </w:rPr>
        <w:t xml:space="preserve">, as described in Section 12. In addition to this production track record, internal load exercises have separately validated </w:t>
      </w:r>
      <w:r>
        <w:rPr>
          <w:rStyle w:val="Strong"/>
          <w:rFonts w:ascii="Segoe UI" w:hAnsi="Segoe UI" w:cs="Segoe UI"/>
          <w:color w:val="1F2933"/>
          <w:sz w:val="21"/>
          <w:szCs w:val="21"/>
          <w:lang w:val="en"/>
        </w:rPr>
        <w:t>400 concurrent participant joins</w:t>
      </w:r>
      <w:r>
        <w:rPr>
          <w:rFonts w:ascii="Segoe UI" w:hAnsi="Segoe UI" w:cs="Segoe UI"/>
          <w:color w:val="1F2933"/>
          <w:sz w:val="21"/>
          <w:szCs w:val="21"/>
          <w:lang w:val="en"/>
        </w:rPr>
        <w:t xml:space="preserve"> against the production configuration, giving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 tested reference point beyond day-to-day operational use.</w:t>
      </w:r>
    </w:p>
    <w:p w14:paraId="1AAB3FCB"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Beyond these two reference points, the following considerations apply to any deployment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p w14:paraId="36BB134E" w14:textId="77777777" w:rsidR="00A51104" w:rsidRDefault="00A51104">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Final concurrency targets are confirmed during discovery, based on </w:t>
      </w:r>
      <w:r>
        <w:rPr>
          <w:rStyle w:val="Strong"/>
          <w:rFonts w:ascii="Segoe UI" w:eastAsia="Times New Roman" w:hAnsi="Segoe UI" w:cs="Segoe UI"/>
          <w:color w:val="1F2933"/>
          <w:sz w:val="21"/>
          <w:szCs w:val="21"/>
          <w:lang w:val="en"/>
        </w:rPr>
        <w:t>[Concurrent Participants]</w:t>
      </w:r>
      <w:r>
        <w:rPr>
          <w:rFonts w:ascii="Segoe UI" w:eastAsia="Times New Roman" w:hAnsi="Segoe UI" w:cs="Segoe UI"/>
          <w:color w:val="1F2933"/>
          <w:sz w:val="21"/>
          <w:szCs w:val="21"/>
          <w:lang w:val="en"/>
        </w:rPr>
        <w:t>.</w:t>
      </w:r>
    </w:p>
    <w:p w14:paraId="41E078E5" w14:textId="77777777" w:rsidR="00A51104" w:rsidRDefault="00A51104">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Load testing is recommended ahead of any enterprise deployment with a large expected audience.</w:t>
      </w:r>
    </w:p>
    <w:p w14:paraId="5B8AAFB3" w14:textId="77777777" w:rsidR="00A51104" w:rsidRDefault="00A51104">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Cloud scaling and infrastructure sizing are based on the expected usage profile agreed with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w:t>
      </w:r>
    </w:p>
    <w:p w14:paraId="72833CF1" w14:textId="77777777" w:rsidR="00A51104" w:rsidRDefault="00A51104">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For on-premises deployments, real-time performance depends on the client's own infrastructure and network configuration.</w:t>
      </w:r>
    </w:p>
    <w:p w14:paraId="2FC5DE5E" w14:textId="77777777" w:rsidR="00A51104" w:rsidRDefault="00A51104">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Real-time functionality requires proper network and server configuration to perform as designed.</w:t>
      </w:r>
    </w:p>
    <w:p w14:paraId="54F07684" w14:textId="77777777" w:rsidR="00A51104" w:rsidRDefault="00A51104">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Performance monitoring may be included as part of the applicable support and maintenance package (see Section 31).</w:t>
      </w:r>
    </w:p>
    <w:p w14:paraId="27FF92E7"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Scaling beyond the levels referenced above is planned and validated against concurrency targets confirmed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during discovery, rather than presented as an open-ended capability. Performance at higher concurrency levels than those referenced above should be validated through load testing scoped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requirements before a large-scale go-live.</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156CD78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B35F71" w14:textId="77777777" w:rsidR="00A51104" w:rsidRDefault="00A51104">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lastRenderedPageBreak/>
              <w:t>PART FOUR</w:t>
            </w:r>
          </w:p>
          <w:p w14:paraId="06613C62" w14:textId="77777777" w:rsidR="00A51104" w:rsidRDefault="00A51104">
            <w:pPr>
              <w:pStyle w:val="NormalWeb"/>
              <w:rPr>
                <w:rFonts w:ascii="Segoe UI" w:hAnsi="Segoe UI" w:cs="Segoe UI"/>
                <w:b/>
                <w:bCs/>
                <w:color w:val="FFFFFF"/>
                <w:sz w:val="44"/>
                <w:szCs w:val="44"/>
              </w:rPr>
            </w:pPr>
            <w:r>
              <w:rPr>
                <w:rFonts w:ascii="Segoe UI" w:hAnsi="Segoe UI" w:cs="Segoe UI"/>
                <w:b/>
                <w:bCs/>
                <w:color w:val="FFFFFF"/>
                <w:sz w:val="44"/>
                <w:szCs w:val="44"/>
              </w:rPr>
              <w:t>Delivery</w:t>
            </w:r>
          </w:p>
          <w:p w14:paraId="5B563645" w14:textId="77777777" w:rsidR="00A51104" w:rsidRDefault="00A51104">
            <w:pPr>
              <w:pStyle w:val="NormalWeb"/>
              <w:rPr>
                <w:rFonts w:ascii="Segoe UI" w:hAnsi="Segoe UI" w:cs="Segoe UI"/>
                <w:color w:val="1F2933"/>
              </w:rPr>
            </w:pPr>
            <w:r>
              <w:rPr>
                <w:rFonts w:ascii="Segoe UI" w:hAnsi="Segoe UI" w:cs="Segoe UI"/>
                <w:color w:val="1F2933"/>
              </w:rPr>
              <w:t>How Altanfith plans, governs, and delivers the engagement</w:t>
            </w:r>
          </w:p>
        </w:tc>
      </w:tr>
    </w:tbl>
    <w:p w14:paraId="0B94FD16" w14:textId="77777777" w:rsidR="00A51104" w:rsidRDefault="00A51104">
      <w:pPr>
        <w:pStyle w:val="Heading1"/>
        <w:pageBreakBefore/>
        <w:rPr>
          <w:rFonts w:ascii="Segoe UI" w:eastAsia="Times New Roman" w:hAnsi="Segoe UI" w:cs="Segoe UI"/>
          <w:lang w:val="en"/>
        </w:rPr>
      </w:pPr>
      <w:bookmarkStart w:id="41" w:name="_Toc235441714"/>
      <w:r>
        <w:rPr>
          <w:rFonts w:ascii="Segoe UI" w:eastAsia="Times New Roman" w:hAnsi="Segoe UI" w:cs="Segoe UI"/>
          <w:lang w:val="en"/>
        </w:rPr>
        <w:lastRenderedPageBreak/>
        <w:t>25. Implementation Methodology</w:t>
      </w:r>
      <w:bookmarkEnd w:id="41"/>
    </w:p>
    <w:p w14:paraId="6DBDDA74"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delivers the Live Quiz Platform through a structured, 17-phase methodology, designed to take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from initial requirements through to a supported, live production system with clear exit criteria at each stage.</w:t>
      </w:r>
    </w:p>
    <w:tbl>
      <w:tblPr>
        <w:tblW w:w="5000" w:type="pct"/>
        <w:tblCellMar>
          <w:top w:w="15" w:type="dxa"/>
          <w:left w:w="15" w:type="dxa"/>
          <w:bottom w:w="15" w:type="dxa"/>
          <w:right w:w="15" w:type="dxa"/>
        </w:tblCellMar>
        <w:tblLook w:val="04A0" w:firstRow="1" w:lastRow="0" w:firstColumn="1" w:lastColumn="0" w:noHBand="0" w:noVBand="1"/>
      </w:tblPr>
      <w:tblGrid>
        <w:gridCol w:w="2347"/>
        <w:gridCol w:w="4785"/>
        <w:gridCol w:w="2487"/>
      </w:tblGrid>
      <w:tr w:rsidR="00000000" w14:paraId="42B078B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7728D74"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Phase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0A9519C"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 &amp; Key Activities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AACCFE6"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Exit Criteria</w:t>
            </w:r>
          </w:p>
        </w:tc>
      </w:tr>
      <w:tr w:rsidR="00000000" w14:paraId="44D1CA9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137C8B"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 Discovery &amp; Requirements Gathering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9D8A3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Structured workshops and stakeholder interviews establish functional, branding, and organizational requirements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CCD9F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Documented and agreed requirements</w:t>
            </w:r>
          </w:p>
        </w:tc>
      </w:tr>
      <w:tr w:rsidR="00000000" w14:paraId="3844377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55ED1B"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2. Technical Assessment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75EE0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Reviews </w:t>
            </w: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network, and hosting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38D4A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Assessment report; confirmed deployment option</w:t>
            </w:r>
          </w:p>
        </w:tc>
      </w:tr>
      <w:tr w:rsidR="00000000" w14:paraId="1FCB745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1157E8"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3. Cybersecurity Review</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661A2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Engages the client's security team on the proposed architecture and controls (Section 20)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07015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Client-approved security architecture</w:t>
            </w:r>
          </w:p>
        </w:tc>
      </w:tr>
      <w:tr w:rsidR="00000000" w14:paraId="44D8CC7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3C2D76"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4. Solution Design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A8F69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Translates requirements into a detailed solution design, incl. configuration, branding, and custom/integration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09AA5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Approved solution design document</w:t>
            </w:r>
          </w:p>
        </w:tc>
      </w:tr>
      <w:tr w:rsidR="00000000" w14:paraId="145A8E1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2974B5"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5. UI &amp; Branding Customization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6F1E6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Applies the client's logo, color palette, themes, and UI text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EEC07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Branded environment reviewed by client</w:t>
            </w:r>
          </w:p>
        </w:tc>
      </w:tr>
      <w:tr w:rsidR="00000000" w14:paraId="7438650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09E1AB"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6.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234AB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Configures organizations, departments, user roles, and platform settings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F72AF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environment ready for build/test</w:t>
            </w:r>
          </w:p>
        </w:tc>
      </w:tr>
      <w:tr w:rsidR="00000000" w14:paraId="70CC1BD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889DD4"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7. Custom Development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1B913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Builds agreed custom features, workflows, or reports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9F354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development complete and reviewed</w:t>
            </w:r>
          </w:p>
        </w:tc>
      </w:tr>
      <w:tr w:rsidR="00000000" w14:paraId="17C181C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54FDA4"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8. Integration Development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93643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Builds and configures agreed integrations (Section 23)</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7800B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functioning against client systems</w:t>
            </w:r>
          </w:p>
        </w:tc>
      </w:tr>
      <w:tr w:rsidR="00000000" w14:paraId="083AD55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9C2912"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9. Internal Testing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E094D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Functional and regression testing across the configured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BA0AB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 results reviewed; defects triaged</w:t>
            </w:r>
          </w:p>
        </w:tc>
      </w:tr>
      <w:tr w:rsidR="00000000" w14:paraId="6469724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16817B"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10. Security Testing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722B9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Security-focused testing against the Section 20 controls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FF2CD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Testing complete; remediation applied</w:t>
            </w:r>
          </w:p>
        </w:tc>
      </w:tr>
      <w:tr w:rsidR="00000000" w14:paraId="0591866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52E796"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11. User Acceptance Testing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8B49B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tests the platform against agreed acceptance criteria (Section 30)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98FF9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sign-off (Milestone M5)</w:t>
            </w:r>
          </w:p>
        </w:tc>
      </w:tr>
      <w:tr w:rsidR="00000000" w14:paraId="6F4E9D0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DE6C72"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12. Data Migration (if required)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F3266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Migrates agreed legacy data into the platform, where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1456B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Migrated data validated against source</w:t>
            </w:r>
          </w:p>
        </w:tc>
      </w:tr>
      <w:tr w:rsidR="00000000" w14:paraId="4548499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EA95B2"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13. Deployment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7D8F3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Deploys the platform to the production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EC7B7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Production environment live and verified</w:t>
            </w:r>
          </w:p>
        </w:tc>
      </w:tr>
      <w:tr w:rsidR="00000000" w14:paraId="656409D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3BC76E"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14.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5E797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quiz-creator, and support-team training (Section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668E0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completed; materials handed over</w:t>
            </w:r>
          </w:p>
        </w:tc>
      </w:tr>
      <w:tr w:rsidR="00000000" w14:paraId="3D0CA15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DA991B"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15. Go-Live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30816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Platform goes live for production use, following successful UAT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E0B85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 checklist completed (Milestone M6)</w:t>
            </w:r>
          </w:p>
        </w:tc>
      </w:tr>
      <w:tr w:rsidR="00000000" w14:paraId="6F0BC08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97832B"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16. 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8FD14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Heightened, close-support monitoring immediately following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5D582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completed; no unresolved critical issues</w:t>
            </w:r>
          </w:p>
        </w:tc>
      </w:tr>
      <w:tr w:rsidR="00000000" w14:paraId="24E48C4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E71979"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17. Transition to Support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C9039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Hands the platform from the project team to ongoing support (Section 31)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9C4A8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handover complete (Milestone M7)</w:t>
            </w:r>
          </w:p>
        </w:tc>
      </w:tr>
    </w:tbl>
    <w:p w14:paraId="6EE6CBE5" w14:textId="77777777" w:rsidR="00A51104" w:rsidRDefault="00A51104">
      <w:pPr>
        <w:pStyle w:val="Heading1"/>
        <w:rPr>
          <w:rFonts w:ascii="Segoe UI" w:eastAsia="Times New Roman" w:hAnsi="Segoe UI" w:cs="Segoe UI"/>
          <w:lang w:val="en"/>
        </w:rPr>
      </w:pPr>
      <w:bookmarkStart w:id="42" w:name="_Toc235441715"/>
      <w:r>
        <w:rPr>
          <w:rFonts w:ascii="Segoe UI" w:eastAsia="Times New Roman" w:hAnsi="Segoe UI" w:cs="Segoe UI"/>
          <w:lang w:val="en"/>
        </w:rPr>
        <w:t>26. Project Timeline</w:t>
      </w:r>
      <w:bookmarkEnd w:id="42"/>
    </w:p>
    <w:p w14:paraId="2729084E"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table below presents a sample timeline of 6–12 weeks, mapped against the phases described in Section 25.</w:t>
      </w:r>
    </w:p>
    <w:tbl>
      <w:tblPr>
        <w:tblW w:w="5000" w:type="pct"/>
        <w:tblCellMar>
          <w:top w:w="15" w:type="dxa"/>
          <w:left w:w="15" w:type="dxa"/>
          <w:bottom w:w="15" w:type="dxa"/>
          <w:right w:w="15" w:type="dxa"/>
        </w:tblCellMar>
        <w:tblLook w:val="04A0" w:firstRow="1" w:lastRow="0" w:firstColumn="1" w:lastColumn="0" w:noHBand="0" w:noVBand="1"/>
      </w:tblPr>
      <w:tblGrid>
        <w:gridCol w:w="1105"/>
        <w:gridCol w:w="8514"/>
      </w:tblGrid>
      <w:tr w:rsidR="00000000" w14:paraId="781D09B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C305267"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Weeks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4D630DB"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Phases</w:t>
            </w:r>
          </w:p>
        </w:tc>
      </w:tr>
      <w:tr w:rsidR="00000000" w14:paraId="3EE4447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0A884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19BFE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Discovery &amp; Requirements Gathering; Technical Assessment; Cybersecurity Review</w:t>
            </w:r>
          </w:p>
        </w:tc>
      </w:tr>
      <w:tr w:rsidR="00000000" w14:paraId="270C1F7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23FFA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W2–4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142CE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UI &amp; Branding Customization</w:t>
            </w:r>
          </w:p>
        </w:tc>
      </w:tr>
      <w:tr w:rsidR="00000000" w14:paraId="13FA1F2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2102B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W3–7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72B79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Configuration; Custom Development; Integration Development</w:t>
            </w:r>
          </w:p>
        </w:tc>
      </w:tr>
      <w:tr w:rsidR="00000000" w14:paraId="7B91585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8917D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639D2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Testing; Security Testing; User Acceptance Testing</w:t>
            </w:r>
          </w:p>
        </w:tc>
      </w:tr>
      <w:tr w:rsidR="00000000" w14:paraId="1AC81C3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F77DD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W9–10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A27DF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Deployment; Training</w:t>
            </w:r>
          </w:p>
        </w:tc>
      </w:tr>
      <w:tr w:rsidR="00000000" w14:paraId="486ADE8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EE500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W10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8005C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w:t>
            </w:r>
          </w:p>
        </w:tc>
      </w:tr>
      <w:tr w:rsidR="00000000" w14:paraId="6C9184D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E82AE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W10–12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C2A06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Transition to Support</w:t>
            </w:r>
          </w:p>
        </w:tc>
      </w:tr>
    </w:tbl>
    <w:p w14:paraId="25A2D127" w14:textId="77777777" w:rsidR="00A51104" w:rsidRDefault="00A51104">
      <w:pPr>
        <w:pStyle w:val="Heading2"/>
        <w:rPr>
          <w:rFonts w:ascii="Segoe UI" w:eastAsia="Times New Roman" w:hAnsi="Segoe UI" w:cs="Segoe UI"/>
          <w:lang w:val="en"/>
        </w:rPr>
      </w:pPr>
      <w:bookmarkStart w:id="43" w:name="_Toc235441716"/>
      <w:r>
        <w:rPr>
          <w:rFonts w:ascii="Segoe UI" w:eastAsia="Times New Roman" w:hAnsi="Segoe UI" w:cs="Segoe UI"/>
          <w:lang w:val="en"/>
        </w:rPr>
        <w:t>26.1 Milestones</w:t>
      </w:r>
      <w:bookmarkEnd w:id="43"/>
    </w:p>
    <w:tbl>
      <w:tblPr>
        <w:tblW w:w="5000" w:type="pct"/>
        <w:tblCellMar>
          <w:top w:w="15" w:type="dxa"/>
          <w:left w:w="15" w:type="dxa"/>
          <w:bottom w:w="15" w:type="dxa"/>
          <w:right w:w="15" w:type="dxa"/>
        </w:tblCellMar>
        <w:tblLook w:val="04A0" w:firstRow="1" w:lastRow="0" w:firstColumn="1" w:lastColumn="0" w:noHBand="0" w:noVBand="1"/>
      </w:tblPr>
      <w:tblGrid>
        <w:gridCol w:w="1125"/>
        <w:gridCol w:w="3063"/>
        <w:gridCol w:w="1932"/>
        <w:gridCol w:w="3499"/>
      </w:tblGrid>
      <w:tr w:rsidR="00000000" w14:paraId="0BB7A37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23E87ED"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Milestone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3F1893B"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42A7945"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Indicative Completion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C7B27EE"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Sign-off by</w:t>
            </w:r>
          </w:p>
        </w:tc>
      </w:tr>
      <w:tr w:rsidR="00000000" w14:paraId="1F5E801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06C31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76AE9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Requirements sign-off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15501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AD7B4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7567597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641E5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ED97E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approval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E827C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4B722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4339D1B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DF606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8312B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Configured &amp; </w:t>
            </w:r>
            <w:r>
              <w:rPr>
                <w:rFonts w:ascii="Segoe UI" w:eastAsia="Times New Roman" w:hAnsi="Segoe UI" w:cs="Segoe UI"/>
                <w:color w:val="1F2933"/>
                <w:sz w:val="19"/>
                <w:szCs w:val="19"/>
              </w:rPr>
              <w:t>branded environment ready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7287A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CB8F0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Project Manager</w:t>
            </w:r>
          </w:p>
        </w:tc>
      </w:tr>
      <w:tr w:rsidR="00000000" w14:paraId="3F6578F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2EFD6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BAFF9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complete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EB90F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25BA3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Technical Lead</w:t>
            </w:r>
          </w:p>
        </w:tc>
      </w:tr>
      <w:tr w:rsidR="00000000" w14:paraId="1179FD6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DE834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5F3C0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sign-off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8F587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W9</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42EC8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7971981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FBD90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C27FC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AC7D4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502A4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Sponsor</w:t>
            </w:r>
          </w:p>
        </w:tc>
      </w:tr>
      <w:tr w:rsidR="00000000" w14:paraId="12902F6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E5799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763C7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exit / support handover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F9A9C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F3BC6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 &amp; Altanfith Project Manager</w:t>
            </w:r>
          </w:p>
        </w:tc>
      </w:tr>
    </w:tbl>
    <w:p w14:paraId="4076ACA0" w14:textId="77777777" w:rsidR="00A51104" w:rsidRDefault="00A51104">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This timeline is indicative only. The actual project timeline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depends on the final agreed scope, the number and complexity of integrations, and the timeliness of client approvals at each milestone.</w:t>
      </w:r>
    </w:p>
    <w:p w14:paraId="23C950CA" w14:textId="77777777" w:rsidR="00A51104" w:rsidRDefault="00A51104">
      <w:pPr>
        <w:pStyle w:val="Heading1"/>
        <w:rPr>
          <w:rFonts w:ascii="Segoe UI" w:eastAsia="Times New Roman" w:hAnsi="Segoe UI" w:cs="Segoe UI"/>
          <w:lang w:val="en"/>
        </w:rPr>
      </w:pPr>
      <w:bookmarkStart w:id="44" w:name="_Toc235441717"/>
      <w:r>
        <w:rPr>
          <w:rFonts w:ascii="Segoe UI" w:eastAsia="Times New Roman" w:hAnsi="Segoe UI" w:cs="Segoe UI"/>
          <w:lang w:val="en"/>
        </w:rPr>
        <w:t>27. Project Governance</w:t>
      </w:r>
      <w:bookmarkEnd w:id="44"/>
    </w:p>
    <w:p w14:paraId="7D2D26FA"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engagement is governed through a clearly defined set of roles and a regular reporting cadence, so that progress, issues, and decisions are visible to both parties throughout delivery.</w:t>
      </w:r>
    </w:p>
    <w:tbl>
      <w:tblPr>
        <w:tblW w:w="5000" w:type="pct"/>
        <w:tblCellMar>
          <w:top w:w="15" w:type="dxa"/>
          <w:left w:w="15" w:type="dxa"/>
          <w:bottom w:w="15" w:type="dxa"/>
          <w:right w:w="15" w:type="dxa"/>
        </w:tblCellMar>
        <w:tblLook w:val="04A0" w:firstRow="1" w:lastRow="0" w:firstColumn="1" w:lastColumn="0" w:noHBand="0" w:noVBand="1"/>
      </w:tblPr>
      <w:tblGrid>
        <w:gridCol w:w="3026"/>
        <w:gridCol w:w="6593"/>
      </w:tblGrid>
      <w:tr w:rsidR="00000000" w14:paraId="4224396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83D3D9B"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07135A7"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Responsibility</w:t>
            </w:r>
          </w:p>
        </w:tc>
      </w:tr>
      <w:tr w:rsidR="00000000" w14:paraId="09DA379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BB40C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Sponsor (client)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B188C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Owns the business case and provides executive-level decisions and escalation support</w:t>
            </w:r>
          </w:p>
        </w:tc>
      </w:tr>
      <w:tr w:rsidR="00000000" w14:paraId="2B36E17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940DF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Client Project Manager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E7F88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Coordinates client-side stakeholders, approvals, and resourcing</w:t>
            </w:r>
          </w:p>
        </w:tc>
      </w:tr>
      <w:tr w:rsidR="00000000" w14:paraId="23FDB4C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74341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Project Manager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FF80D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Coordinates delivery, reporting, and issue/risk management on behalf of Altanfith</w:t>
            </w:r>
          </w:p>
        </w:tc>
      </w:tr>
      <w:tr w:rsidR="00000000" w14:paraId="06A44EC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0C405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Technical Lead (Altanfith)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0DC0A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Owns technical design, development, and integration decisions</w:t>
            </w:r>
          </w:p>
        </w:tc>
      </w:tr>
      <w:tr w:rsidR="00000000" w14:paraId="69B620E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6E59F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Cybersecurity Representative (client)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7F463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Reviews and approves the security architecture and controls</w:t>
            </w:r>
          </w:p>
        </w:tc>
      </w:tr>
      <w:tr w:rsidR="00000000" w14:paraId="74B1D65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19CF5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Business Owner (client)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33C24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Confirms functional requirements and acceptance criteria on behalf of the business</w:t>
            </w:r>
          </w:p>
        </w:tc>
      </w:tr>
    </w:tbl>
    <w:p w14:paraId="6577D33D"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Governance is supported by a consistent set of cadence and mechanics: weekly status meetings; regular progress reporting; a maintained issue log and risk log; a formal change-request management process for scope changes; an escalation process running from project manager to project sponsors; and a documented sign-off process at each milestone described in Section 26.</w:t>
      </w:r>
    </w:p>
    <w:p w14:paraId="40EFC811" w14:textId="77777777" w:rsidR="00A51104" w:rsidRDefault="00A51104">
      <w:pPr>
        <w:pStyle w:val="Heading1"/>
        <w:rPr>
          <w:rFonts w:ascii="Segoe UI" w:eastAsia="Times New Roman" w:hAnsi="Segoe UI" w:cs="Segoe UI"/>
          <w:lang w:val="en"/>
        </w:rPr>
      </w:pPr>
      <w:bookmarkStart w:id="45" w:name="_Toc235441718"/>
      <w:r>
        <w:rPr>
          <w:rFonts w:ascii="Segoe UI" w:eastAsia="Times New Roman" w:hAnsi="Segoe UI" w:cs="Segoe UI"/>
          <w:lang w:val="en"/>
        </w:rPr>
        <w:t>28. Deliverables</w:t>
      </w:r>
      <w:bookmarkEnd w:id="45"/>
    </w:p>
    <w:p w14:paraId="49DB0626"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The table below lists the deliverables produced over the course of the engagement.</w:t>
      </w:r>
    </w:p>
    <w:tbl>
      <w:tblPr>
        <w:tblW w:w="5000" w:type="pct"/>
        <w:tblCellMar>
          <w:top w:w="15" w:type="dxa"/>
          <w:left w:w="15" w:type="dxa"/>
          <w:bottom w:w="15" w:type="dxa"/>
          <w:right w:w="15" w:type="dxa"/>
        </w:tblCellMar>
        <w:tblLook w:val="04A0" w:firstRow="1" w:lastRow="0" w:firstColumn="1" w:lastColumn="0" w:noHBand="0" w:noVBand="1"/>
      </w:tblPr>
      <w:tblGrid>
        <w:gridCol w:w="2186"/>
        <w:gridCol w:w="4719"/>
        <w:gridCol w:w="2714"/>
      </w:tblGrid>
      <w:tr w:rsidR="00000000" w14:paraId="7956063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287AEB4"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Deliverable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A46137E"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D66BC63"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Included?</w:t>
            </w:r>
          </w:p>
        </w:tc>
      </w:tr>
      <w:tr w:rsidR="00000000" w14:paraId="0034FDE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396D8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Requirements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2BD67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Documented, agreed functional and non-functional requirements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D082C1"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645451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FE68C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document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077C6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Detailed design of the configured and/or customized solution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3C7444"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E86753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78953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02381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configured per the agreed solution design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2F095A"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5D07F6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4CCA8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Customized UI</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02895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Branding and UI customization applied per Section 25, Phase 5</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5AADF6"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602EA4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B52FE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Deployed frontend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FB3FF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React frontend deployed to the agreed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D24737"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892EED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E3D70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Deployed Express backend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BD0AF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Express.js API and WebSocket server deployed to the agreed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5ACDB7"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BFE2EC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E0EC8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 setup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DF6CC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 configured and provisioned per the solution design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5E12A5"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6650FB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55D5F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FE7C1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 controls configured per the client-approved security architecture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EB2E8A"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D54FFC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19BAE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roles configured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24EAD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configured per the agreed role model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5224A7"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48E6C2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E41D7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account setup</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4C8C8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Initial administrator accounts provisioned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B8908E"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466DFD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D8FD5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7B201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and analytics configured per Section 16</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8BAC8A"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3D23C2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A6B77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D9211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Materials used in the training described in Section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D6D5BA"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B2301A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5985B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manual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6AD0F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End-user reference documentation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E02CC9"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F52966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03F77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manual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39F4E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reference documentation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757692"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829E23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60E5A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Deployment guide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580C2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Documentation of the deployed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D6A94D"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9D2C30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D8198C"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 guide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58C0D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Documentation of backup procedures for the deployed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EBB02E"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B35368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8FE59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handover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679EB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Formal handover to the ongoing support team (Phase 17)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4153B6"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A30DBA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7A72F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plan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9A8E4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Agreed User Acceptance Testing plan and criteria (Section 30)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5049ED"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09A89D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680F6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 report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23CBE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of internal, security, and acceptance testing outcomes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52C69E"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080EAF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A6F34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 checklist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CF62B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Checklist confirming readiness for production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0A558D" w14:textId="77777777" w:rsidR="00A51104" w:rsidRDefault="00A51104">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1603C1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C329C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Source code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2575C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Provided only where included in the selected commercial model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23402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Only if included in the commercial model</w:t>
            </w:r>
          </w:p>
        </w:tc>
      </w:tr>
      <w:tr w:rsidR="00000000" w14:paraId="222AE03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EDC268"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 documentation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47BC1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Provided where included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06991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If included</w:t>
            </w:r>
          </w:p>
        </w:tc>
      </w:tr>
    </w:tbl>
    <w:p w14:paraId="61E7886C" w14:textId="77777777" w:rsidR="00A51104" w:rsidRDefault="00A51104">
      <w:pPr>
        <w:pStyle w:val="Heading1"/>
        <w:rPr>
          <w:rFonts w:ascii="Segoe UI" w:eastAsia="Times New Roman" w:hAnsi="Segoe UI" w:cs="Segoe UI"/>
          <w:lang w:val="en"/>
        </w:rPr>
      </w:pPr>
      <w:bookmarkStart w:id="46" w:name="_Toc235441719"/>
      <w:r>
        <w:rPr>
          <w:rFonts w:ascii="Segoe UI" w:eastAsia="Times New Roman" w:hAnsi="Segoe UI" w:cs="Segoe UI"/>
          <w:lang w:val="en"/>
        </w:rPr>
        <w:t>29. Training and Knowledge Transfer</w:t>
      </w:r>
      <w:bookmarkEnd w:id="46"/>
    </w:p>
    <w:p w14:paraId="0A698229"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Training is provided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own team can operate, administer, and support the platform confidently after go-live.</w:t>
      </w:r>
    </w:p>
    <w:tbl>
      <w:tblPr>
        <w:tblW w:w="5000" w:type="pct"/>
        <w:tblCellMar>
          <w:top w:w="15" w:type="dxa"/>
          <w:left w:w="15" w:type="dxa"/>
          <w:bottom w:w="15" w:type="dxa"/>
          <w:right w:w="15" w:type="dxa"/>
        </w:tblCellMar>
        <w:tblLook w:val="04A0" w:firstRow="1" w:lastRow="0" w:firstColumn="1" w:lastColumn="0" w:noHBand="0" w:noVBand="1"/>
      </w:tblPr>
      <w:tblGrid>
        <w:gridCol w:w="2984"/>
        <w:gridCol w:w="5617"/>
        <w:gridCol w:w="1018"/>
      </w:tblGrid>
      <w:tr w:rsidR="00000000" w14:paraId="6808145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CB31A17"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Training 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DFCAADD"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133B733"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4466E37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012E5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5B863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administrators on platform configuration and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37BD53"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6D6BCA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31C6B7"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Quiz-creator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A13CF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staff authoring quizzes and question banks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AB9097"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900160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11588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Support-team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7DC31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the client's internal support or IT team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B1AB29"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03251E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59744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manuals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CF16BF"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Reference documentation for end users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A86B8A"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DFC284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7D747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Quick-start guide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EA001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Condensed getting-started reference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12BD7D" w14:textId="77777777" w:rsidR="00A51104" w:rsidRDefault="00A51104">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A3861D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A2B4D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Recorded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FF7B29"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Recorded training sessions for later reference or onboarding new staff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24A771"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6020E7E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0E02A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Train-the-trainer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892F3D"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Enables client-side trainers to deliver ongoing internal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E61E2F"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423B18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6DB2A1"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 and English 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6AB44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Bilingual 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9340A5" w14:textId="77777777" w:rsidR="00A51104" w:rsidRDefault="00A51104">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385ECC6E" w14:textId="77777777" w:rsidR="00A51104" w:rsidRDefault="00A51104">
      <w:pPr>
        <w:pStyle w:val="Heading1"/>
        <w:rPr>
          <w:rFonts w:ascii="Segoe UI" w:eastAsia="Times New Roman" w:hAnsi="Segoe UI" w:cs="Segoe UI"/>
          <w:lang w:val="en"/>
        </w:rPr>
      </w:pPr>
      <w:bookmarkStart w:id="47" w:name="_Toc235441720"/>
      <w:r>
        <w:rPr>
          <w:rFonts w:ascii="Segoe UI" w:eastAsia="Times New Roman" w:hAnsi="Segoe UI" w:cs="Segoe UI"/>
          <w:lang w:val="en"/>
        </w:rPr>
        <w:t>30. Testing and Acceptance</w:t>
      </w:r>
      <w:bookmarkEnd w:id="47"/>
    </w:p>
    <w:p w14:paraId="27D574E0"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passes through three layers of testing before it is accepted for production go-live. Altanfith performs internal functional and regression testing (Phase 9) across the configured environment, followed by security-focused testing (Phase 10) against the controls described in Section 20, ahead of client security review and sign-off. User Acceptance Testing (Phase 11) is then carried out </w:t>
      </w:r>
      <w:r>
        <w:rPr>
          <w:rFonts w:ascii="Segoe UI" w:hAnsi="Segoe UI" w:cs="Segoe UI"/>
          <w:color w:val="1F2933"/>
          <w:sz w:val="21"/>
          <w:szCs w:val="21"/>
          <w:lang w:val="en"/>
        </w:rPr>
        <w:lastRenderedPageBreak/>
        <w:t xml:space="preserve">against a client-approved UAT plan and agreed acceptance criteria,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 not Altanfith alone — confirms that the configured platform meets its requirements before go-live.</w:t>
      </w:r>
    </w:p>
    <w:p w14:paraId="42F171D8"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Any defects identified during internal, security, or acceptance testing are triaged using the same four-level severity model used for support (Section 32): Critical, High, Medium, and Low. UAT sign-off is Milestone M5 in the project timeline (Section 26), and it gates go-live: production rollout depends on successful UAT.</w:t>
      </w:r>
    </w:p>
    <w:p w14:paraId="43A93559" w14:textId="77777777" w:rsidR="00A51104" w:rsidRDefault="00A51104">
      <w:pPr>
        <w:pStyle w:val="Heading1"/>
        <w:rPr>
          <w:rFonts w:ascii="Segoe UI" w:eastAsia="Times New Roman" w:hAnsi="Segoe UI" w:cs="Segoe UI"/>
          <w:lang w:val="en"/>
        </w:rPr>
      </w:pPr>
      <w:bookmarkStart w:id="48" w:name="_Toc235441721"/>
      <w:r>
        <w:rPr>
          <w:rFonts w:ascii="Segoe UI" w:eastAsia="Times New Roman" w:hAnsi="Segoe UI" w:cs="Segoe UI"/>
          <w:lang w:val="en"/>
        </w:rPr>
        <w:t>31. Support and Maintenance</w:t>
      </w:r>
      <w:bookmarkEnd w:id="48"/>
    </w:p>
    <w:p w14:paraId="4D7074EB"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Ongoing support is delivered under one of three packages,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level of coverage and responsiveness that matches its operational needs.</w:t>
      </w:r>
    </w:p>
    <w:tbl>
      <w:tblPr>
        <w:tblW w:w="5000" w:type="pct"/>
        <w:tblCellMar>
          <w:top w:w="15" w:type="dxa"/>
          <w:left w:w="15" w:type="dxa"/>
          <w:bottom w:w="15" w:type="dxa"/>
          <w:right w:w="15" w:type="dxa"/>
        </w:tblCellMar>
        <w:tblLook w:val="04A0" w:firstRow="1" w:lastRow="0" w:firstColumn="1" w:lastColumn="0" w:noHBand="0" w:noVBand="1"/>
      </w:tblPr>
      <w:tblGrid>
        <w:gridCol w:w="980"/>
        <w:gridCol w:w="8639"/>
      </w:tblGrid>
      <w:tr w:rsidR="00000000" w14:paraId="2DF57BA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E423030"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Package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C3F92F3"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Includes</w:t>
            </w:r>
          </w:p>
        </w:tc>
      </w:tr>
      <w:tr w:rsidR="00000000" w14:paraId="6F3E175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965804"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Bronze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BB65D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Oman business-hours support; email support; bug fixes; standard updates; best-effort response</w:t>
            </w:r>
          </w:p>
        </w:tc>
      </w:tr>
      <w:tr w:rsidR="00000000" w14:paraId="0F84A9F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12F7BE"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Silver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B70D4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Everything in Bronze, plus: priority support; faster response times; monthly system health review; performance optimization; minor improvements; remote assistance</w:t>
            </w:r>
          </w:p>
        </w:tc>
      </w:tr>
      <w:tr w:rsidR="00000000" w14:paraId="2773D02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7A4944"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Gold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59A74B"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Everything in Silver, plus: critical incident support; dedicated support contact; priority issue resolution; proactive monitoring; security monitoring; quarterly service review; emergency support; 24/7 support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 dedicated development allocation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w:t>
            </w:r>
          </w:p>
        </w:tc>
      </w:tr>
    </w:tbl>
    <w:p w14:paraId="2105FF5A" w14:textId="77777777" w:rsidR="00A51104" w:rsidRDefault="00A51104">
      <w:pPr>
        <w:pStyle w:val="Heading1"/>
        <w:rPr>
          <w:rFonts w:ascii="Segoe UI" w:eastAsia="Times New Roman" w:hAnsi="Segoe UI" w:cs="Segoe UI"/>
          <w:lang w:val="en"/>
        </w:rPr>
      </w:pPr>
      <w:bookmarkStart w:id="49" w:name="_Toc235441722"/>
      <w:r>
        <w:rPr>
          <w:rFonts w:ascii="Segoe UI" w:eastAsia="Times New Roman" w:hAnsi="Segoe UI" w:cs="Segoe UI"/>
          <w:lang w:val="en"/>
        </w:rPr>
        <w:t>32. SLA</w:t>
      </w:r>
      <w:bookmarkEnd w:id="49"/>
    </w:p>
    <w:p w14:paraId="7E21F197" w14:textId="77777777" w:rsidR="00A51104" w:rsidRDefault="00A51104">
      <w:pPr>
        <w:pStyle w:val="NormalWeb"/>
        <w:rPr>
          <w:rFonts w:ascii="Segoe UI" w:hAnsi="Segoe UI" w:cs="Segoe UI"/>
          <w:color w:val="1F2933"/>
          <w:sz w:val="21"/>
          <w:szCs w:val="21"/>
          <w:lang w:val="en"/>
        </w:rPr>
      </w:pPr>
      <w:r>
        <w:rPr>
          <w:rFonts w:ascii="Segoe UI" w:hAnsi="Segoe UI" w:cs="Segoe UI"/>
          <w:color w:val="1F2933"/>
          <w:sz w:val="21"/>
          <w:szCs w:val="21"/>
          <w:lang w:val="en"/>
        </w:rPr>
        <w:t>Service levels are defined by severity, with response time and target resolution time tracked as two separate measures — response confirms that an issue has been received and is being actioned; resolution is the target time to resolve it, and is not a guarantee.</w:t>
      </w:r>
    </w:p>
    <w:tbl>
      <w:tblPr>
        <w:tblW w:w="5000" w:type="pct"/>
        <w:tblCellMar>
          <w:top w:w="15" w:type="dxa"/>
          <w:left w:w="15" w:type="dxa"/>
          <w:bottom w:w="15" w:type="dxa"/>
          <w:right w:w="15" w:type="dxa"/>
        </w:tblCellMar>
        <w:tblLook w:val="04A0" w:firstRow="1" w:lastRow="0" w:firstColumn="1" w:lastColumn="0" w:noHBand="0" w:noVBand="1"/>
      </w:tblPr>
      <w:tblGrid>
        <w:gridCol w:w="1330"/>
        <w:gridCol w:w="4271"/>
        <w:gridCol w:w="1711"/>
        <w:gridCol w:w="2307"/>
      </w:tblGrid>
      <w:tr w:rsidR="00000000" w14:paraId="6E1D4AA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73E1C26"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Severity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CAC608"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Definition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21BEDDC"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Response Time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480D94D" w14:textId="77777777" w:rsidR="00A51104" w:rsidRDefault="00A51104">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Target Resolution Time</w:t>
            </w:r>
          </w:p>
        </w:tc>
      </w:tr>
      <w:tr w:rsidR="00000000" w14:paraId="6EDAEB5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C57674"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 Critical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5E2A2A"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Platform down / live session blocked for all users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8467FE"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967A33"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069321E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834956"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 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A15543"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Major function degraded, no workaround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50D032"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4FD45E"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4E69D7E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89134E"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 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B67680"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Limited impact, workaround exists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ECB3D7"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BC0072"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23AEA55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8B8AA2"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4 — Low</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525605" w14:textId="77777777" w:rsidR="00A51104" w:rsidRDefault="00A51104">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Cosmetic / question / minor request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BAF09B"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AD4EA3" w14:textId="77777777" w:rsidR="00A51104" w:rsidRDefault="00A51104">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bl>
    <w:p w14:paraId="7E0B0566" w14:textId="77777777" w:rsidR="00A51104" w:rsidRDefault="00A51104">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Response and target resolution times are separate measures: response time confirms an issue has been received and triaged; target resolution time is a goal, dependent on the agreed SLA, and is not a guaranteed outcome. Actual values depend on the support package selected (Section 31) and the SLA agreed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24/7 coverage applies only where the Gold 24/7 option has been purchased.</w:t>
      </w:r>
    </w:p>
    <w:sectPr w:rsidR="00A51104" w:rsidSect="0005785F">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BC354" w14:textId="77777777" w:rsidR="00A51104" w:rsidRDefault="00A51104" w:rsidP="0005785F">
      <w:r>
        <w:separator/>
      </w:r>
    </w:p>
  </w:endnote>
  <w:endnote w:type="continuationSeparator" w:id="0">
    <w:p w14:paraId="60589BEC" w14:textId="77777777" w:rsidR="00A51104" w:rsidRDefault="00A51104" w:rsidP="000578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4AD34" w14:textId="77777777" w:rsidR="0005785F" w:rsidRDefault="000578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48E51" w14:textId="4A06AC8B" w:rsidR="0005785F" w:rsidRPr="0005785F" w:rsidRDefault="0005785F" w:rsidP="0005785F">
    <w:pPr>
      <w:pStyle w:val="Footer"/>
      <w:jc w:val="center"/>
      <w:rPr>
        <w:color w:val="5A6B7A"/>
        <w:sz w:val="16"/>
      </w:rPr>
    </w:pPr>
    <w:r w:rsidRPr="0005785F">
      <w:rPr>
        <w:color w:val="5A6B7A"/>
        <w:sz w:val="16"/>
      </w:rPr>
      <w:t xml:space="preserve">Altanfith Aldwaliah SPC  |  Confidential  |  Page </w:t>
    </w:r>
    <w:r w:rsidRPr="0005785F">
      <w:rPr>
        <w:color w:val="5A6B7A"/>
        <w:sz w:val="16"/>
      </w:rPr>
      <w:fldChar w:fldCharType="begin"/>
    </w:r>
    <w:r w:rsidRPr="0005785F">
      <w:rPr>
        <w:color w:val="5A6B7A"/>
        <w:sz w:val="16"/>
      </w:rPr>
      <w:instrText xml:space="preserve"> PAGE  \* MERGEFORMAT </w:instrText>
    </w:r>
    <w:r w:rsidRPr="0005785F">
      <w:rPr>
        <w:color w:val="5A6B7A"/>
        <w:sz w:val="16"/>
      </w:rPr>
      <w:fldChar w:fldCharType="separate"/>
    </w:r>
    <w:r w:rsidRPr="0005785F">
      <w:rPr>
        <w:noProof/>
        <w:color w:val="5A6B7A"/>
        <w:sz w:val="16"/>
      </w:rPr>
      <w:t>1</w:t>
    </w:r>
    <w:r w:rsidRPr="0005785F">
      <w:rPr>
        <w:color w:val="5A6B7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8FB0C" w14:textId="77777777" w:rsidR="0005785F" w:rsidRDefault="000578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60B6C" w14:textId="77777777" w:rsidR="00A51104" w:rsidRDefault="00A51104" w:rsidP="0005785F">
      <w:r>
        <w:separator/>
      </w:r>
    </w:p>
  </w:footnote>
  <w:footnote w:type="continuationSeparator" w:id="0">
    <w:p w14:paraId="36D04F45" w14:textId="77777777" w:rsidR="00A51104" w:rsidRDefault="00A51104" w:rsidP="000578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3EAB8" w14:textId="77777777" w:rsidR="0005785F" w:rsidRDefault="000578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2CB55" w14:textId="77777777" w:rsidR="0005785F" w:rsidRDefault="0005785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A92C3" w14:textId="77777777" w:rsidR="0005785F" w:rsidRDefault="000578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85977"/>
    <w:multiLevelType w:val="multilevel"/>
    <w:tmpl w:val="05EC8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E92725E"/>
    <w:multiLevelType w:val="multilevel"/>
    <w:tmpl w:val="A3C0A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1951525">
    <w:abstractNumId w:val="1"/>
  </w:num>
  <w:num w:numId="2" w16cid:durableId="249200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5785F"/>
    <w:rsid w:val="0005785F"/>
    <w:rsid w:val="00A51104"/>
    <w:rsid w:val="00F321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34A5BB"/>
  <w15:chartTrackingRefBased/>
  <w15:docId w15:val="{80460E11-2CC4-4EFA-B05F-47E73DCB2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8" w:space="4" w:color="0FA3A3"/>
      </w:pBdr>
      <w:spacing w:before="400" w:after="100" w:afterAutospacing="1"/>
      <w:outlineLvl w:val="0"/>
    </w:pPr>
    <w:rPr>
      <w:b/>
      <w:bCs/>
      <w:color w:val="0B2239"/>
      <w:kern w:val="36"/>
      <w:sz w:val="36"/>
      <w:szCs w:val="36"/>
    </w:rPr>
  </w:style>
  <w:style w:type="paragraph" w:styleId="Heading2">
    <w:name w:val="heading 2"/>
    <w:basedOn w:val="Normal"/>
    <w:link w:val="Heading2Char"/>
    <w:uiPriority w:val="9"/>
    <w:qFormat/>
    <w:pPr>
      <w:spacing w:before="280" w:after="100" w:afterAutospacing="1"/>
      <w:outlineLvl w:val="1"/>
    </w:pPr>
    <w:rPr>
      <w:b/>
      <w:bCs/>
      <w:color w:val="0B2239"/>
      <w:sz w:val="26"/>
      <w:szCs w:val="26"/>
    </w:rPr>
  </w:style>
  <w:style w:type="paragraph" w:styleId="Heading3">
    <w:name w:val="heading 3"/>
    <w:basedOn w:val="Normal"/>
    <w:link w:val="Heading3Char"/>
    <w:uiPriority w:val="9"/>
    <w:qFormat/>
    <w:pPr>
      <w:spacing w:before="100" w:beforeAutospacing="1" w:after="100" w:afterAutospacing="1"/>
      <w:outlineLvl w:val="2"/>
    </w:pPr>
    <w:rPr>
      <w:b/>
      <w:bCs/>
      <w:color w:val="155E6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pb">
    <w:name w:val="pb"/>
    <w:basedOn w:val="Normal"/>
    <w:pPr>
      <w:pageBreakBefore/>
      <w:spacing w:before="100" w:beforeAutospacing="1" w:after="100" w:afterAutospacing="1"/>
    </w:pPr>
  </w:style>
  <w:style w:type="paragraph" w:customStyle="1" w:styleId="tag">
    <w:name w:val="tag"/>
    <w:basedOn w:val="Normal"/>
    <w:pPr>
      <w:spacing w:before="100" w:beforeAutospacing="1" w:after="100" w:afterAutospacing="1"/>
    </w:pPr>
    <w:rPr>
      <w:color w:val="0FA3A3"/>
    </w:rPr>
  </w:style>
  <w:style w:type="paragraph" w:customStyle="1" w:styleId="notice">
    <w:name w:val="notice"/>
    <w:basedOn w:val="Normal"/>
    <w:pPr>
      <w:pBdr>
        <w:left w:val="single" w:sz="24" w:space="10" w:color="0FA3A3"/>
      </w:pBdr>
      <w:shd w:val="clear" w:color="auto" w:fill="F2F4F7"/>
      <w:spacing w:before="100" w:beforeAutospacing="1" w:after="100" w:afterAutospacing="1"/>
    </w:pPr>
  </w:style>
  <w:style w:type="paragraph" w:customStyle="1" w:styleId="muted">
    <w:name w:val="muted"/>
    <w:basedOn w:val="Normal"/>
    <w:pPr>
      <w:spacing w:before="100" w:beforeAutospacing="1" w:after="100" w:afterAutospacing="1"/>
    </w:pPr>
    <w:rPr>
      <w:color w:val="5A6B7A"/>
      <w:sz w:val="18"/>
      <w:szCs w:val="18"/>
    </w:rPr>
  </w:style>
  <w:style w:type="paragraph" w:customStyle="1" w:styleId="badge-inc">
    <w:name w:val="badge-inc"/>
    <w:basedOn w:val="Normal"/>
    <w:pPr>
      <w:spacing w:before="100" w:beforeAutospacing="1" w:after="100" w:afterAutospacing="1"/>
    </w:pPr>
    <w:rPr>
      <w:b/>
      <w:bCs/>
      <w:color w:val="155E63"/>
    </w:rPr>
  </w:style>
  <w:style w:type="paragraph" w:customStyle="1" w:styleId="badge-opt">
    <w:name w:val="badge-opt"/>
    <w:basedOn w:val="Normal"/>
    <w:pPr>
      <w:spacing w:before="100" w:beforeAutospacing="1" w:after="100" w:afterAutospacing="1"/>
    </w:pPr>
    <w:rPr>
      <w:b/>
      <w:bCs/>
      <w:color w:val="8A6D1D"/>
    </w:rPr>
  </w:style>
  <w:style w:type="paragraph" w:customStyle="1" w:styleId="badge-fut">
    <w:name w:val="badge-fut"/>
    <w:basedOn w:val="Normal"/>
    <w:pPr>
      <w:spacing w:before="100" w:beforeAutospacing="1" w:after="100" w:afterAutospacing="1"/>
    </w:pPr>
    <w:rPr>
      <w:b/>
      <w:bCs/>
      <w:color w:val="5A6B7A"/>
    </w:rPr>
  </w:style>
  <w:style w:type="paragraph" w:customStyle="1" w:styleId="badge-tbc">
    <w:name w:val="badge-tbc"/>
    <w:basedOn w:val="Normal"/>
    <w:pPr>
      <w:spacing w:before="100" w:beforeAutospacing="1" w:after="100" w:afterAutospacing="1"/>
    </w:pPr>
    <w:rPr>
      <w:b/>
      <w:bCs/>
      <w:color w:val="8C2F2F"/>
    </w:rPr>
  </w:style>
  <w:style w:type="character" w:styleId="Strong">
    <w:name w:val="Strong"/>
    <w:basedOn w:val="DefaultParagraphFont"/>
    <w:uiPriority w:val="22"/>
    <w:qFormat/>
    <w:rPr>
      <w:b/>
      <w:bCs/>
    </w:rPr>
  </w:style>
  <w:style w:type="character" w:customStyle="1" w:styleId="muted1">
    <w:name w:val="muted1"/>
    <w:basedOn w:val="DefaultParagraphFont"/>
    <w:rPr>
      <w:color w:val="5A6B7A"/>
      <w:sz w:val="18"/>
      <w:szCs w:val="18"/>
    </w:rPr>
  </w:style>
  <w:style w:type="character" w:customStyle="1" w:styleId="badge-inc1">
    <w:name w:val="badge-inc1"/>
    <w:basedOn w:val="DefaultParagraphFont"/>
    <w:rPr>
      <w:b/>
      <w:bCs/>
      <w:color w:val="155E63"/>
    </w:rPr>
  </w:style>
  <w:style w:type="character" w:customStyle="1" w:styleId="badge-opt1">
    <w:name w:val="badge-opt1"/>
    <w:basedOn w:val="DefaultParagraphFont"/>
    <w:rPr>
      <w:b/>
      <w:bCs/>
      <w:color w:val="8A6D1D"/>
    </w:rPr>
  </w:style>
  <w:style w:type="character" w:customStyle="1" w:styleId="badge-fut1">
    <w:name w:val="badge-fut1"/>
    <w:basedOn w:val="DefaultParagraphFont"/>
    <w:rPr>
      <w:b/>
      <w:bCs/>
      <w:color w:val="5A6B7A"/>
    </w:rPr>
  </w:style>
  <w:style w:type="paragraph" w:styleId="Header">
    <w:name w:val="header"/>
    <w:basedOn w:val="Normal"/>
    <w:link w:val="HeaderChar"/>
    <w:uiPriority w:val="99"/>
    <w:unhideWhenUsed/>
    <w:rsid w:val="0005785F"/>
    <w:pPr>
      <w:tabs>
        <w:tab w:val="center" w:pos="4680"/>
        <w:tab w:val="right" w:pos="9360"/>
      </w:tabs>
    </w:pPr>
  </w:style>
  <w:style w:type="character" w:customStyle="1" w:styleId="HeaderChar">
    <w:name w:val="Header Char"/>
    <w:basedOn w:val="DefaultParagraphFont"/>
    <w:link w:val="Header"/>
    <w:uiPriority w:val="99"/>
    <w:rsid w:val="0005785F"/>
    <w:rPr>
      <w:rFonts w:eastAsiaTheme="minorEastAsia"/>
      <w:sz w:val="24"/>
      <w:szCs w:val="24"/>
    </w:rPr>
  </w:style>
  <w:style w:type="paragraph" w:styleId="Footer">
    <w:name w:val="footer"/>
    <w:basedOn w:val="Normal"/>
    <w:link w:val="FooterChar"/>
    <w:uiPriority w:val="99"/>
    <w:unhideWhenUsed/>
    <w:rsid w:val="0005785F"/>
    <w:pPr>
      <w:tabs>
        <w:tab w:val="center" w:pos="4680"/>
        <w:tab w:val="right" w:pos="9360"/>
      </w:tabs>
    </w:pPr>
  </w:style>
  <w:style w:type="character" w:customStyle="1" w:styleId="FooterChar">
    <w:name w:val="Footer Char"/>
    <w:basedOn w:val="DefaultParagraphFont"/>
    <w:link w:val="Footer"/>
    <w:uiPriority w:val="99"/>
    <w:rsid w:val="0005785F"/>
    <w:rPr>
      <w:rFonts w:eastAsiaTheme="minorEastAsia"/>
      <w:sz w:val="24"/>
      <w:szCs w:val="24"/>
    </w:rPr>
  </w:style>
  <w:style w:type="paragraph" w:styleId="TOC1">
    <w:name w:val="toc 1"/>
    <w:basedOn w:val="Normal"/>
    <w:next w:val="Normal"/>
    <w:autoRedefine/>
    <w:uiPriority w:val="39"/>
    <w:unhideWhenUsed/>
    <w:rsid w:val="0005785F"/>
    <w:pPr>
      <w:spacing w:after="100"/>
    </w:pPr>
  </w:style>
  <w:style w:type="paragraph" w:styleId="TOC2">
    <w:name w:val="toc 2"/>
    <w:basedOn w:val="Normal"/>
    <w:next w:val="Normal"/>
    <w:autoRedefine/>
    <w:uiPriority w:val="39"/>
    <w:unhideWhenUsed/>
    <w:rsid w:val="0005785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3925589">
      <w:marLeft w:val="0"/>
      <w:marRight w:val="0"/>
      <w:marTop w:val="0"/>
      <w:marBottom w:val="0"/>
      <w:divBdr>
        <w:top w:val="none" w:sz="0" w:space="0" w:color="auto"/>
        <w:left w:val="single" w:sz="24" w:space="10" w:color="0FA3A3"/>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8090</Words>
  <Characters>50012</Characters>
  <Application>Microsoft Office Word</Application>
  <DocSecurity>0</DocSecurity>
  <Lines>1503</Lines>
  <Paragraphs>982</Paragraphs>
  <ScaleCrop>false</ScaleCrop>
  <Company/>
  <LinksUpToDate>false</LinksUpToDate>
  <CharactersWithSpaces>57172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Quiz Platform — Technical &amp; Commercial Proposal</dc:title>
  <dc:subject/>
  <dc:creator>Haitham Al Lamki</dc:creator>
  <cp:keywords/>
  <dc:description/>
  <cp:lastModifiedBy>Haitham Al Lamki</cp:lastModifiedBy>
  <cp:revision>2</cp:revision>
  <dcterms:created xsi:type="dcterms:W3CDTF">2026-07-20T08:06:00Z</dcterms:created>
  <dcterms:modified xsi:type="dcterms:W3CDTF">2026-07-20T08:06:00Z</dcterms:modified>
</cp:coreProperties>
</file>