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3B5BAB87"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0B65447E" w14:textId="77777777" w:rsidR="00432B49" w:rsidRDefault="00432B49">
            <w:pPr>
              <w:pStyle w:val="NormalWeb"/>
              <w:rPr>
                <w:rFonts w:ascii="Segoe UI" w:hAnsi="Segoe UI" w:cs="Segoe UI"/>
                <w:color w:val="FFFFFF"/>
                <w:spacing w:val="20"/>
              </w:rPr>
            </w:pPr>
            <w:r>
              <w:rPr>
                <w:rFonts w:ascii="Segoe UI" w:hAnsi="Segoe UI" w:cs="Segoe UI"/>
                <w:color w:val="FFFFFF"/>
                <w:spacing w:val="20"/>
              </w:rPr>
              <w:t>AL TANFITH AL DWALIAH SPC</w:t>
            </w:r>
          </w:p>
          <w:p w14:paraId="4701492D" w14:textId="77777777" w:rsidR="00432B49" w:rsidRDefault="00432B49">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17610E0E" w14:textId="77777777" w:rsidR="00432B49" w:rsidRDefault="00432B49">
            <w:pPr>
              <w:pStyle w:val="NormalWeb"/>
              <w:spacing w:before="0"/>
              <w:rPr>
                <w:rFonts w:ascii="Segoe UI" w:hAnsi="Segoe UI" w:cs="Segoe UI"/>
                <w:color w:val="FFFFFF"/>
                <w:sz w:val="30"/>
                <w:szCs w:val="30"/>
              </w:rPr>
            </w:pPr>
            <w:r>
              <w:rPr>
                <w:rFonts w:ascii="Segoe UI" w:hAnsi="Segoe UI" w:cs="Segoe UI"/>
                <w:color w:val="FFFFFF"/>
                <w:sz w:val="30"/>
                <w:szCs w:val="30"/>
              </w:rPr>
              <w:t>Commercial Quotation</w:t>
            </w:r>
          </w:p>
          <w:p w14:paraId="0164E63D" w14:textId="77777777" w:rsidR="00432B49" w:rsidRDefault="00432B49">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16E159A6" w14:textId="77777777" w:rsidR="00432B49" w:rsidRDefault="00432B49">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ATD-LQP-2026-003-Q</w:t>
            </w:r>
          </w:p>
          <w:p w14:paraId="5E390494" w14:textId="77777777" w:rsidR="00432B49" w:rsidRDefault="00432B49">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1.5</w:t>
            </w:r>
          </w:p>
          <w:p w14:paraId="4C718DD9" w14:textId="77777777" w:rsidR="00432B49" w:rsidRDefault="00432B49">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28/07/2026</w:t>
            </w:r>
          </w:p>
        </w:tc>
      </w:tr>
    </w:tbl>
    <w:p w14:paraId="46D030E3" w14:textId="77777777" w:rsidR="00432B49" w:rsidRDefault="00432B49">
      <w:pPr>
        <w:pStyle w:val="Heading1"/>
        <w:pageBreakBefore/>
        <w:rPr>
          <w:rFonts w:ascii="Segoe UI" w:eastAsia="Times New Roman" w:hAnsi="Segoe UI" w:cs="Segoe UI"/>
          <w:lang w:val="en"/>
        </w:rPr>
      </w:pPr>
      <w:r>
        <w:rPr>
          <w:rFonts w:ascii="Segoe UI" w:eastAsia="Times New Roman" w:hAnsi="Segoe UI" w:cs="Segoe UI"/>
          <w:lang w:val="en"/>
        </w:rPr>
        <w:lastRenderedPageBreak/>
        <w:t>1. Quotation Summary</w:t>
      </w:r>
    </w:p>
    <w:p w14:paraId="3BF03BF2" w14:textId="77777777" w:rsidR="00432B49" w:rsidRDefault="00432B4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 Tanfith Al Dwaliah SPC is pleased to present this commercial quotation for the </w:t>
      </w:r>
      <w:r>
        <w:rPr>
          <w:rStyle w:val="Strong"/>
          <w:rFonts w:ascii="Segoe UI" w:hAnsi="Segoe UI" w:cs="Segoe UI"/>
          <w:color w:val="1F2933"/>
          <w:sz w:val="21"/>
          <w:szCs w:val="21"/>
          <w:lang w:val="en"/>
        </w:rPr>
        <w:t>Live Quiz Platform</w:t>
      </w:r>
      <w:r>
        <w:rPr>
          <w:rFonts w:ascii="Segoe UI" w:hAnsi="Segoe UI" w:cs="Segoe UI"/>
          <w:color w:val="1F2933"/>
          <w:sz w:val="21"/>
          <w:szCs w:val="21"/>
          <w:lang w:val="en"/>
        </w:rPr>
        <w:t xml:space="preserve"> to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an enterprise engagement, assessment, and knowledge-evaluation platform, offered as a flexible, customisable alternative to general public quiz tools, and already proven in real operational use.</w:t>
      </w:r>
    </w:p>
    <w:p w14:paraId="0A3897B2" w14:textId="77777777" w:rsidR="00432B49" w:rsidRDefault="00432B49">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 standalone commercial document. It accompanies, and should be read together with, the full technical and commercial proposal (</w:t>
      </w:r>
      <w:r>
        <w:rPr>
          <w:rStyle w:val="Emphasis"/>
          <w:rFonts w:ascii="Segoe UI" w:hAnsi="Segoe UI" w:cs="Segoe UI"/>
          <w:color w:val="1F2933"/>
          <w:sz w:val="21"/>
          <w:szCs w:val="21"/>
          <w:lang w:val="en"/>
        </w:rPr>
        <w:t>Live Quiz Platform Technical &amp; Commercial Proposal</w:t>
      </w:r>
      <w:r>
        <w:rPr>
          <w:rFonts w:ascii="Segoe UI" w:hAnsi="Segoe UI" w:cs="Segoe UI"/>
          <w:color w:val="1F2933"/>
          <w:sz w:val="21"/>
          <w:szCs w:val="21"/>
          <w:lang w:val="en"/>
        </w:rPr>
        <w:t xml:space="preserve">, reference </w:t>
      </w:r>
      <w:r>
        <w:rPr>
          <w:rStyle w:val="Strong"/>
          <w:rFonts w:ascii="Segoe UI" w:hAnsi="Segoe UI" w:cs="Segoe UI"/>
          <w:color w:val="1F2933"/>
          <w:sz w:val="21"/>
          <w:szCs w:val="21"/>
          <w:lang w:val="en"/>
        </w:rPr>
        <w:t>ATD-LQP-2026-003</w:t>
      </w:r>
      <w:r>
        <w:rPr>
          <w:rFonts w:ascii="Segoe UI" w:hAnsi="Segoe UI" w:cs="Segoe UI"/>
          <w:color w:val="1F2933"/>
          <w:sz w:val="21"/>
          <w:szCs w:val="21"/>
          <w:lang w:val="en"/>
        </w:rPr>
        <w:t>), which sets out the functional scope, technical architecture, deployment options, cybersecurity approach, delivery methodology, support model, and legal terms in full. Where this quotation and the full proposal refer to the same item, the proposal is the definitive description of scope.</w:t>
      </w:r>
    </w:p>
    <w:p w14:paraId="382046E8" w14:textId="77777777" w:rsidR="00432B49" w:rsidRDefault="00432B4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prices in Section 2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are firm and all-inclusive: implementation, deployment, branding setup, and training are included, with no separate setup, implementation, or training charges.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is scoped and quoted separately per engagement, using the factors listed in Section 4. This quotation is valid for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as set out in Section 6.</w:t>
      </w:r>
    </w:p>
    <w:tbl>
      <w:tblPr>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27D780FA"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94CF172"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Quotation at a glance</w:t>
            </w:r>
          </w:p>
        </w:tc>
      </w:tr>
      <w:tr w:rsidR="00000000" w14:paraId="3BD02DA5"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7BB324"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942805"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Live Quiz Platform</w:t>
            </w:r>
          </w:p>
        </w:tc>
      </w:tr>
      <w:tr w:rsidR="00000000" w14:paraId="48B3445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73E703"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723049"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67BEEA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50FBE5"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Currency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DC4E91"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Omani Rial (OMR), exclusive of applicable taxes unless otherwise stated</w:t>
            </w:r>
          </w:p>
        </w:tc>
      </w:tr>
      <w:tr w:rsidR="00000000" w14:paraId="78524FC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31DBE3"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Pricing status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CD4EBB"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Firm prices for Models A &amp; B · Model C scoped per engagement</w:t>
            </w:r>
          </w:p>
        </w:tc>
      </w:tr>
      <w:tr w:rsidR="00000000" w14:paraId="58FD627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CB31E1"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Validity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453B35"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30 days from </w:t>
            </w:r>
            <w:r>
              <w:rPr>
                <w:rStyle w:val="Strong"/>
                <w:rFonts w:ascii="Segoe UI" w:eastAsia="Times New Roman" w:hAnsi="Segoe UI" w:cs="Segoe UI"/>
                <w:color w:val="1F2933"/>
                <w:sz w:val="19"/>
                <w:szCs w:val="19"/>
              </w:rPr>
              <w:t>28/07/2026</w:t>
            </w:r>
            <w:r>
              <w:rPr>
                <w:rFonts w:ascii="Segoe UI" w:eastAsia="Times New Roman" w:hAnsi="Segoe UI" w:cs="Segoe UI"/>
                <w:color w:val="1F2933"/>
                <w:sz w:val="19"/>
                <w:szCs w:val="19"/>
              </w:rPr>
              <w:t xml:space="preserve"> until </w:t>
            </w:r>
            <w:r>
              <w:rPr>
                <w:rStyle w:val="Strong"/>
                <w:rFonts w:ascii="Segoe UI" w:eastAsia="Times New Roman" w:hAnsi="Segoe UI" w:cs="Segoe UI"/>
                <w:color w:val="1F2933"/>
                <w:sz w:val="19"/>
                <w:szCs w:val="19"/>
              </w:rPr>
              <w:t>27/08/2026</w:t>
            </w:r>
          </w:p>
        </w:tc>
      </w:tr>
      <w:tr w:rsidR="00000000" w14:paraId="3883CF2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B7D6D6"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B99487"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 AI overage price revised to OMR 10 per 500 generations. No other changes.</w:t>
            </w:r>
          </w:p>
        </w:tc>
      </w:tr>
    </w:tbl>
    <w:p w14:paraId="33AE7896" w14:textId="77777777" w:rsidR="00432B49" w:rsidRDefault="00432B49">
      <w:pPr>
        <w:pStyle w:val="Heading1"/>
        <w:rPr>
          <w:rFonts w:ascii="Segoe UI" w:eastAsia="Times New Roman" w:hAnsi="Segoe UI" w:cs="Segoe UI"/>
          <w:lang w:val="en"/>
        </w:rPr>
      </w:pPr>
      <w:r>
        <w:rPr>
          <w:rFonts w:ascii="Segoe UI" w:eastAsia="Times New Roman" w:hAnsi="Segoe UI" w:cs="Segoe UI"/>
          <w:lang w:val="en"/>
        </w:rPr>
        <w:t>2. Pricing Tables</w:t>
      </w:r>
    </w:p>
    <w:p w14:paraId="4754EA88" w14:textId="77777777" w:rsidR="00432B49" w:rsidRDefault="00432B4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can select the ownership, cost, and delivery structure that best fits its procurement approach. The subsections below summarise each model; the comparison table that follows sets them side by side. Prices for Models A and B are firm and all-inclusive implementation, deployment, branding setup, and training are included. Model C is scoped and quoted separately per engagement.</w:t>
      </w:r>
    </w:p>
    <w:p w14:paraId="1FB64DA8" w14:textId="77777777" w:rsidR="00432B49" w:rsidRDefault="00432B49">
      <w:pPr>
        <w:pStyle w:val="Heading2"/>
        <w:rPr>
          <w:rFonts w:ascii="Segoe UI" w:eastAsia="Times New Roman" w:hAnsi="Segoe UI" w:cs="Segoe UI"/>
          <w:lang w:val="en"/>
        </w:rPr>
      </w:pPr>
      <w:r>
        <w:rPr>
          <w:rFonts w:ascii="Segoe UI" w:eastAsia="Times New Roman" w:hAnsi="Segoe UI" w:cs="Segoe UI"/>
          <w:lang w:val="en"/>
        </w:rPr>
        <w:lastRenderedPageBreak/>
        <w:t>2.1 Model A Annual SaaS Subscription</w:t>
      </w:r>
    </w:p>
    <w:p w14:paraId="2FCDEF3D" w14:textId="77777777" w:rsidR="00432B49" w:rsidRDefault="00432B4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behalf. Includes: annual licence; cloud hosting; maintenance; security updates; backup; monitoring; support; standard upgrades; unlimited named administrative accounts and unlimited participant access (see Section 13 of the full proposal), with an agreed number of sessions; implementation, deployment, branding setup, and training; and an AI usage allowance of 500 generations per month, with optional overage pricing. Two tiers are offered single department and organisation-wide each with unlimited hosts a</w:t>
      </w:r>
      <w:r>
        <w:rPr>
          <w:rFonts w:ascii="Segoe UI" w:hAnsi="Segoe UI" w:cs="Segoe UI"/>
          <w:color w:val="1F2933"/>
          <w:sz w:val="21"/>
          <w:szCs w:val="21"/>
          <w:lang w:val="en"/>
        </w:rPr>
        <w:t>nd unlimited participants. Deep customisation beyond the standard configuration is handled under Model C.</w:t>
      </w:r>
    </w:p>
    <w:tbl>
      <w:tblPr>
        <w:tblW w:w="5000" w:type="pct"/>
        <w:tblCellMar>
          <w:top w:w="15" w:type="dxa"/>
          <w:left w:w="15" w:type="dxa"/>
          <w:bottom w:w="15" w:type="dxa"/>
          <w:right w:w="15" w:type="dxa"/>
        </w:tblCellMar>
        <w:tblLook w:val="04A0" w:firstRow="1" w:lastRow="0" w:firstColumn="1" w:lastColumn="0" w:noHBand="0" w:noVBand="1"/>
      </w:tblPr>
      <w:tblGrid>
        <w:gridCol w:w="2865"/>
        <w:gridCol w:w="6754"/>
      </w:tblGrid>
      <w:tr w:rsidR="00000000" w14:paraId="31B8E5F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5FBC66"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CB423D"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1DB292B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5A28D8"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single department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DD953A"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w:t>
            </w:r>
            <w:r>
              <w:rPr>
                <w:rFonts w:ascii="Segoe UI" w:eastAsia="Times New Roman" w:hAnsi="Segoe UI" w:cs="Segoe UI"/>
                <w:color w:val="1F2933"/>
                <w:sz w:val="19"/>
                <w:szCs w:val="19"/>
              </w:rPr>
              <w:t xml:space="preserve"> / year</w:t>
            </w:r>
          </w:p>
        </w:tc>
      </w:tr>
      <w:tr w:rsidR="00000000" w14:paraId="49DA5B0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B406C5"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organisation-wide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74908E"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1,200</w:t>
            </w:r>
            <w:r>
              <w:rPr>
                <w:rFonts w:ascii="Segoe UI" w:eastAsia="Times New Roman" w:hAnsi="Segoe UI" w:cs="Segoe UI"/>
                <w:color w:val="1F2933"/>
                <w:sz w:val="19"/>
                <w:szCs w:val="19"/>
              </w:rPr>
              <w:t xml:space="preserve"> / year</w:t>
            </w:r>
          </w:p>
        </w:tc>
      </w:tr>
      <w:tr w:rsidR="00000000" w14:paraId="2EC3EE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E2BAF0"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Consumption Allowance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2A6727"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500 generations per calendar month; unused generations do not roll over to subsequent months</w:t>
            </w:r>
          </w:p>
        </w:tc>
      </w:tr>
      <w:tr w:rsidR="00000000" w14:paraId="66B53DB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92385C"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Overage (beyond agreed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88DDE3"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10</w:t>
            </w:r>
            <w:r>
              <w:rPr>
                <w:rFonts w:ascii="Segoe UI" w:eastAsia="Times New Roman" w:hAnsi="Segoe UI" w:cs="Segoe UI"/>
                <w:color w:val="1F2933"/>
                <w:sz w:val="19"/>
                <w:szCs w:val="19"/>
              </w:rPr>
              <w:t xml:space="preserve"> per additional 500 generations</w:t>
            </w:r>
          </w:p>
        </w:tc>
      </w:tr>
    </w:tbl>
    <w:p w14:paraId="520D2657" w14:textId="77777777" w:rsidR="00432B49" w:rsidRDefault="00432B49">
      <w:pPr>
        <w:pStyle w:val="Heading2"/>
        <w:rPr>
          <w:rFonts w:ascii="Segoe UI" w:eastAsia="Times New Roman" w:hAnsi="Segoe UI" w:cs="Segoe UI"/>
          <w:lang w:val="en"/>
        </w:rPr>
      </w:pPr>
      <w:r>
        <w:rPr>
          <w:rFonts w:ascii="Segoe UI" w:eastAsia="Times New Roman" w:hAnsi="Segoe UI" w:cs="Segoe UI"/>
          <w:lang w:val="en"/>
        </w:rPr>
        <w:t>2.2 Model B Perpetual Licence / One-Time Purchase</w:t>
      </w:r>
    </w:p>
    <w:p w14:paraId="5D84AC6C" w14:textId="77777777" w:rsidR="00432B49" w:rsidRDefault="00432B4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one-time purchase model suited to organisations that prefer to own the software outright. Includes: one-time software licence; deployment; initial configuration; training; documentation; an optional source-code licence; optional source-code ownership; and optional annual maintenance, recommended at </w:t>
      </w:r>
      <w:r>
        <w:rPr>
          <w:rStyle w:val="Strong"/>
          <w:rFonts w:ascii="Segoe UI" w:hAnsi="Segoe UI" w:cs="Segoe UI"/>
          <w:color w:val="1F2933"/>
          <w:sz w:val="21"/>
          <w:szCs w:val="21"/>
          <w:lang w:val="en"/>
        </w:rPr>
        <w:t>15%</w:t>
      </w:r>
      <w:r>
        <w:rPr>
          <w:rFonts w:ascii="Segoe UI" w:hAnsi="Segoe UI" w:cs="Segoe UI"/>
          <w:color w:val="1F2933"/>
          <w:sz w:val="21"/>
          <w:szCs w:val="21"/>
          <w:lang w:val="en"/>
        </w:rPr>
        <w:t xml:space="preserve"> of licence value, payable annually in advance. Implementation, deployment, branding setup, and training are included in the one-time licence fee, with no separate charges. Model B includes a </w:t>
      </w:r>
      <w:r>
        <w:rPr>
          <w:rStyle w:val="Strong"/>
          <w:rFonts w:ascii="Segoe UI" w:hAnsi="Segoe UI" w:cs="Segoe UI"/>
          <w:color w:val="1F2933"/>
          <w:sz w:val="21"/>
          <w:szCs w:val="21"/>
          <w:lang w:val="en"/>
        </w:rPr>
        <w:t>60-day defect warranty from go-live</w:t>
      </w:r>
      <w:r>
        <w:rPr>
          <w:rFonts w:ascii="Segoe UI" w:hAnsi="Segoe UI" w:cs="Segoe UI"/>
          <w:color w:val="1F2933"/>
          <w:sz w:val="21"/>
          <w:szCs w:val="21"/>
          <w:lang w:val="en"/>
        </w:rPr>
        <w:t>, covering defects in the delivered functionality; after the warranty period, fixes and updates are provided only under the optional annual maintenance. Major new features are excluded unless separately agreed, and infrastructure costs are excluded unless explicitly listed in this quotation.</w:t>
      </w:r>
    </w:p>
    <w:tbl>
      <w:tblPr>
        <w:tblW w:w="5000" w:type="pct"/>
        <w:tblCellMar>
          <w:top w:w="15" w:type="dxa"/>
          <w:left w:w="15" w:type="dxa"/>
          <w:bottom w:w="15" w:type="dxa"/>
          <w:right w:w="15" w:type="dxa"/>
        </w:tblCellMar>
        <w:tblLook w:val="04A0" w:firstRow="1" w:lastRow="0" w:firstColumn="1" w:lastColumn="0" w:noHBand="0" w:noVBand="1"/>
      </w:tblPr>
      <w:tblGrid>
        <w:gridCol w:w="5312"/>
        <w:gridCol w:w="4307"/>
      </w:tblGrid>
      <w:tr w:rsidR="00000000" w14:paraId="1062C53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D79CC0"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A552B4"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5E071B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35AD1F"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One-Time Licence </w:t>
            </w:r>
            <w:r>
              <w:rPr>
                <w:rStyle w:val="muted1"/>
                <w:rFonts w:ascii="Segoe UI" w:eastAsia="Times New Roman" w:hAnsi="Segoe UI" w:cs="Segoe UI"/>
              </w:rPr>
              <w:t>(all-inclusive)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3F50AE"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3,000</w:t>
            </w:r>
          </w:p>
        </w:tc>
      </w:tr>
      <w:tr w:rsidR="00000000" w14:paraId="0CD0D2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C6F830"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Implementation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2C1FE7" w14:textId="77777777" w:rsidR="00432B49" w:rsidRDefault="00432B49">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9A8D1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200D8A"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Annual Maintenance (optional, recommended)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B44ADC"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15% of licence value </w:t>
            </w:r>
            <w:r>
              <w:rPr>
                <w:rStyle w:val="Strong"/>
                <w:rFonts w:ascii="Segoe UI" w:eastAsia="Times New Roman" w:hAnsi="Segoe UI" w:cs="Segoe UI"/>
                <w:color w:val="1F2933"/>
                <w:sz w:val="19"/>
                <w:szCs w:val="19"/>
              </w:rPr>
              <w:t>OMR 450</w:t>
            </w:r>
            <w:r>
              <w:rPr>
                <w:rFonts w:ascii="Segoe UI" w:eastAsia="Times New Roman" w:hAnsi="Segoe UI" w:cs="Segoe UI"/>
                <w:color w:val="1F2933"/>
                <w:sz w:val="19"/>
                <w:szCs w:val="19"/>
              </w:rPr>
              <w:t xml:space="preserve"> / year</w:t>
            </w:r>
          </w:p>
        </w:tc>
      </w:tr>
      <w:tr w:rsidR="00000000" w14:paraId="1A3095B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68FEF3"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 (optional)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09633C"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bl>
    <w:p w14:paraId="54EB772D" w14:textId="77777777" w:rsidR="00432B49" w:rsidRDefault="00432B49">
      <w:pPr>
        <w:pStyle w:val="Heading2"/>
        <w:rPr>
          <w:rFonts w:ascii="Segoe UI" w:eastAsia="Times New Roman" w:hAnsi="Segoe UI" w:cs="Segoe UI"/>
          <w:lang w:val="en"/>
        </w:rPr>
      </w:pPr>
      <w:r>
        <w:rPr>
          <w:rFonts w:ascii="Segoe UI" w:eastAsia="Times New Roman" w:hAnsi="Segoe UI" w:cs="Segoe UI"/>
          <w:lang w:val="en"/>
        </w:rPr>
        <w:t>2.3 Model C Enterprise Custom Development Partnership</w:t>
      </w:r>
    </w:p>
    <w:p w14:paraId="6847DBF3" w14:textId="77777777" w:rsidR="00432B49" w:rsidRDefault="00432B49">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w:t>
      </w:r>
      <w:r>
        <w:rPr>
          <w:rFonts w:ascii="Segoe UI" w:hAnsi="Segoe UI" w:cs="Segoe UI"/>
          <w:color w:val="1F2933"/>
          <w:sz w:val="21"/>
          <w:szCs w:val="21"/>
          <w:lang w:val="en"/>
        </w:rPr>
        <w:t>; change requests handled and quoted separately; and dedicated development hours or a retainer arrangement.</w:t>
      </w:r>
    </w:p>
    <w:tbl>
      <w:tblPr>
        <w:tblW w:w="5000" w:type="pct"/>
        <w:tblCellMar>
          <w:top w:w="15" w:type="dxa"/>
          <w:left w:w="15" w:type="dxa"/>
          <w:bottom w:w="15" w:type="dxa"/>
          <w:right w:w="15" w:type="dxa"/>
        </w:tblCellMar>
        <w:tblLook w:val="04A0" w:firstRow="1" w:lastRow="0" w:firstColumn="1" w:lastColumn="0" w:noHBand="0" w:noVBand="1"/>
      </w:tblPr>
      <w:tblGrid>
        <w:gridCol w:w="3880"/>
        <w:gridCol w:w="5739"/>
      </w:tblGrid>
      <w:tr w:rsidR="00000000" w14:paraId="4F02834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7CDFAFB"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2232C5"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6ED97A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72770F"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Workshop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4E4C7E"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25A91A6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2A5880"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Day Rate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91DBC5"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58FBDE6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631B0"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Monthly Retainer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8D1217"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206FF0E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913F9C"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Package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42241B"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0178D61D" w14:textId="77777777" w:rsidR="00432B49" w:rsidRDefault="00432B49">
      <w:pPr>
        <w:pStyle w:val="Heading2"/>
        <w:rPr>
          <w:rFonts w:ascii="Segoe UI" w:eastAsia="Times New Roman" w:hAnsi="Segoe UI" w:cs="Segoe UI"/>
          <w:lang w:val="en"/>
        </w:rPr>
      </w:pPr>
      <w:r>
        <w:rPr>
          <w:rFonts w:ascii="Segoe UI" w:eastAsia="Times New Roman" w:hAnsi="Segoe UI" w:cs="Segoe UI"/>
          <w:lang w:val="en"/>
        </w:rPr>
        <w:t>2.4 Model Comparison</w:t>
      </w:r>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2B95658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BAB901" w14:textId="77777777" w:rsidR="00432B49" w:rsidRDefault="00432B49">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58241E"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6E868D"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2CA3D1"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Enterprise Partnership</w:t>
            </w:r>
          </w:p>
        </w:tc>
      </w:tr>
      <w:tr w:rsidR="00000000" w14:paraId="472FFFF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652618"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731AB8"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D4E0ED"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C5ED5D"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7474B6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7CB31B"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EFC1A4"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E47835"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E47BF8"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scoped by engagement</w:t>
            </w:r>
          </w:p>
        </w:tc>
      </w:tr>
      <w:tr w:rsidR="00000000" w14:paraId="48044C2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8B464A"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14586E"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913BBF"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ADC24F"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079C07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EB67BC"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F78E22"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148B56"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324C0B"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03B8D7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E25514"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E68B34"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77006F"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58AB85"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6527569E" w14:textId="77777777" w:rsidR="00432B49" w:rsidRDefault="00432B49">
      <w:pPr>
        <w:pStyle w:val="Heading1"/>
        <w:rPr>
          <w:rFonts w:ascii="Segoe UI" w:eastAsia="Times New Roman" w:hAnsi="Segoe UI" w:cs="Segoe UI"/>
          <w:lang w:val="en"/>
        </w:rPr>
      </w:pPr>
      <w:r>
        <w:rPr>
          <w:rFonts w:ascii="Segoe UI" w:eastAsia="Times New Roman" w:hAnsi="Segoe UI" w:cs="Segoe UI"/>
          <w:lang w:val="en"/>
        </w:rPr>
        <w:t>3. Optional Items</w:t>
      </w:r>
    </w:p>
    <w:p w14:paraId="3132E276" w14:textId="77777777" w:rsidR="00432B49" w:rsidRDefault="00432B4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are available as optional additions to any of the three commercial models. They are priced separately from the base model and are included only where listed in the signed commercial agreement. Administrator, quiz-creator, and support-team </w:t>
      </w:r>
      <w:r>
        <w:rPr>
          <w:rStyle w:val="Strong"/>
          <w:rFonts w:ascii="Segoe UI" w:hAnsi="Segoe UI" w:cs="Segoe UI"/>
          <w:color w:val="1F2933"/>
          <w:sz w:val="21"/>
          <w:szCs w:val="21"/>
          <w:lang w:val="en"/>
        </w:rPr>
        <w:t>training is included</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in Models A and B and is not charged as an optional item; the included training allowance comprises up to </w:t>
      </w:r>
      <w:r>
        <w:rPr>
          <w:rStyle w:val="Strong"/>
          <w:rFonts w:ascii="Segoe UI" w:hAnsi="Segoe UI" w:cs="Segoe UI"/>
          <w:color w:val="1F2933"/>
          <w:sz w:val="21"/>
          <w:szCs w:val="21"/>
          <w:lang w:val="en"/>
        </w:rPr>
        <w:t>2 remote sessions</w:t>
      </w:r>
      <w:r>
        <w:rPr>
          <w:rFonts w:ascii="Segoe UI" w:hAnsi="Segoe UI" w:cs="Segoe UI"/>
          <w:color w:val="1F2933"/>
          <w:sz w:val="21"/>
          <w:szCs w:val="21"/>
          <w:lang w:val="en"/>
        </w:rPr>
        <w:t xml:space="preserve">, up to a maximum of </w:t>
      </w:r>
      <w:r>
        <w:rPr>
          <w:rStyle w:val="Strong"/>
          <w:rFonts w:ascii="Segoe UI" w:hAnsi="Segoe UI" w:cs="Segoe UI"/>
          <w:color w:val="1F2933"/>
          <w:sz w:val="21"/>
          <w:szCs w:val="21"/>
          <w:lang w:val="en"/>
        </w:rPr>
        <w:t>8 hours in total</w:t>
      </w:r>
      <w:r>
        <w:rPr>
          <w:rFonts w:ascii="Segoe UI" w:hAnsi="Segoe UI" w:cs="Segoe UI"/>
          <w:color w:val="1F2933"/>
          <w:sz w:val="21"/>
          <w:szCs w:val="21"/>
          <w:lang w:val="en"/>
        </w:rPr>
        <w:t>, plus documentation, with additional training available via change request.</w:t>
      </w:r>
    </w:p>
    <w:tbl>
      <w:tblPr>
        <w:tblW w:w="5000" w:type="pct"/>
        <w:tblCellMar>
          <w:top w:w="15" w:type="dxa"/>
          <w:left w:w="15" w:type="dxa"/>
          <w:bottom w:w="15" w:type="dxa"/>
          <w:right w:w="15" w:type="dxa"/>
        </w:tblCellMar>
        <w:tblLook w:val="04A0" w:firstRow="1" w:lastRow="0" w:firstColumn="1" w:lastColumn="0" w:noHBand="0" w:noVBand="1"/>
      </w:tblPr>
      <w:tblGrid>
        <w:gridCol w:w="1615"/>
        <w:gridCol w:w="4733"/>
        <w:gridCol w:w="1018"/>
        <w:gridCol w:w="2253"/>
      </w:tblGrid>
      <w:tr w:rsidR="00000000" w14:paraId="0A7547F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269466"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Optional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17C420"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CBECDE"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4AFA68"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2B20B0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579771"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Penetration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599E6B"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External penetration testing, available as an optional service and subject to a client-approved security scope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1F5CF1" w14:textId="77777777" w:rsidR="00432B49" w:rsidRDefault="00432B49">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3D5CDE"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1E1A86F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166DFB"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85EAC9"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Optional source-code licence under Model B, where outright ownership or escrow is required; scope defined in the commercial agreement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8CE821" w14:textId="77777777" w:rsidR="00432B49" w:rsidRDefault="00432B49">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B1FBED"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r w:rsidR="00000000" w14:paraId="44E510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B7AF34"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Gold support option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C94E0E"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coverage under the Gold support package, with dedicated support contact and proactive monitoring, available as a purchasable option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C46C25" w14:textId="77777777" w:rsidR="00432B49" w:rsidRDefault="00432B49">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75810F"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2DE791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B4796C"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 packs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A2EAD2"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interface languages beyond the standard Arabic and English, subject to translation and layout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1731D1" w14:textId="77777777" w:rsidR="00432B49" w:rsidRDefault="00432B49">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DEC2E4"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27C0398F" w14:textId="77777777" w:rsidR="00432B49" w:rsidRDefault="00432B49">
      <w:pPr>
        <w:pStyle w:val="muted"/>
        <w:spacing w:before="120" w:beforeAutospacing="0" w:after="120" w:afterAutospacing="0"/>
        <w:rPr>
          <w:rFonts w:ascii="Segoe UI" w:hAnsi="Segoe UI" w:cs="Segoe UI"/>
          <w:lang w:val="en"/>
        </w:rPr>
      </w:pPr>
      <w:r>
        <w:rPr>
          <w:rFonts w:ascii="Segoe UI" w:hAnsi="Segoe UI" w:cs="Segoe UI"/>
          <w:lang w:val="en"/>
        </w:rPr>
        <w:t>Arabic and English interface support, including full right-to-left (RTL) support for Arabic, is a standard, included capability of the platform. Additional languages are the optional item priced above.</w:t>
      </w:r>
    </w:p>
    <w:p w14:paraId="146CF333" w14:textId="77777777" w:rsidR="00432B49" w:rsidRDefault="00432B49">
      <w:pPr>
        <w:pStyle w:val="Heading1"/>
        <w:rPr>
          <w:rFonts w:ascii="Segoe UI" w:eastAsia="Times New Roman" w:hAnsi="Segoe UI" w:cs="Segoe UI"/>
          <w:lang w:val="en"/>
        </w:rPr>
      </w:pPr>
      <w:r>
        <w:rPr>
          <w:rFonts w:ascii="Segoe UI" w:eastAsia="Times New Roman" w:hAnsi="Segoe UI" w:cs="Segoe UI"/>
          <w:lang w:val="en"/>
        </w:rPr>
        <w:t>4. Pricing Methodology</w:t>
      </w:r>
    </w:p>
    <w:p w14:paraId="32BAB39C" w14:textId="77777777" w:rsidR="00432B49" w:rsidRDefault="00432B4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Prices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are fixed and stated in Section 2. The factors below are used to scope and quote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and the optional items in Section 3, and are confirmed during the discovery phase described in the full proposal.</w:t>
      </w:r>
    </w:p>
    <w:tbl>
      <w:tblPr>
        <w:tblW w:w="5000" w:type="pct"/>
        <w:tblCellMar>
          <w:top w:w="15" w:type="dxa"/>
          <w:left w:w="15" w:type="dxa"/>
          <w:bottom w:w="15" w:type="dxa"/>
          <w:right w:w="15" w:type="dxa"/>
        </w:tblCellMar>
        <w:tblLook w:val="04A0" w:firstRow="1" w:lastRow="0" w:firstColumn="1" w:lastColumn="0" w:noHBand="0" w:noVBand="1"/>
      </w:tblPr>
      <w:tblGrid>
        <w:gridCol w:w="941"/>
        <w:gridCol w:w="8678"/>
      </w:tblGrid>
      <w:tr w:rsidR="00000000" w14:paraId="44D8466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893779"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21E198"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Pricing factor</w:t>
            </w:r>
          </w:p>
        </w:tc>
      </w:tr>
      <w:tr w:rsidR="00000000" w14:paraId="600CC9D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10DFFD"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6DC433"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departments</w:t>
            </w:r>
          </w:p>
        </w:tc>
      </w:tr>
      <w:tr w:rsidR="00000000" w14:paraId="158E36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A74957"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B57674"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Expected concurrent users</w:t>
            </w:r>
          </w:p>
        </w:tc>
      </w:tr>
      <w:tr w:rsidR="00000000" w14:paraId="6D31C3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DD11F0"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05EBBF"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live sessions</w:t>
            </w:r>
          </w:p>
        </w:tc>
      </w:tr>
      <w:tr w:rsidR="00000000" w14:paraId="54831D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303E0D"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C93856"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model (cloud, on-premises, or hybrid)</w:t>
            </w:r>
          </w:p>
        </w:tc>
      </w:tr>
      <w:tr w:rsidR="00000000" w14:paraId="290233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05EA34"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F6B173"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w:t>
            </w:r>
          </w:p>
        </w:tc>
      </w:tr>
      <w:tr w:rsidR="00000000" w14:paraId="057FF82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6FAB10"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02623F"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usage</w:t>
            </w:r>
          </w:p>
        </w:tc>
      </w:tr>
      <w:tr w:rsidR="00000000" w14:paraId="6FE127B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5F03C0"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1F9698"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Level of customisation</w:t>
            </w:r>
          </w:p>
        </w:tc>
      </w:tr>
      <w:tr w:rsidR="00000000" w14:paraId="201130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BEC532"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9FDDEA"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System integrations</w:t>
            </w:r>
          </w:p>
        </w:tc>
      </w:tr>
      <w:tr w:rsidR="00000000" w14:paraId="2D446CE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7203D7"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0A329D"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SLA</w:t>
            </w:r>
          </w:p>
        </w:tc>
      </w:tr>
      <w:tr w:rsidR="00000000" w14:paraId="1465A0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12B8C7"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47827C"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1E4E5A5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D94BFA"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447BCE"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requirements</w:t>
            </w:r>
          </w:p>
        </w:tc>
      </w:tr>
      <w:tr w:rsidR="00000000" w14:paraId="733BA5E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EC808A"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0C0C2C"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requirements</w:t>
            </w:r>
          </w:p>
        </w:tc>
      </w:tr>
      <w:tr w:rsidR="00000000" w14:paraId="7A2DFC8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57CE41"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9076E6"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Language requirements</w:t>
            </w:r>
          </w:p>
        </w:tc>
      </w:tr>
      <w:tr w:rsidR="00000000" w14:paraId="5AF436C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3D3F2D"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AD787D"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requirements</w:t>
            </w:r>
          </w:p>
        </w:tc>
      </w:tr>
      <w:tr w:rsidR="00000000" w14:paraId="4EE7E7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E5D17F"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A2DC3D"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duration</w:t>
            </w:r>
          </w:p>
        </w:tc>
      </w:tr>
    </w:tbl>
    <w:p w14:paraId="31ACD7D0" w14:textId="77777777" w:rsidR="00432B49" w:rsidRDefault="00432B49">
      <w:pPr>
        <w:pStyle w:val="Heading1"/>
        <w:rPr>
          <w:rFonts w:ascii="Segoe UI" w:eastAsia="Times New Roman" w:hAnsi="Segoe UI" w:cs="Segoe UI"/>
          <w:lang w:val="en"/>
        </w:rPr>
      </w:pPr>
      <w:r>
        <w:rPr>
          <w:rFonts w:ascii="Segoe UI" w:eastAsia="Times New Roman" w:hAnsi="Segoe UI" w:cs="Segoe UI"/>
          <w:lang w:val="en"/>
        </w:rPr>
        <w:t>5. Commercial Terms</w:t>
      </w:r>
    </w:p>
    <w:p w14:paraId="4EE00A5F" w14:textId="77777777" w:rsidR="00432B49" w:rsidRDefault="00432B49">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subject to negotiation.</w:t>
      </w:r>
      <w:r>
        <w:rPr>
          <w:rFonts w:ascii="Segoe UI" w:hAnsi="Segoe UI" w:cs="Segoe UI"/>
          <w:color w:val="1F2933"/>
          <w:sz w:val="21"/>
          <w:szCs w:val="21"/>
          <w:lang w:val="en"/>
        </w:rPr>
        <w:t xml:space="preserve"> The terms below illustrate the structure Altanfith typically proposes; final commercial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03FAC71E" w14:textId="77777777" w:rsidR="00432B49" w:rsidRDefault="00432B4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Currency: Omani Rial (OMR). Amounts are exclusive of applicable taxes unless otherwise stated.</w:t>
      </w:r>
    </w:p>
    <w:p w14:paraId="46B56CE4" w14:textId="77777777" w:rsidR="00432B49" w:rsidRDefault="00432B4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Annual subscription (Model A): </w:t>
      </w:r>
      <w:r>
        <w:rPr>
          <w:rStyle w:val="Strong"/>
          <w:rFonts w:ascii="Segoe UI" w:eastAsia="Times New Roman" w:hAnsi="Segoe UI" w:cs="Segoe UI"/>
          <w:color w:val="1F2933"/>
          <w:sz w:val="21"/>
          <w:szCs w:val="21"/>
          <w:lang w:val="en"/>
        </w:rPr>
        <w:t>100%</w:t>
      </w:r>
      <w:r>
        <w:rPr>
          <w:rFonts w:ascii="Segoe UI" w:eastAsia="Times New Roman" w:hAnsi="Segoe UI" w:cs="Segoe UI"/>
          <w:color w:val="1F2933"/>
          <w:sz w:val="21"/>
          <w:szCs w:val="21"/>
          <w:lang w:val="en"/>
        </w:rPr>
        <w:t xml:space="preserve"> annually in advance against invoice.</w:t>
      </w:r>
    </w:p>
    <w:p w14:paraId="391F3A00" w14:textId="77777777" w:rsidR="00432B49" w:rsidRDefault="00432B4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Perpetual licence (Model B):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 xml:space="preserve">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upon production go-live. This payment schedule is recommended and remains subject to commercial negotiation and mutual agreement.</w:t>
      </w:r>
    </w:p>
    <w:p w14:paraId="7E00DD4D" w14:textId="77777777" w:rsidR="00432B49" w:rsidRDefault="00432B4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0236C1DF" w14:textId="77777777" w:rsidR="00432B49" w:rsidRDefault="00432B4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quoted and invoiced separately.</w:t>
      </w:r>
    </w:p>
    <w:p w14:paraId="09B834E6" w14:textId="77777777" w:rsidR="00432B49" w:rsidRDefault="00432B4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Delivery mode: all project activities are delivered remotely by default; on-site attendance is quoted separately.</w:t>
      </w:r>
    </w:p>
    <w:p w14:paraId="7AD20776" w14:textId="77777777" w:rsidR="00432B49" w:rsidRDefault="00432B4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66753BA2" w14:textId="77777777" w:rsidR="00432B49" w:rsidRDefault="00432B4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3A7D97A2" w14:textId="77777777" w:rsidR="00432B49" w:rsidRDefault="00432B49">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Limitation of liability: Altanfith's aggregate liability shall not exceed the amounts actually paid by the client in the 12 months preceding the claim; neither party is liable for indirect or consequential damages subject to the final signed contract and applicable Omani law (see the full proposal, Section 41).</w:t>
      </w:r>
    </w:p>
    <w:p w14:paraId="7F2EFD43" w14:textId="77777777" w:rsidR="00432B49" w:rsidRDefault="00432B49">
      <w:pPr>
        <w:pStyle w:val="Heading1"/>
        <w:rPr>
          <w:rFonts w:ascii="Segoe UI" w:eastAsia="Times New Roman" w:hAnsi="Segoe UI" w:cs="Segoe UI"/>
          <w:lang w:val="en"/>
        </w:rPr>
      </w:pPr>
      <w:r>
        <w:rPr>
          <w:rFonts w:ascii="Segoe UI" w:eastAsia="Times New Roman" w:hAnsi="Segoe UI" w:cs="Segoe UI"/>
          <w:lang w:val="en"/>
        </w:rPr>
        <w:t>6. Validity &amp; Acceptance</w:t>
      </w:r>
    </w:p>
    <w:p w14:paraId="48B6E442" w14:textId="77777777" w:rsidR="00432B49" w:rsidRDefault="00432B49">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quotation, including the pricing in Sections 2 and 3 and the commercial terms in Section 5,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that is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Beyond this period, pricing and availability are subject to reconfirmation by Al Tanfith Al Dwaliah SPC.</w:t>
      </w:r>
    </w:p>
    <w:p w14:paraId="2B5F87A0" w14:textId="77777777" w:rsidR="00432B49" w:rsidRDefault="00432B49">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13AEC11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E2E231"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0C15D8" w14:textId="77777777" w:rsidR="00432B49" w:rsidRDefault="00432B49">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793100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330725"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A5E437"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3752FF1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F2C502"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7CBC5C"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45D75A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1033BA"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9D2669"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193C36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BF1C41"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ABCF4A"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3601E18C" w14:textId="77777777" w:rsidR="00432B49" w:rsidRDefault="00432B49">
      <w:pPr>
        <w:pStyle w:val="Heading2"/>
        <w:rPr>
          <w:rFonts w:ascii="Segoe UI" w:eastAsia="Times New Roman" w:hAnsi="Segoe UI" w:cs="Segoe UI"/>
          <w:lang w:val="en"/>
        </w:rPr>
      </w:pPr>
      <w:r>
        <w:rPr>
          <w:rFonts w:ascii="Segoe UI" w:eastAsia="Times New Roman" w:hAnsi="Segoe UI" w:cs="Segoe UI"/>
          <w:lang w:val="en"/>
        </w:rPr>
        <w:t>6.1 Contact</w:t>
      </w:r>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117F39FC" w14:textId="77777777">
        <w:tc>
          <w:tcPr>
            <w:tcW w:w="1600" w:type="pct"/>
            <w:tcBorders>
              <w:top w:val="nil"/>
              <w:left w:val="nil"/>
              <w:bottom w:val="nil"/>
              <w:right w:val="nil"/>
            </w:tcBorders>
            <w:tcMar>
              <w:top w:w="40" w:type="dxa"/>
              <w:left w:w="120" w:type="dxa"/>
              <w:bottom w:w="40" w:type="dxa"/>
              <w:right w:w="120" w:type="dxa"/>
            </w:tcMar>
            <w:hideMark/>
          </w:tcPr>
          <w:p w14:paraId="013696CC"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2643C8E8"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64EC8F9C" w14:textId="77777777">
        <w:tc>
          <w:tcPr>
            <w:tcW w:w="0" w:type="auto"/>
            <w:tcBorders>
              <w:top w:val="nil"/>
              <w:left w:val="nil"/>
              <w:bottom w:val="nil"/>
              <w:right w:val="nil"/>
            </w:tcBorders>
            <w:tcMar>
              <w:top w:w="40" w:type="dxa"/>
              <w:left w:w="120" w:type="dxa"/>
              <w:bottom w:w="40" w:type="dxa"/>
              <w:right w:w="120" w:type="dxa"/>
            </w:tcMar>
            <w:hideMark/>
          </w:tcPr>
          <w:p w14:paraId="58E04562"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2ED2B813"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342ABE7E" w14:textId="77777777">
        <w:tc>
          <w:tcPr>
            <w:tcW w:w="0" w:type="auto"/>
            <w:tcBorders>
              <w:top w:val="nil"/>
              <w:left w:val="nil"/>
              <w:bottom w:val="nil"/>
              <w:right w:val="nil"/>
            </w:tcBorders>
            <w:tcMar>
              <w:top w:w="40" w:type="dxa"/>
              <w:left w:w="120" w:type="dxa"/>
              <w:bottom w:w="40" w:type="dxa"/>
              <w:right w:w="120" w:type="dxa"/>
            </w:tcMar>
            <w:hideMark/>
          </w:tcPr>
          <w:p w14:paraId="624E444A"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6F9EA4F2"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62E828BB" w14:textId="77777777">
        <w:tc>
          <w:tcPr>
            <w:tcW w:w="0" w:type="auto"/>
            <w:tcBorders>
              <w:top w:val="nil"/>
              <w:left w:val="nil"/>
              <w:bottom w:val="nil"/>
              <w:right w:val="nil"/>
            </w:tcBorders>
            <w:tcMar>
              <w:top w:w="40" w:type="dxa"/>
              <w:left w:w="120" w:type="dxa"/>
              <w:bottom w:w="40" w:type="dxa"/>
              <w:right w:w="120" w:type="dxa"/>
            </w:tcMar>
            <w:hideMark/>
          </w:tcPr>
          <w:p w14:paraId="66DAB4DF"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Email</w:t>
            </w:r>
          </w:p>
        </w:tc>
        <w:tc>
          <w:tcPr>
            <w:tcW w:w="0" w:type="auto"/>
            <w:tcBorders>
              <w:top w:val="nil"/>
              <w:left w:val="nil"/>
              <w:bottom w:val="nil"/>
              <w:right w:val="nil"/>
            </w:tcBorders>
            <w:tcMar>
              <w:top w:w="40" w:type="dxa"/>
              <w:left w:w="120" w:type="dxa"/>
              <w:bottom w:w="40" w:type="dxa"/>
              <w:right w:w="120" w:type="dxa"/>
            </w:tcMar>
            <w:hideMark/>
          </w:tcPr>
          <w:p w14:paraId="6F59CBB1"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0C247B4D" w14:textId="77777777">
        <w:tc>
          <w:tcPr>
            <w:tcW w:w="0" w:type="auto"/>
            <w:tcBorders>
              <w:top w:val="nil"/>
              <w:left w:val="nil"/>
              <w:bottom w:val="nil"/>
              <w:right w:val="nil"/>
            </w:tcBorders>
            <w:tcMar>
              <w:top w:w="40" w:type="dxa"/>
              <w:left w:w="120" w:type="dxa"/>
              <w:bottom w:w="40" w:type="dxa"/>
              <w:right w:w="120" w:type="dxa"/>
            </w:tcMar>
            <w:hideMark/>
          </w:tcPr>
          <w:p w14:paraId="7F6F6945"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70266603"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1324B3E3" w14:textId="77777777">
        <w:tc>
          <w:tcPr>
            <w:tcW w:w="0" w:type="auto"/>
            <w:tcBorders>
              <w:top w:val="nil"/>
              <w:left w:val="nil"/>
              <w:bottom w:val="nil"/>
              <w:right w:val="nil"/>
            </w:tcBorders>
            <w:tcMar>
              <w:top w:w="40" w:type="dxa"/>
              <w:left w:w="120" w:type="dxa"/>
              <w:bottom w:w="40" w:type="dxa"/>
              <w:right w:w="120" w:type="dxa"/>
            </w:tcMar>
            <w:hideMark/>
          </w:tcPr>
          <w:p w14:paraId="6E9AF656" w14:textId="77777777" w:rsidR="00432B49" w:rsidRDefault="00432B49">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49E93861" w14:textId="77777777" w:rsidR="00432B49" w:rsidRDefault="00432B49">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0215CC5B" w14:textId="77777777" w:rsidR="00432B49" w:rsidRDefault="00432B49">
      <w:pPr>
        <w:rPr>
          <w:rFonts w:eastAsia="Times New Roman"/>
        </w:rPr>
      </w:pPr>
    </w:p>
    <w:sectPr w:rsidR="00432B49" w:rsidSect="00553C46">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4D877" w14:textId="77777777" w:rsidR="00432B49" w:rsidRDefault="00432B49" w:rsidP="00553C46">
      <w:r>
        <w:separator/>
      </w:r>
    </w:p>
  </w:endnote>
  <w:endnote w:type="continuationSeparator" w:id="0">
    <w:p w14:paraId="05BDD15B" w14:textId="77777777" w:rsidR="00432B49" w:rsidRDefault="00432B49" w:rsidP="00553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0793" w14:textId="77777777" w:rsidR="00553C46" w:rsidRDefault="00553C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ACD46" w14:textId="0E503888" w:rsidR="00553C46" w:rsidRPr="00553C46" w:rsidRDefault="00553C46" w:rsidP="00553C46">
    <w:pPr>
      <w:pStyle w:val="Footer"/>
      <w:jc w:val="center"/>
      <w:rPr>
        <w:color w:val="5A6B7A"/>
        <w:sz w:val="16"/>
      </w:rPr>
    </w:pPr>
    <w:r w:rsidRPr="00553C46">
      <w:rPr>
        <w:color w:val="5A6B7A"/>
        <w:sz w:val="16"/>
      </w:rPr>
      <w:t>Al Tanfith Al Dwaliah SPC  |  Page </w:t>
    </w:r>
    <w:r w:rsidRPr="00553C46">
      <w:rPr>
        <w:color w:val="5A6B7A"/>
        <w:sz w:val="16"/>
      </w:rPr>
      <w:fldChar w:fldCharType="begin"/>
    </w:r>
    <w:r w:rsidRPr="00553C46">
      <w:rPr>
        <w:color w:val="5A6B7A"/>
        <w:sz w:val="16"/>
      </w:rPr>
      <w:instrText xml:space="preserve"> PAGE  \* MERGEFORMAT </w:instrText>
    </w:r>
    <w:r w:rsidRPr="00553C46">
      <w:rPr>
        <w:color w:val="5A6B7A"/>
        <w:sz w:val="16"/>
      </w:rPr>
      <w:fldChar w:fldCharType="separate"/>
    </w:r>
    <w:r w:rsidRPr="00553C46">
      <w:rPr>
        <w:noProof/>
        <w:color w:val="5A6B7A"/>
        <w:sz w:val="16"/>
      </w:rPr>
      <w:t>1</w:t>
    </w:r>
    <w:r w:rsidRPr="00553C46">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EC6E" w14:textId="77777777" w:rsidR="00553C46" w:rsidRDefault="00553C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55F7D" w14:textId="77777777" w:rsidR="00432B49" w:rsidRDefault="00432B49" w:rsidP="00553C46">
      <w:r>
        <w:separator/>
      </w:r>
    </w:p>
  </w:footnote>
  <w:footnote w:type="continuationSeparator" w:id="0">
    <w:p w14:paraId="54B5B307" w14:textId="77777777" w:rsidR="00432B49" w:rsidRDefault="00432B49" w:rsidP="00553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675C" w14:textId="77777777" w:rsidR="00553C46" w:rsidRDefault="00553C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96E9" w14:textId="77777777" w:rsidR="00553C46" w:rsidRDefault="00553C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CB7EA" w14:textId="77777777" w:rsidR="00553C46" w:rsidRDefault="00553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E66D1"/>
    <w:multiLevelType w:val="multilevel"/>
    <w:tmpl w:val="D10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588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3C46"/>
    <w:rsid w:val="00432B49"/>
    <w:rsid w:val="00553C46"/>
    <w:rsid w:val="00E82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137CD"/>
  <w15:chartTrackingRefBased/>
  <w15:docId w15:val="{CC0FDFCE-534E-4C31-AE24-743B764EF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553C46"/>
    <w:pPr>
      <w:tabs>
        <w:tab w:val="center" w:pos="4680"/>
        <w:tab w:val="right" w:pos="9360"/>
      </w:tabs>
    </w:pPr>
  </w:style>
  <w:style w:type="character" w:customStyle="1" w:styleId="HeaderChar">
    <w:name w:val="Header Char"/>
    <w:basedOn w:val="DefaultParagraphFont"/>
    <w:link w:val="Header"/>
    <w:uiPriority w:val="99"/>
    <w:rsid w:val="00553C46"/>
    <w:rPr>
      <w:rFonts w:eastAsiaTheme="minorEastAsia"/>
      <w:sz w:val="24"/>
      <w:szCs w:val="24"/>
    </w:rPr>
  </w:style>
  <w:style w:type="paragraph" w:styleId="Footer">
    <w:name w:val="footer"/>
    <w:basedOn w:val="Normal"/>
    <w:link w:val="FooterChar"/>
    <w:uiPriority w:val="99"/>
    <w:unhideWhenUsed/>
    <w:rsid w:val="00553C46"/>
    <w:pPr>
      <w:tabs>
        <w:tab w:val="center" w:pos="4680"/>
        <w:tab w:val="right" w:pos="9360"/>
      </w:tabs>
    </w:pPr>
  </w:style>
  <w:style w:type="character" w:customStyle="1" w:styleId="FooterChar">
    <w:name w:val="Footer Char"/>
    <w:basedOn w:val="DefaultParagraphFont"/>
    <w:link w:val="Footer"/>
    <w:uiPriority w:val="99"/>
    <w:rsid w:val="00553C4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1477</Words>
  <Characters>9135</Characters>
  <Application>Microsoft Office Word</Application>
  <DocSecurity>0</DocSecurity>
  <Lines>273</Lines>
  <Paragraphs>180</Paragraphs>
  <ScaleCrop>false</ScaleCrop>
  <Company/>
  <LinksUpToDate>false</LinksUpToDate>
  <CharactersWithSpaces>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Commercial Quotation</dc:title>
  <dc:subject/>
  <dc:creator>Haitham Al Lamki</dc:creator>
  <cp:keywords/>
  <dc:description/>
  <cp:lastModifiedBy>Haitham Al Lamki</cp:lastModifiedBy>
  <cp:revision>2</cp:revision>
  <dcterms:created xsi:type="dcterms:W3CDTF">2026-08-02T07:54:00Z</dcterms:created>
  <dcterms:modified xsi:type="dcterms:W3CDTF">2026-08-02T07:54:00Z</dcterms:modified>
</cp:coreProperties>
</file>