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top w:w="15" w:type="dxa"/>
          <w:left w:w="15" w:type="dxa"/>
          <w:bottom w:w="15" w:type="dxa"/>
          <w:right w:w="15" w:type="dxa"/>
        </w:tblCellMar>
        <w:tblLook w:val="04A0" w:firstRow="1" w:lastRow="0" w:firstColumn="1" w:lastColumn="0" w:noHBand="0" w:noVBand="1"/>
      </w:tblPr>
      <w:tblGrid>
        <w:gridCol w:w="9639"/>
      </w:tblGrid>
      <w:tr w:rsidR="00000000" w14:paraId="55BFC6FD" w14:textId="77777777">
        <w:tc>
          <w:tcPr>
            <w:tcW w:w="0" w:type="auto"/>
            <w:tcBorders>
              <w:top w:val="nil"/>
              <w:left w:val="nil"/>
              <w:bottom w:val="nil"/>
              <w:right w:val="nil"/>
            </w:tcBorders>
            <w:shd w:val="clear" w:color="auto" w:fill="0B2239"/>
            <w:tcMar>
              <w:top w:w="1200" w:type="dxa"/>
              <w:left w:w="800" w:type="dxa"/>
              <w:bottom w:w="1200" w:type="dxa"/>
              <w:right w:w="800" w:type="dxa"/>
            </w:tcMar>
            <w:hideMark/>
          </w:tcPr>
          <w:p w14:paraId="278D9999" w14:textId="77777777" w:rsidR="00202328" w:rsidRDefault="00202328">
            <w:pPr>
              <w:pStyle w:val="NormalWeb"/>
              <w:rPr>
                <w:rFonts w:ascii="Segoe UI" w:hAnsi="Segoe UI" w:cs="Segoe UI"/>
                <w:color w:val="FFFFFF"/>
                <w:spacing w:val="20"/>
              </w:rPr>
            </w:pPr>
            <w:r>
              <w:rPr>
                <w:rFonts w:ascii="Segoe UI" w:hAnsi="Segoe UI" w:cs="Segoe UI"/>
                <w:color w:val="FFFFFF"/>
                <w:spacing w:val="20"/>
              </w:rPr>
              <w:t>ALTANFITH ALDWALIAH SPC</w:t>
            </w:r>
          </w:p>
          <w:p w14:paraId="7E4A3993" w14:textId="77777777" w:rsidR="00202328" w:rsidRDefault="00202328">
            <w:pPr>
              <w:pStyle w:val="NormalWeb"/>
              <w:spacing w:before="480" w:after="0"/>
              <w:rPr>
                <w:rFonts w:ascii="Segoe UI" w:hAnsi="Segoe UI" w:cs="Segoe UI"/>
                <w:b/>
                <w:bCs/>
                <w:color w:val="FFFFFF"/>
                <w:sz w:val="60"/>
                <w:szCs w:val="60"/>
              </w:rPr>
            </w:pPr>
            <w:r>
              <w:rPr>
                <w:rFonts w:ascii="Segoe UI" w:hAnsi="Segoe UI" w:cs="Segoe UI"/>
                <w:b/>
                <w:bCs/>
                <w:color w:val="FFFFFF"/>
                <w:sz w:val="60"/>
                <w:szCs w:val="60"/>
              </w:rPr>
              <w:t>LIVE QUIZ PLATFORM</w:t>
            </w:r>
          </w:p>
          <w:p w14:paraId="008FC90C" w14:textId="77777777" w:rsidR="00202328" w:rsidRDefault="00202328">
            <w:pPr>
              <w:pStyle w:val="NormalWeb"/>
              <w:spacing w:before="0"/>
              <w:rPr>
                <w:rFonts w:ascii="Segoe UI" w:hAnsi="Segoe UI" w:cs="Segoe UI"/>
                <w:color w:val="FFFFFF"/>
                <w:sz w:val="30"/>
                <w:szCs w:val="30"/>
              </w:rPr>
            </w:pPr>
            <w:r>
              <w:rPr>
                <w:rFonts w:ascii="Segoe UI" w:hAnsi="Segoe UI" w:cs="Segoe UI"/>
                <w:color w:val="FFFFFF"/>
                <w:sz w:val="30"/>
                <w:szCs w:val="30"/>
              </w:rPr>
              <w:t>Technical &amp; Commercial Proposal</w:t>
            </w:r>
          </w:p>
          <w:p w14:paraId="27208297" w14:textId="77777777" w:rsidR="00202328" w:rsidRDefault="00202328">
            <w:pPr>
              <w:pStyle w:val="NormalWeb"/>
              <w:spacing w:before="720"/>
              <w:rPr>
                <w:rFonts w:ascii="Segoe UI" w:hAnsi="Segoe UI" w:cs="Segoe UI"/>
                <w:color w:val="FFFFFF"/>
                <w:sz w:val="19"/>
                <w:szCs w:val="19"/>
              </w:rPr>
            </w:pPr>
            <w:r>
              <w:rPr>
                <w:rFonts w:ascii="Segoe UI" w:hAnsi="Segoe UI" w:cs="Segoe UI"/>
                <w:color w:val="FFFFFF"/>
                <w:sz w:val="19"/>
                <w:szCs w:val="19"/>
              </w:rPr>
              <w:t xml:space="preserve">Prepared for: </w:t>
            </w:r>
            <w:r>
              <w:rPr>
                <w:rStyle w:val="Strong"/>
                <w:rFonts w:ascii="Segoe UI" w:hAnsi="Segoe UI" w:cs="Segoe UI"/>
                <w:color w:val="FFFFFF"/>
                <w:sz w:val="19"/>
                <w:szCs w:val="19"/>
              </w:rPr>
              <w:t>[Client Name]</w:t>
            </w:r>
          </w:p>
          <w:p w14:paraId="253E9B4C" w14:textId="77777777" w:rsidR="00202328" w:rsidRDefault="00202328">
            <w:pPr>
              <w:pStyle w:val="NormalWeb"/>
              <w:rPr>
                <w:rFonts w:ascii="Segoe UI" w:hAnsi="Segoe UI" w:cs="Segoe UI"/>
                <w:color w:val="FFFFFF"/>
                <w:sz w:val="19"/>
                <w:szCs w:val="19"/>
              </w:rPr>
            </w:pPr>
            <w:r>
              <w:rPr>
                <w:rFonts w:ascii="Segoe UI" w:hAnsi="Segoe UI" w:cs="Segoe UI"/>
                <w:color w:val="FFFFFF"/>
                <w:sz w:val="19"/>
                <w:szCs w:val="19"/>
              </w:rPr>
              <w:t xml:space="preserve">Reference: </w:t>
            </w:r>
            <w:r>
              <w:rPr>
                <w:rStyle w:val="Strong"/>
                <w:rFonts w:ascii="Segoe UI" w:hAnsi="Segoe UI" w:cs="Segoe UI"/>
                <w:color w:val="FFFFFF"/>
                <w:sz w:val="19"/>
                <w:szCs w:val="19"/>
              </w:rPr>
              <w:t>[Proposal Reference]</w:t>
            </w:r>
          </w:p>
          <w:p w14:paraId="6DD879AD" w14:textId="77777777" w:rsidR="00202328" w:rsidRDefault="00202328">
            <w:pPr>
              <w:pStyle w:val="NormalWeb"/>
              <w:rPr>
                <w:rFonts w:ascii="Segoe UI" w:hAnsi="Segoe UI" w:cs="Segoe UI"/>
                <w:color w:val="FFFFFF"/>
                <w:sz w:val="19"/>
                <w:szCs w:val="19"/>
              </w:rPr>
            </w:pPr>
            <w:r>
              <w:rPr>
                <w:rFonts w:ascii="Segoe UI" w:hAnsi="Segoe UI" w:cs="Segoe UI"/>
                <w:color w:val="FFFFFF"/>
                <w:sz w:val="19"/>
                <w:szCs w:val="19"/>
              </w:rPr>
              <w:t xml:space="preserve">Version: </w:t>
            </w:r>
            <w:r>
              <w:rPr>
                <w:rStyle w:val="Strong"/>
                <w:rFonts w:ascii="Segoe UI" w:hAnsi="Segoe UI" w:cs="Segoe UI"/>
                <w:color w:val="FFFFFF"/>
                <w:sz w:val="19"/>
                <w:szCs w:val="19"/>
              </w:rPr>
              <w:t>1.0</w:t>
            </w:r>
          </w:p>
          <w:p w14:paraId="24C0D9D9" w14:textId="77777777" w:rsidR="00202328" w:rsidRDefault="00202328">
            <w:pPr>
              <w:pStyle w:val="NormalWeb"/>
              <w:rPr>
                <w:rFonts w:ascii="Segoe UI" w:hAnsi="Segoe UI" w:cs="Segoe UI"/>
                <w:color w:val="FFFFFF"/>
                <w:sz w:val="19"/>
                <w:szCs w:val="19"/>
              </w:rPr>
            </w:pPr>
            <w:r>
              <w:rPr>
                <w:rFonts w:ascii="Segoe UI" w:hAnsi="Segoe UI" w:cs="Segoe UI"/>
                <w:color w:val="FFFFFF"/>
                <w:sz w:val="19"/>
                <w:szCs w:val="19"/>
              </w:rPr>
              <w:t xml:space="preserve">Date: </w:t>
            </w:r>
            <w:r>
              <w:rPr>
                <w:rStyle w:val="Strong"/>
                <w:rFonts w:ascii="Segoe UI" w:hAnsi="Segoe UI" w:cs="Segoe UI"/>
                <w:color w:val="FFFFFF"/>
                <w:sz w:val="19"/>
                <w:szCs w:val="19"/>
              </w:rPr>
              <w:t>[Date]</w:t>
            </w:r>
          </w:p>
          <w:p w14:paraId="15721C99" w14:textId="77777777" w:rsidR="00202328" w:rsidRDefault="00202328">
            <w:pPr>
              <w:pStyle w:val="tag"/>
              <w:spacing w:before="720" w:beforeAutospacing="0" w:after="120" w:afterAutospacing="0"/>
              <w:rPr>
                <w:rFonts w:ascii="Segoe UI" w:hAnsi="Segoe UI" w:cs="Segoe UI"/>
                <w:spacing w:val="40"/>
              </w:rPr>
            </w:pPr>
            <w:r>
              <w:rPr>
                <w:rFonts w:ascii="Segoe UI" w:hAnsi="Segoe UI" w:cs="Segoe UI"/>
                <w:spacing w:val="40"/>
              </w:rPr>
              <w:t>CONFIDENTIAL</w:t>
            </w:r>
          </w:p>
        </w:tc>
      </w:tr>
    </w:tbl>
    <w:p w14:paraId="3941B499" w14:textId="77777777" w:rsidR="00202328" w:rsidRDefault="00202328">
      <w:pPr>
        <w:pStyle w:val="Heading1"/>
        <w:pageBreakBefore/>
        <w:rPr>
          <w:rFonts w:ascii="Segoe UI" w:eastAsia="Times New Roman" w:hAnsi="Segoe UI" w:cs="Segoe UI"/>
          <w:lang w:val="en"/>
        </w:rPr>
      </w:pPr>
      <w:bookmarkStart w:id="0" w:name="_Toc235449758"/>
      <w:r>
        <w:rPr>
          <w:rFonts w:ascii="Segoe UI" w:eastAsia="Times New Roman" w:hAnsi="Segoe UI" w:cs="Segoe UI"/>
          <w:lang w:val="en"/>
        </w:rPr>
        <w:lastRenderedPageBreak/>
        <w:t>2. Confidentiality Notice</w:t>
      </w:r>
      <w:bookmarkEnd w:id="0"/>
    </w:p>
    <w:p w14:paraId="28BA1F82" w14:textId="77777777" w:rsidR="00202328" w:rsidRDefault="00202328">
      <w:pPr>
        <w:pStyle w:val="NormalWeb"/>
        <w:shd w:val="clear" w:color="auto" w:fill="F2F4F7"/>
        <w:divId w:val="1932154319"/>
        <w:rPr>
          <w:rFonts w:ascii="Segoe UI" w:hAnsi="Segoe UI" w:cs="Segoe UI"/>
          <w:color w:val="1F2933"/>
          <w:sz w:val="21"/>
          <w:szCs w:val="21"/>
          <w:lang w:val="en"/>
        </w:rPr>
      </w:pPr>
      <w:r>
        <w:rPr>
          <w:rFonts w:ascii="Segoe UI" w:hAnsi="Segoe UI" w:cs="Segoe UI"/>
          <w:color w:val="1F2933"/>
          <w:sz w:val="21"/>
          <w:szCs w:val="21"/>
          <w:lang w:val="en"/>
        </w:rPr>
        <w:t xml:space="preserve">This document and all information contained within it constitute confidential commercial and technical information of Altanfith Aldwaliah SPC. It is provided exclusively for the use of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for the purpose of evaluating the Live Quiz Platform solution described herein.</w:t>
      </w:r>
    </w:p>
    <w:p w14:paraId="07579479"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No part of this proposal may be reproduced, copied, distributed, disclosed to any third party, or used for any purpose other than the evaluation of this proposal without the prior written consent of Altanfith Aldwaliah SPC. This restriction applies to the commercial terms, technical architecture, pricing, and methodology described in this document, all of which are proprietary to Altanfith Aldwaliah SPC.</w:t>
      </w:r>
    </w:p>
    <w:p w14:paraId="45E79C0E"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Should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decide not to proceed with this proposal, it is requested that all copies of this document, whether physical or electronic, be returned or securely destroyed, and that its contents not be shared with any competing vendor or unrelated third party.</w:t>
      </w:r>
    </w:p>
    <w:p w14:paraId="615AA478"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By retaining and reviewing this document,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acknowledges and agrees to treat its contents as confidential in accordance with the terms above and any separate non-disclosure agreement that may be in place between the parties.</w:t>
      </w:r>
    </w:p>
    <w:p w14:paraId="6D647232" w14:textId="77777777" w:rsidR="00202328" w:rsidRDefault="00202328">
      <w:pPr>
        <w:pStyle w:val="Heading1"/>
        <w:rPr>
          <w:rFonts w:ascii="Segoe UI" w:eastAsia="Times New Roman" w:hAnsi="Segoe UI" w:cs="Segoe UI"/>
          <w:lang w:val="en"/>
        </w:rPr>
      </w:pPr>
      <w:bookmarkStart w:id="1" w:name="_Toc235449759"/>
      <w:r>
        <w:rPr>
          <w:rFonts w:ascii="Segoe UI" w:eastAsia="Times New Roman" w:hAnsi="Segoe UI" w:cs="Segoe UI"/>
          <w:lang w:val="en"/>
        </w:rPr>
        <w:t>3. Document Control</w:t>
      </w:r>
      <w:bookmarkEnd w:id="1"/>
    </w:p>
    <w:p w14:paraId="417DE9DD" w14:textId="77777777" w:rsidR="00202328" w:rsidRDefault="00202328">
      <w:pPr>
        <w:pStyle w:val="Heading2"/>
        <w:rPr>
          <w:rFonts w:ascii="Segoe UI" w:eastAsia="Times New Roman" w:hAnsi="Segoe UI" w:cs="Segoe UI"/>
          <w:lang w:val="en"/>
        </w:rPr>
      </w:pPr>
      <w:bookmarkStart w:id="2" w:name="_Toc235449760"/>
      <w:r>
        <w:rPr>
          <w:rFonts w:ascii="Segoe UI" w:eastAsia="Times New Roman" w:hAnsi="Segoe UI" w:cs="Segoe UI"/>
          <w:lang w:val="en"/>
        </w:rPr>
        <w:t>3.1 Document Information</w:t>
      </w:r>
      <w:bookmarkEnd w:id="2"/>
    </w:p>
    <w:tbl>
      <w:tblPr>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18E2E363" w14:textId="77777777">
        <w:tc>
          <w:tcPr>
            <w:tcW w:w="1600" w:type="pct"/>
            <w:tcBorders>
              <w:top w:val="nil"/>
              <w:left w:val="nil"/>
              <w:bottom w:val="nil"/>
              <w:right w:val="nil"/>
            </w:tcBorders>
            <w:tcMar>
              <w:top w:w="40" w:type="dxa"/>
              <w:left w:w="120" w:type="dxa"/>
              <w:bottom w:w="40" w:type="dxa"/>
              <w:right w:w="120" w:type="dxa"/>
            </w:tcMar>
            <w:hideMark/>
          </w:tcPr>
          <w:p w14:paraId="1681AD50"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Title</w:t>
            </w:r>
          </w:p>
        </w:tc>
        <w:tc>
          <w:tcPr>
            <w:tcW w:w="0" w:type="auto"/>
            <w:tcBorders>
              <w:top w:val="nil"/>
              <w:left w:val="nil"/>
              <w:bottom w:val="nil"/>
              <w:right w:val="nil"/>
            </w:tcBorders>
            <w:tcMar>
              <w:top w:w="40" w:type="dxa"/>
              <w:left w:w="120" w:type="dxa"/>
              <w:bottom w:w="40" w:type="dxa"/>
              <w:right w:w="120" w:type="dxa"/>
            </w:tcMar>
            <w:hideMark/>
          </w:tcPr>
          <w:p w14:paraId="07E28A5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Platform — Technical &amp; Commercial Proposal</w:t>
            </w:r>
          </w:p>
        </w:tc>
      </w:tr>
      <w:tr w:rsidR="00000000" w14:paraId="64C65F6B" w14:textId="77777777">
        <w:tc>
          <w:tcPr>
            <w:tcW w:w="0" w:type="auto"/>
            <w:tcBorders>
              <w:top w:val="nil"/>
              <w:left w:val="nil"/>
              <w:bottom w:val="nil"/>
              <w:right w:val="nil"/>
            </w:tcBorders>
            <w:tcMar>
              <w:top w:w="40" w:type="dxa"/>
              <w:left w:w="120" w:type="dxa"/>
              <w:bottom w:w="40" w:type="dxa"/>
              <w:right w:w="120" w:type="dxa"/>
            </w:tcMar>
            <w:hideMark/>
          </w:tcPr>
          <w:p w14:paraId="5339F906"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Reference</w:t>
            </w:r>
          </w:p>
        </w:tc>
        <w:tc>
          <w:tcPr>
            <w:tcW w:w="0" w:type="auto"/>
            <w:tcBorders>
              <w:top w:val="nil"/>
              <w:left w:val="nil"/>
              <w:bottom w:val="nil"/>
              <w:right w:val="nil"/>
            </w:tcBorders>
            <w:tcMar>
              <w:top w:w="40" w:type="dxa"/>
              <w:left w:w="120" w:type="dxa"/>
              <w:bottom w:w="40" w:type="dxa"/>
              <w:right w:w="120" w:type="dxa"/>
            </w:tcMar>
            <w:hideMark/>
          </w:tcPr>
          <w:p w14:paraId="72132D8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[Proposal Reference] </w:t>
            </w:r>
            <w:r>
              <w:rPr>
                <w:rStyle w:val="muted1"/>
                <w:rFonts w:ascii="Segoe UI" w:eastAsia="Times New Roman" w:hAnsi="Segoe UI" w:cs="Segoe UI"/>
              </w:rPr>
              <w:t>(example format: ATD-LQP-2026-XXX — placeholder, to be assigned)</w:t>
            </w:r>
          </w:p>
        </w:tc>
      </w:tr>
      <w:tr w:rsidR="00000000" w14:paraId="5D304DA9" w14:textId="77777777">
        <w:tc>
          <w:tcPr>
            <w:tcW w:w="0" w:type="auto"/>
            <w:tcBorders>
              <w:top w:val="nil"/>
              <w:left w:val="nil"/>
              <w:bottom w:val="nil"/>
              <w:right w:val="nil"/>
            </w:tcBorders>
            <w:tcMar>
              <w:top w:w="40" w:type="dxa"/>
              <w:left w:w="120" w:type="dxa"/>
              <w:bottom w:w="40" w:type="dxa"/>
              <w:right w:w="120" w:type="dxa"/>
            </w:tcMar>
            <w:hideMark/>
          </w:tcPr>
          <w:p w14:paraId="294781E3"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Version</w:t>
            </w:r>
          </w:p>
        </w:tc>
        <w:tc>
          <w:tcPr>
            <w:tcW w:w="0" w:type="auto"/>
            <w:tcBorders>
              <w:top w:val="nil"/>
              <w:left w:val="nil"/>
              <w:bottom w:val="nil"/>
              <w:right w:val="nil"/>
            </w:tcBorders>
            <w:tcMar>
              <w:top w:w="40" w:type="dxa"/>
              <w:left w:w="120" w:type="dxa"/>
              <w:bottom w:w="40" w:type="dxa"/>
              <w:right w:w="120" w:type="dxa"/>
            </w:tcMar>
            <w:hideMark/>
          </w:tcPr>
          <w:p w14:paraId="374E982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r>
      <w:tr w:rsidR="00000000" w14:paraId="310D0B52" w14:textId="77777777">
        <w:tc>
          <w:tcPr>
            <w:tcW w:w="0" w:type="auto"/>
            <w:tcBorders>
              <w:top w:val="nil"/>
              <w:left w:val="nil"/>
              <w:bottom w:val="nil"/>
              <w:right w:val="nil"/>
            </w:tcBorders>
            <w:tcMar>
              <w:top w:w="40" w:type="dxa"/>
              <w:left w:w="120" w:type="dxa"/>
              <w:bottom w:w="40" w:type="dxa"/>
              <w:right w:w="120" w:type="dxa"/>
            </w:tcMar>
            <w:hideMark/>
          </w:tcPr>
          <w:p w14:paraId="21203466"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Date</w:t>
            </w:r>
          </w:p>
        </w:tc>
        <w:tc>
          <w:tcPr>
            <w:tcW w:w="0" w:type="auto"/>
            <w:tcBorders>
              <w:top w:val="nil"/>
              <w:left w:val="nil"/>
              <w:bottom w:val="nil"/>
              <w:right w:val="nil"/>
            </w:tcBorders>
            <w:tcMar>
              <w:top w:w="40" w:type="dxa"/>
              <w:left w:w="120" w:type="dxa"/>
              <w:bottom w:w="40" w:type="dxa"/>
              <w:right w:w="120" w:type="dxa"/>
            </w:tcMar>
            <w:hideMark/>
          </w:tcPr>
          <w:p w14:paraId="6B86E50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w:t>
            </w:r>
          </w:p>
        </w:tc>
      </w:tr>
      <w:tr w:rsidR="00000000" w14:paraId="2D07A3A7" w14:textId="77777777">
        <w:tc>
          <w:tcPr>
            <w:tcW w:w="0" w:type="auto"/>
            <w:tcBorders>
              <w:top w:val="nil"/>
              <w:left w:val="nil"/>
              <w:bottom w:val="nil"/>
              <w:right w:val="nil"/>
            </w:tcBorders>
            <w:tcMar>
              <w:top w:w="40" w:type="dxa"/>
              <w:left w:w="120" w:type="dxa"/>
              <w:bottom w:w="40" w:type="dxa"/>
              <w:right w:w="120" w:type="dxa"/>
            </w:tcMar>
            <w:hideMark/>
          </w:tcPr>
          <w:p w14:paraId="5C78113E"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Prepared by</w:t>
            </w:r>
          </w:p>
        </w:tc>
        <w:tc>
          <w:tcPr>
            <w:tcW w:w="0" w:type="auto"/>
            <w:tcBorders>
              <w:top w:val="nil"/>
              <w:left w:val="nil"/>
              <w:bottom w:val="nil"/>
              <w:right w:val="nil"/>
            </w:tcBorders>
            <w:tcMar>
              <w:top w:w="40" w:type="dxa"/>
              <w:left w:w="120" w:type="dxa"/>
              <w:bottom w:w="40" w:type="dxa"/>
              <w:right w:w="120" w:type="dxa"/>
            </w:tcMar>
            <w:hideMark/>
          </w:tcPr>
          <w:p w14:paraId="053A6A2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 Al Lamki, Altanfith Aldwaliah SPC</w:t>
            </w:r>
          </w:p>
        </w:tc>
      </w:tr>
      <w:tr w:rsidR="00000000" w14:paraId="7FC39DC2" w14:textId="77777777">
        <w:tc>
          <w:tcPr>
            <w:tcW w:w="0" w:type="auto"/>
            <w:tcBorders>
              <w:top w:val="nil"/>
              <w:left w:val="nil"/>
              <w:bottom w:val="nil"/>
              <w:right w:val="nil"/>
            </w:tcBorders>
            <w:tcMar>
              <w:top w:w="40" w:type="dxa"/>
              <w:left w:w="120" w:type="dxa"/>
              <w:bottom w:w="40" w:type="dxa"/>
              <w:right w:w="120" w:type="dxa"/>
            </w:tcMar>
            <w:hideMark/>
          </w:tcPr>
          <w:p w14:paraId="191E01B5"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Classification</w:t>
            </w:r>
          </w:p>
        </w:tc>
        <w:tc>
          <w:tcPr>
            <w:tcW w:w="0" w:type="auto"/>
            <w:tcBorders>
              <w:top w:val="nil"/>
              <w:left w:val="nil"/>
              <w:bottom w:val="nil"/>
              <w:right w:val="nil"/>
            </w:tcBorders>
            <w:tcMar>
              <w:top w:w="40" w:type="dxa"/>
              <w:left w:w="120" w:type="dxa"/>
              <w:bottom w:w="40" w:type="dxa"/>
              <w:right w:w="120" w:type="dxa"/>
            </w:tcMar>
            <w:hideMark/>
          </w:tcPr>
          <w:p w14:paraId="2F342D8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Confidential</w:t>
            </w:r>
          </w:p>
        </w:tc>
      </w:tr>
    </w:tbl>
    <w:p w14:paraId="0E881623" w14:textId="77777777" w:rsidR="00202328" w:rsidRDefault="00202328">
      <w:pPr>
        <w:pStyle w:val="Heading2"/>
        <w:rPr>
          <w:rFonts w:ascii="Segoe UI" w:eastAsia="Times New Roman" w:hAnsi="Segoe UI" w:cs="Segoe UI"/>
          <w:lang w:val="en"/>
        </w:rPr>
      </w:pPr>
      <w:bookmarkStart w:id="3" w:name="_Toc235449761"/>
      <w:r>
        <w:rPr>
          <w:rFonts w:ascii="Segoe UI" w:eastAsia="Times New Roman" w:hAnsi="Segoe UI" w:cs="Segoe UI"/>
          <w:lang w:val="en"/>
        </w:rPr>
        <w:t>3.2 Revision History</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1937"/>
        <w:gridCol w:w="1587"/>
        <w:gridCol w:w="3629"/>
        <w:gridCol w:w="2466"/>
      </w:tblGrid>
      <w:tr w:rsidR="00000000" w14:paraId="5D06DD6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5C5FD88"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Version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79C0273"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Date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716F0E2"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Author</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623F8A6"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Change</w:t>
            </w:r>
          </w:p>
        </w:tc>
      </w:tr>
      <w:tr w:rsidR="00000000" w14:paraId="2BB1B89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67D3C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34C86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F8A6A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 Al Lamki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1D437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Initial issue</w:t>
            </w:r>
          </w:p>
        </w:tc>
      </w:tr>
    </w:tbl>
    <w:p w14:paraId="5C0377EF" w14:textId="77777777" w:rsidR="00202328" w:rsidRDefault="00202328">
      <w:pPr>
        <w:pStyle w:val="Heading1"/>
        <w:rPr>
          <w:rFonts w:ascii="Segoe UI" w:eastAsia="Times New Roman" w:hAnsi="Segoe UI" w:cs="Segoe UI"/>
          <w:lang w:val="en"/>
        </w:rPr>
      </w:pPr>
      <w:bookmarkStart w:id="4" w:name="_Toc235449762"/>
      <w:r>
        <w:rPr>
          <w:rFonts w:ascii="Segoe UI" w:eastAsia="Times New Roman" w:hAnsi="Segoe UI" w:cs="Segoe UI"/>
          <w:lang w:val="en"/>
        </w:rPr>
        <w:lastRenderedPageBreak/>
        <w:t>4. Table of Contents</w:t>
      </w:r>
      <w:bookmarkEnd w:id="4"/>
    </w:p>
    <w:p w14:paraId="61B12A3E" w14:textId="5643648C" w:rsidR="006D25F0" w:rsidRDefault="006D25F0" w:rsidP="006D25F0">
      <w:pPr>
        <w:pStyle w:val="TOC1"/>
        <w:tabs>
          <w:tab w:val="right" w:leader="dot" w:pos="9629"/>
        </w:tabs>
        <w:rPr>
          <w:rFonts w:asciiTheme="minorHAnsi" w:hAnsiTheme="minorHAnsi" w:cstheme="minorBidi"/>
          <w:noProof/>
          <w:kern w:val="2"/>
          <w14:ligatures w14:val="standardContextual"/>
        </w:rPr>
      </w:pPr>
      <w:r>
        <w:rPr>
          <w:rFonts w:ascii="Segoe UI" w:hAnsi="Segoe UI" w:cs="Segoe UI"/>
          <w:color w:val="1F2933"/>
          <w:sz w:val="21"/>
          <w:szCs w:val="21"/>
          <w:lang w:val="en"/>
        </w:rPr>
        <w:fldChar w:fldCharType="begin"/>
      </w:r>
      <w:r>
        <w:rPr>
          <w:rFonts w:ascii="Segoe UI" w:hAnsi="Segoe UI" w:cs="Segoe UI"/>
          <w:color w:val="1F2933"/>
          <w:sz w:val="21"/>
          <w:szCs w:val="21"/>
          <w:lang w:val="en"/>
        </w:rPr>
        <w:instrText xml:space="preserve"> TOC \o "1-2" </w:instrText>
      </w:r>
      <w:r>
        <w:rPr>
          <w:rFonts w:ascii="Segoe UI" w:hAnsi="Segoe UI" w:cs="Segoe UI"/>
          <w:color w:val="1F2933"/>
          <w:sz w:val="21"/>
          <w:szCs w:val="21"/>
          <w:lang w:val="en"/>
        </w:rPr>
        <w:fldChar w:fldCharType="separate"/>
      </w:r>
      <w:r w:rsidRPr="00941386">
        <w:rPr>
          <w:rFonts w:ascii="Segoe UI" w:eastAsia="Times New Roman" w:hAnsi="Segoe UI" w:cs="Segoe UI"/>
          <w:noProof/>
          <w:lang w:val="en"/>
        </w:rPr>
        <w:t>2. Confidentiality Notice</w:t>
      </w:r>
      <w:r>
        <w:rPr>
          <w:noProof/>
        </w:rPr>
        <w:tab/>
      </w:r>
      <w:r>
        <w:rPr>
          <w:noProof/>
        </w:rPr>
        <w:fldChar w:fldCharType="begin"/>
      </w:r>
      <w:r>
        <w:rPr>
          <w:noProof/>
        </w:rPr>
        <w:instrText xml:space="preserve"> PAGEREF _Toc235449758 \h </w:instrText>
      </w:r>
      <w:r>
        <w:rPr>
          <w:noProof/>
        </w:rPr>
      </w:r>
      <w:r>
        <w:rPr>
          <w:noProof/>
        </w:rPr>
        <w:fldChar w:fldCharType="separate"/>
      </w:r>
      <w:r>
        <w:rPr>
          <w:noProof/>
        </w:rPr>
        <w:t>2</w:t>
      </w:r>
      <w:r>
        <w:rPr>
          <w:noProof/>
        </w:rPr>
        <w:fldChar w:fldCharType="end"/>
      </w:r>
    </w:p>
    <w:p w14:paraId="64AE8588" w14:textId="126DDACC"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3. Document Control</w:t>
      </w:r>
      <w:r>
        <w:rPr>
          <w:noProof/>
        </w:rPr>
        <w:tab/>
      </w:r>
      <w:r>
        <w:rPr>
          <w:noProof/>
        </w:rPr>
        <w:fldChar w:fldCharType="begin"/>
      </w:r>
      <w:r>
        <w:rPr>
          <w:noProof/>
        </w:rPr>
        <w:instrText xml:space="preserve"> PAGEREF _Toc235449759 \h </w:instrText>
      </w:r>
      <w:r>
        <w:rPr>
          <w:noProof/>
        </w:rPr>
      </w:r>
      <w:r>
        <w:rPr>
          <w:noProof/>
        </w:rPr>
        <w:fldChar w:fldCharType="separate"/>
      </w:r>
      <w:r>
        <w:rPr>
          <w:noProof/>
        </w:rPr>
        <w:t>2</w:t>
      </w:r>
      <w:r>
        <w:rPr>
          <w:noProof/>
        </w:rPr>
        <w:fldChar w:fldCharType="end"/>
      </w:r>
    </w:p>
    <w:p w14:paraId="164599A9" w14:textId="225098DE"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3.1 Document Information</w:t>
      </w:r>
      <w:r>
        <w:rPr>
          <w:noProof/>
        </w:rPr>
        <w:tab/>
      </w:r>
      <w:r>
        <w:rPr>
          <w:noProof/>
        </w:rPr>
        <w:fldChar w:fldCharType="begin"/>
      </w:r>
      <w:r>
        <w:rPr>
          <w:noProof/>
        </w:rPr>
        <w:instrText xml:space="preserve"> PAGEREF _Toc235449760 \h </w:instrText>
      </w:r>
      <w:r>
        <w:rPr>
          <w:noProof/>
        </w:rPr>
      </w:r>
      <w:r>
        <w:rPr>
          <w:noProof/>
        </w:rPr>
        <w:fldChar w:fldCharType="separate"/>
      </w:r>
      <w:r>
        <w:rPr>
          <w:noProof/>
        </w:rPr>
        <w:t>2</w:t>
      </w:r>
      <w:r>
        <w:rPr>
          <w:noProof/>
        </w:rPr>
        <w:fldChar w:fldCharType="end"/>
      </w:r>
    </w:p>
    <w:p w14:paraId="0724A76A" w14:textId="2A21EA1F"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3.2 Revision History</w:t>
      </w:r>
      <w:r>
        <w:rPr>
          <w:noProof/>
        </w:rPr>
        <w:tab/>
      </w:r>
      <w:r>
        <w:rPr>
          <w:noProof/>
        </w:rPr>
        <w:fldChar w:fldCharType="begin"/>
      </w:r>
      <w:r>
        <w:rPr>
          <w:noProof/>
        </w:rPr>
        <w:instrText xml:space="preserve"> PAGEREF _Toc235449761 \h </w:instrText>
      </w:r>
      <w:r>
        <w:rPr>
          <w:noProof/>
        </w:rPr>
      </w:r>
      <w:r>
        <w:rPr>
          <w:noProof/>
        </w:rPr>
        <w:fldChar w:fldCharType="separate"/>
      </w:r>
      <w:r>
        <w:rPr>
          <w:noProof/>
        </w:rPr>
        <w:t>2</w:t>
      </w:r>
      <w:r>
        <w:rPr>
          <w:noProof/>
        </w:rPr>
        <w:fldChar w:fldCharType="end"/>
      </w:r>
    </w:p>
    <w:p w14:paraId="243737C5" w14:textId="3C556361"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4. Table of Contents</w:t>
      </w:r>
      <w:r>
        <w:rPr>
          <w:noProof/>
        </w:rPr>
        <w:tab/>
      </w:r>
      <w:r>
        <w:rPr>
          <w:noProof/>
        </w:rPr>
        <w:fldChar w:fldCharType="begin"/>
      </w:r>
      <w:r>
        <w:rPr>
          <w:noProof/>
        </w:rPr>
        <w:instrText xml:space="preserve"> PAGEREF _Toc235449762 \h </w:instrText>
      </w:r>
      <w:r>
        <w:rPr>
          <w:noProof/>
        </w:rPr>
      </w:r>
      <w:r>
        <w:rPr>
          <w:noProof/>
        </w:rPr>
        <w:fldChar w:fldCharType="separate"/>
      </w:r>
      <w:r>
        <w:rPr>
          <w:noProof/>
        </w:rPr>
        <w:t>3</w:t>
      </w:r>
      <w:r>
        <w:rPr>
          <w:noProof/>
        </w:rPr>
        <w:fldChar w:fldCharType="end"/>
      </w:r>
    </w:p>
    <w:p w14:paraId="7563451F" w14:textId="48E8192E"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5. Letter of Submission</w:t>
      </w:r>
      <w:r>
        <w:rPr>
          <w:noProof/>
        </w:rPr>
        <w:tab/>
      </w:r>
      <w:r>
        <w:rPr>
          <w:noProof/>
        </w:rPr>
        <w:fldChar w:fldCharType="begin"/>
      </w:r>
      <w:r>
        <w:rPr>
          <w:noProof/>
        </w:rPr>
        <w:instrText xml:space="preserve"> PAGEREF _Toc235449763 \h </w:instrText>
      </w:r>
      <w:r>
        <w:rPr>
          <w:noProof/>
        </w:rPr>
      </w:r>
      <w:r>
        <w:rPr>
          <w:noProof/>
        </w:rPr>
        <w:fldChar w:fldCharType="separate"/>
      </w:r>
      <w:r>
        <w:rPr>
          <w:noProof/>
        </w:rPr>
        <w:t>5</w:t>
      </w:r>
      <w:r>
        <w:rPr>
          <w:noProof/>
        </w:rPr>
        <w:fldChar w:fldCharType="end"/>
      </w:r>
    </w:p>
    <w:p w14:paraId="7C5FBE2E" w14:textId="21DEBB1E"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6. Executive Summary</w:t>
      </w:r>
      <w:r>
        <w:rPr>
          <w:noProof/>
        </w:rPr>
        <w:tab/>
      </w:r>
      <w:r>
        <w:rPr>
          <w:noProof/>
        </w:rPr>
        <w:fldChar w:fldCharType="begin"/>
      </w:r>
      <w:r>
        <w:rPr>
          <w:noProof/>
        </w:rPr>
        <w:instrText xml:space="preserve"> PAGEREF _Toc235449764 \h </w:instrText>
      </w:r>
      <w:r>
        <w:rPr>
          <w:noProof/>
        </w:rPr>
      </w:r>
      <w:r>
        <w:rPr>
          <w:noProof/>
        </w:rPr>
        <w:fldChar w:fldCharType="separate"/>
      </w:r>
      <w:r>
        <w:rPr>
          <w:noProof/>
        </w:rPr>
        <w:t>6</w:t>
      </w:r>
      <w:r>
        <w:rPr>
          <w:noProof/>
        </w:rPr>
        <w:fldChar w:fldCharType="end"/>
      </w:r>
    </w:p>
    <w:p w14:paraId="000FD7BC" w14:textId="0D23159E"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7. About Altanfith Aldwaliah SPC</w:t>
      </w:r>
      <w:r>
        <w:rPr>
          <w:noProof/>
        </w:rPr>
        <w:tab/>
      </w:r>
      <w:r>
        <w:rPr>
          <w:noProof/>
        </w:rPr>
        <w:fldChar w:fldCharType="begin"/>
      </w:r>
      <w:r>
        <w:rPr>
          <w:noProof/>
        </w:rPr>
        <w:instrText xml:space="preserve"> PAGEREF _Toc235449765 \h </w:instrText>
      </w:r>
      <w:r>
        <w:rPr>
          <w:noProof/>
        </w:rPr>
      </w:r>
      <w:r>
        <w:rPr>
          <w:noProof/>
        </w:rPr>
        <w:fldChar w:fldCharType="separate"/>
      </w:r>
      <w:r>
        <w:rPr>
          <w:noProof/>
        </w:rPr>
        <w:t>7</w:t>
      </w:r>
      <w:r>
        <w:rPr>
          <w:noProof/>
        </w:rPr>
        <w:fldChar w:fldCharType="end"/>
      </w:r>
    </w:p>
    <w:p w14:paraId="7AD405DC" w14:textId="3E7B4E04"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8. Understanding of Client Requirements</w:t>
      </w:r>
      <w:r>
        <w:rPr>
          <w:noProof/>
        </w:rPr>
        <w:tab/>
      </w:r>
      <w:r>
        <w:rPr>
          <w:noProof/>
        </w:rPr>
        <w:fldChar w:fldCharType="begin"/>
      </w:r>
      <w:r>
        <w:rPr>
          <w:noProof/>
        </w:rPr>
        <w:instrText xml:space="preserve"> PAGEREF _Toc235449766 \h </w:instrText>
      </w:r>
      <w:r>
        <w:rPr>
          <w:noProof/>
        </w:rPr>
      </w:r>
      <w:r>
        <w:rPr>
          <w:noProof/>
        </w:rPr>
        <w:fldChar w:fldCharType="separate"/>
      </w:r>
      <w:r>
        <w:rPr>
          <w:noProof/>
        </w:rPr>
        <w:t>7</w:t>
      </w:r>
      <w:r>
        <w:rPr>
          <w:noProof/>
        </w:rPr>
        <w:fldChar w:fldCharType="end"/>
      </w:r>
    </w:p>
    <w:p w14:paraId="32F1BC77" w14:textId="35176F14"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9. Business Challenges</w:t>
      </w:r>
      <w:r>
        <w:rPr>
          <w:noProof/>
        </w:rPr>
        <w:tab/>
      </w:r>
      <w:r>
        <w:rPr>
          <w:noProof/>
        </w:rPr>
        <w:fldChar w:fldCharType="begin"/>
      </w:r>
      <w:r>
        <w:rPr>
          <w:noProof/>
        </w:rPr>
        <w:instrText xml:space="preserve"> PAGEREF _Toc235449767 \h </w:instrText>
      </w:r>
      <w:r>
        <w:rPr>
          <w:noProof/>
        </w:rPr>
      </w:r>
      <w:r>
        <w:rPr>
          <w:noProof/>
        </w:rPr>
        <w:fldChar w:fldCharType="separate"/>
      </w:r>
      <w:r>
        <w:rPr>
          <w:noProof/>
        </w:rPr>
        <w:t>8</w:t>
      </w:r>
      <w:r>
        <w:rPr>
          <w:noProof/>
        </w:rPr>
        <w:fldChar w:fldCharType="end"/>
      </w:r>
    </w:p>
    <w:p w14:paraId="7ED7E5F0" w14:textId="14C6F77D"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10. Proposed Solution</w:t>
      </w:r>
      <w:r>
        <w:rPr>
          <w:noProof/>
        </w:rPr>
        <w:tab/>
      </w:r>
      <w:r>
        <w:rPr>
          <w:noProof/>
        </w:rPr>
        <w:fldChar w:fldCharType="begin"/>
      </w:r>
      <w:r>
        <w:rPr>
          <w:noProof/>
        </w:rPr>
        <w:instrText xml:space="preserve"> PAGEREF _Toc235449768 \h </w:instrText>
      </w:r>
      <w:r>
        <w:rPr>
          <w:noProof/>
        </w:rPr>
      </w:r>
      <w:r>
        <w:rPr>
          <w:noProof/>
        </w:rPr>
        <w:fldChar w:fldCharType="separate"/>
      </w:r>
      <w:r>
        <w:rPr>
          <w:noProof/>
        </w:rPr>
        <w:t>10</w:t>
      </w:r>
      <w:r>
        <w:rPr>
          <w:noProof/>
        </w:rPr>
        <w:fldChar w:fldCharType="end"/>
      </w:r>
    </w:p>
    <w:p w14:paraId="3B9D17AE" w14:textId="1CFC8117"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11. Platform Overview</w:t>
      </w:r>
      <w:r>
        <w:rPr>
          <w:noProof/>
        </w:rPr>
        <w:tab/>
      </w:r>
      <w:r>
        <w:rPr>
          <w:noProof/>
        </w:rPr>
        <w:fldChar w:fldCharType="begin"/>
      </w:r>
      <w:r>
        <w:rPr>
          <w:noProof/>
        </w:rPr>
        <w:instrText xml:space="preserve"> PAGEREF _Toc235449769 \h </w:instrText>
      </w:r>
      <w:r>
        <w:rPr>
          <w:noProof/>
        </w:rPr>
      </w:r>
      <w:r>
        <w:rPr>
          <w:noProof/>
        </w:rPr>
        <w:fldChar w:fldCharType="separate"/>
      </w:r>
      <w:r>
        <w:rPr>
          <w:noProof/>
        </w:rPr>
        <w:t>10</w:t>
      </w:r>
      <w:r>
        <w:rPr>
          <w:noProof/>
        </w:rPr>
        <w:fldChar w:fldCharType="end"/>
      </w:r>
    </w:p>
    <w:p w14:paraId="14A252D8" w14:textId="419EFBB5"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12. Current Use Case</w:t>
      </w:r>
      <w:r>
        <w:rPr>
          <w:noProof/>
        </w:rPr>
        <w:tab/>
      </w:r>
      <w:r>
        <w:rPr>
          <w:noProof/>
        </w:rPr>
        <w:fldChar w:fldCharType="begin"/>
      </w:r>
      <w:r>
        <w:rPr>
          <w:noProof/>
        </w:rPr>
        <w:instrText xml:space="preserve"> PAGEREF _Toc235449770 \h </w:instrText>
      </w:r>
      <w:r>
        <w:rPr>
          <w:noProof/>
        </w:rPr>
      </w:r>
      <w:r>
        <w:rPr>
          <w:noProof/>
        </w:rPr>
        <w:fldChar w:fldCharType="separate"/>
      </w:r>
      <w:r>
        <w:rPr>
          <w:noProof/>
        </w:rPr>
        <w:t>11</w:t>
      </w:r>
      <w:r>
        <w:rPr>
          <w:noProof/>
        </w:rPr>
        <w:fldChar w:fldCharType="end"/>
      </w:r>
    </w:p>
    <w:p w14:paraId="3250D9C6" w14:textId="10EC6A77"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13. Functional Scope</w:t>
      </w:r>
      <w:r>
        <w:rPr>
          <w:noProof/>
        </w:rPr>
        <w:tab/>
      </w:r>
      <w:r>
        <w:rPr>
          <w:noProof/>
        </w:rPr>
        <w:fldChar w:fldCharType="begin"/>
      </w:r>
      <w:r>
        <w:rPr>
          <w:noProof/>
        </w:rPr>
        <w:instrText xml:space="preserve"> PAGEREF _Toc235449771 \h </w:instrText>
      </w:r>
      <w:r>
        <w:rPr>
          <w:noProof/>
        </w:rPr>
      </w:r>
      <w:r>
        <w:rPr>
          <w:noProof/>
        </w:rPr>
        <w:fldChar w:fldCharType="separate"/>
      </w:r>
      <w:r>
        <w:rPr>
          <w:noProof/>
        </w:rPr>
        <w:t>12</w:t>
      </w:r>
      <w:r>
        <w:rPr>
          <w:noProof/>
        </w:rPr>
        <w:fldChar w:fldCharType="end"/>
      </w:r>
    </w:p>
    <w:p w14:paraId="62BF4856" w14:textId="66F49790"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13.1 Quiz Creation &amp; Content</w:t>
      </w:r>
      <w:r>
        <w:rPr>
          <w:noProof/>
        </w:rPr>
        <w:tab/>
      </w:r>
      <w:r>
        <w:rPr>
          <w:noProof/>
        </w:rPr>
        <w:fldChar w:fldCharType="begin"/>
      </w:r>
      <w:r>
        <w:rPr>
          <w:noProof/>
        </w:rPr>
        <w:instrText xml:space="preserve"> PAGEREF _Toc235449772 \h </w:instrText>
      </w:r>
      <w:r>
        <w:rPr>
          <w:noProof/>
        </w:rPr>
      </w:r>
      <w:r>
        <w:rPr>
          <w:noProof/>
        </w:rPr>
        <w:fldChar w:fldCharType="separate"/>
      </w:r>
      <w:r>
        <w:rPr>
          <w:noProof/>
        </w:rPr>
        <w:t>12</w:t>
      </w:r>
      <w:r>
        <w:rPr>
          <w:noProof/>
        </w:rPr>
        <w:fldChar w:fldCharType="end"/>
      </w:r>
    </w:p>
    <w:p w14:paraId="5F46E90D" w14:textId="27E0D2A6"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13.2 Live Hosting &amp; Participation</w:t>
      </w:r>
      <w:r>
        <w:rPr>
          <w:noProof/>
        </w:rPr>
        <w:tab/>
      </w:r>
      <w:r>
        <w:rPr>
          <w:noProof/>
        </w:rPr>
        <w:fldChar w:fldCharType="begin"/>
      </w:r>
      <w:r>
        <w:rPr>
          <w:noProof/>
        </w:rPr>
        <w:instrText xml:space="preserve"> PAGEREF _Toc235449773 \h </w:instrText>
      </w:r>
      <w:r>
        <w:rPr>
          <w:noProof/>
        </w:rPr>
      </w:r>
      <w:r>
        <w:rPr>
          <w:noProof/>
        </w:rPr>
        <w:fldChar w:fldCharType="separate"/>
      </w:r>
      <w:r>
        <w:rPr>
          <w:noProof/>
        </w:rPr>
        <w:t>13</w:t>
      </w:r>
      <w:r>
        <w:rPr>
          <w:noProof/>
        </w:rPr>
        <w:fldChar w:fldCharType="end"/>
      </w:r>
    </w:p>
    <w:p w14:paraId="3E678172" w14:textId="07796D92"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13.3 Branding &amp; Experience</w:t>
      </w:r>
      <w:r>
        <w:rPr>
          <w:noProof/>
        </w:rPr>
        <w:tab/>
      </w:r>
      <w:r>
        <w:rPr>
          <w:noProof/>
        </w:rPr>
        <w:fldChar w:fldCharType="begin"/>
      </w:r>
      <w:r>
        <w:rPr>
          <w:noProof/>
        </w:rPr>
        <w:instrText xml:space="preserve"> PAGEREF _Toc235449774 \h </w:instrText>
      </w:r>
      <w:r>
        <w:rPr>
          <w:noProof/>
        </w:rPr>
      </w:r>
      <w:r>
        <w:rPr>
          <w:noProof/>
        </w:rPr>
        <w:fldChar w:fldCharType="separate"/>
      </w:r>
      <w:r>
        <w:rPr>
          <w:noProof/>
        </w:rPr>
        <w:t>14</w:t>
      </w:r>
      <w:r>
        <w:rPr>
          <w:noProof/>
        </w:rPr>
        <w:fldChar w:fldCharType="end"/>
      </w:r>
    </w:p>
    <w:p w14:paraId="23DDD792" w14:textId="6D500B74"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13.4 Reporting &amp; Analytics</w:t>
      </w:r>
      <w:r>
        <w:rPr>
          <w:noProof/>
        </w:rPr>
        <w:tab/>
      </w:r>
      <w:r>
        <w:rPr>
          <w:noProof/>
        </w:rPr>
        <w:fldChar w:fldCharType="begin"/>
      </w:r>
      <w:r>
        <w:rPr>
          <w:noProof/>
        </w:rPr>
        <w:instrText xml:space="preserve"> PAGEREF _Toc235449775 \h </w:instrText>
      </w:r>
      <w:r>
        <w:rPr>
          <w:noProof/>
        </w:rPr>
      </w:r>
      <w:r>
        <w:rPr>
          <w:noProof/>
        </w:rPr>
        <w:fldChar w:fldCharType="separate"/>
      </w:r>
      <w:r>
        <w:rPr>
          <w:noProof/>
        </w:rPr>
        <w:t>14</w:t>
      </w:r>
      <w:r>
        <w:rPr>
          <w:noProof/>
        </w:rPr>
        <w:fldChar w:fldCharType="end"/>
      </w:r>
    </w:p>
    <w:p w14:paraId="10A3B7C3" w14:textId="166E1853"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13.5 Administration &amp; Governance</w:t>
      </w:r>
      <w:r>
        <w:rPr>
          <w:noProof/>
        </w:rPr>
        <w:tab/>
      </w:r>
      <w:r>
        <w:rPr>
          <w:noProof/>
        </w:rPr>
        <w:fldChar w:fldCharType="begin"/>
      </w:r>
      <w:r>
        <w:rPr>
          <w:noProof/>
        </w:rPr>
        <w:instrText xml:space="preserve"> PAGEREF _Toc235449776 \h </w:instrText>
      </w:r>
      <w:r>
        <w:rPr>
          <w:noProof/>
        </w:rPr>
      </w:r>
      <w:r>
        <w:rPr>
          <w:noProof/>
        </w:rPr>
        <w:fldChar w:fldCharType="separate"/>
      </w:r>
      <w:r>
        <w:rPr>
          <w:noProof/>
        </w:rPr>
        <w:t>15</w:t>
      </w:r>
      <w:r>
        <w:rPr>
          <w:noProof/>
        </w:rPr>
        <w:fldChar w:fldCharType="end"/>
      </w:r>
    </w:p>
    <w:p w14:paraId="73CD5E65" w14:textId="7D28440F"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13.6 AI Capabilities</w:t>
      </w:r>
      <w:r>
        <w:rPr>
          <w:noProof/>
        </w:rPr>
        <w:tab/>
      </w:r>
      <w:r>
        <w:rPr>
          <w:noProof/>
        </w:rPr>
        <w:fldChar w:fldCharType="begin"/>
      </w:r>
      <w:r>
        <w:rPr>
          <w:noProof/>
        </w:rPr>
        <w:instrText xml:space="preserve"> PAGEREF _Toc235449777 \h </w:instrText>
      </w:r>
      <w:r>
        <w:rPr>
          <w:noProof/>
        </w:rPr>
      </w:r>
      <w:r>
        <w:rPr>
          <w:noProof/>
        </w:rPr>
        <w:fldChar w:fldCharType="separate"/>
      </w:r>
      <w:r>
        <w:rPr>
          <w:noProof/>
        </w:rPr>
        <w:t>16</w:t>
      </w:r>
      <w:r>
        <w:rPr>
          <w:noProof/>
        </w:rPr>
        <w:fldChar w:fldCharType="end"/>
      </w:r>
    </w:p>
    <w:p w14:paraId="28AB4F7D" w14:textId="6CCFCB84"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14. AI Capabilities</w:t>
      </w:r>
      <w:r>
        <w:rPr>
          <w:noProof/>
        </w:rPr>
        <w:tab/>
      </w:r>
      <w:r>
        <w:rPr>
          <w:noProof/>
        </w:rPr>
        <w:fldChar w:fldCharType="begin"/>
      </w:r>
      <w:r>
        <w:rPr>
          <w:noProof/>
        </w:rPr>
        <w:instrText xml:space="preserve"> PAGEREF _Toc235449778 \h </w:instrText>
      </w:r>
      <w:r>
        <w:rPr>
          <w:noProof/>
        </w:rPr>
      </w:r>
      <w:r>
        <w:rPr>
          <w:noProof/>
        </w:rPr>
        <w:fldChar w:fldCharType="separate"/>
      </w:r>
      <w:r>
        <w:rPr>
          <w:noProof/>
        </w:rPr>
        <w:t>16</w:t>
      </w:r>
      <w:r>
        <w:rPr>
          <w:noProof/>
        </w:rPr>
        <w:fldChar w:fldCharType="end"/>
      </w:r>
    </w:p>
    <w:p w14:paraId="4F153F8F" w14:textId="1CE826F0"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14.1 Current Capabilities (Included)</w:t>
      </w:r>
      <w:r>
        <w:rPr>
          <w:noProof/>
        </w:rPr>
        <w:tab/>
      </w:r>
      <w:r>
        <w:rPr>
          <w:noProof/>
        </w:rPr>
        <w:fldChar w:fldCharType="begin"/>
      </w:r>
      <w:r>
        <w:rPr>
          <w:noProof/>
        </w:rPr>
        <w:instrText xml:space="preserve"> PAGEREF _Toc235449779 \h </w:instrText>
      </w:r>
      <w:r>
        <w:rPr>
          <w:noProof/>
        </w:rPr>
      </w:r>
      <w:r>
        <w:rPr>
          <w:noProof/>
        </w:rPr>
        <w:fldChar w:fldCharType="separate"/>
      </w:r>
      <w:r>
        <w:rPr>
          <w:noProof/>
        </w:rPr>
        <w:t>16</w:t>
      </w:r>
      <w:r>
        <w:rPr>
          <w:noProof/>
        </w:rPr>
        <w:fldChar w:fldCharType="end"/>
      </w:r>
    </w:p>
    <w:p w14:paraId="7D341FEC" w14:textId="28943EB4"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14.2 Optional Capabilities (Scoped per Engagement)</w:t>
      </w:r>
      <w:r>
        <w:rPr>
          <w:noProof/>
        </w:rPr>
        <w:tab/>
      </w:r>
      <w:r>
        <w:rPr>
          <w:noProof/>
        </w:rPr>
        <w:fldChar w:fldCharType="begin"/>
      </w:r>
      <w:r>
        <w:rPr>
          <w:noProof/>
        </w:rPr>
        <w:instrText xml:space="preserve"> PAGEREF _Toc235449780 \h </w:instrText>
      </w:r>
      <w:r>
        <w:rPr>
          <w:noProof/>
        </w:rPr>
      </w:r>
      <w:r>
        <w:rPr>
          <w:noProof/>
        </w:rPr>
        <w:fldChar w:fldCharType="separate"/>
      </w:r>
      <w:r>
        <w:rPr>
          <w:noProof/>
        </w:rPr>
        <w:t>17</w:t>
      </w:r>
      <w:r>
        <w:rPr>
          <w:noProof/>
        </w:rPr>
        <w:fldChar w:fldCharType="end"/>
      </w:r>
    </w:p>
    <w:p w14:paraId="53B98BCE" w14:textId="6F0D6081"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14.3 Future Roadmap</w:t>
      </w:r>
      <w:r>
        <w:rPr>
          <w:noProof/>
        </w:rPr>
        <w:tab/>
      </w:r>
      <w:r>
        <w:rPr>
          <w:noProof/>
        </w:rPr>
        <w:fldChar w:fldCharType="begin"/>
      </w:r>
      <w:r>
        <w:rPr>
          <w:noProof/>
        </w:rPr>
        <w:instrText xml:space="preserve"> PAGEREF _Toc235449781 \h </w:instrText>
      </w:r>
      <w:r>
        <w:rPr>
          <w:noProof/>
        </w:rPr>
      </w:r>
      <w:r>
        <w:rPr>
          <w:noProof/>
        </w:rPr>
        <w:fldChar w:fldCharType="separate"/>
      </w:r>
      <w:r>
        <w:rPr>
          <w:noProof/>
        </w:rPr>
        <w:t>18</w:t>
      </w:r>
      <w:r>
        <w:rPr>
          <w:noProof/>
        </w:rPr>
        <w:fldChar w:fldCharType="end"/>
      </w:r>
    </w:p>
    <w:p w14:paraId="10354D68" w14:textId="7148BBE4"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15. User Roles</w:t>
      </w:r>
      <w:r>
        <w:rPr>
          <w:noProof/>
        </w:rPr>
        <w:tab/>
      </w:r>
      <w:r>
        <w:rPr>
          <w:noProof/>
        </w:rPr>
        <w:fldChar w:fldCharType="begin"/>
      </w:r>
      <w:r>
        <w:rPr>
          <w:noProof/>
        </w:rPr>
        <w:instrText xml:space="preserve"> PAGEREF _Toc235449782 \h </w:instrText>
      </w:r>
      <w:r>
        <w:rPr>
          <w:noProof/>
        </w:rPr>
      </w:r>
      <w:r>
        <w:rPr>
          <w:noProof/>
        </w:rPr>
        <w:fldChar w:fldCharType="separate"/>
      </w:r>
      <w:r>
        <w:rPr>
          <w:noProof/>
        </w:rPr>
        <w:t>18</w:t>
      </w:r>
      <w:r>
        <w:rPr>
          <w:noProof/>
        </w:rPr>
        <w:fldChar w:fldCharType="end"/>
      </w:r>
    </w:p>
    <w:p w14:paraId="67E75403" w14:textId="2055A95A"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16. Reporting and Analytics</w:t>
      </w:r>
      <w:r>
        <w:rPr>
          <w:noProof/>
        </w:rPr>
        <w:tab/>
      </w:r>
      <w:r>
        <w:rPr>
          <w:noProof/>
        </w:rPr>
        <w:fldChar w:fldCharType="begin"/>
      </w:r>
      <w:r>
        <w:rPr>
          <w:noProof/>
        </w:rPr>
        <w:instrText xml:space="preserve"> PAGEREF _Toc235449783 \h </w:instrText>
      </w:r>
      <w:r>
        <w:rPr>
          <w:noProof/>
        </w:rPr>
      </w:r>
      <w:r>
        <w:rPr>
          <w:noProof/>
        </w:rPr>
        <w:fldChar w:fldCharType="separate"/>
      </w:r>
      <w:r>
        <w:rPr>
          <w:noProof/>
        </w:rPr>
        <w:t>19</w:t>
      </w:r>
      <w:r>
        <w:rPr>
          <w:noProof/>
        </w:rPr>
        <w:fldChar w:fldCharType="end"/>
      </w:r>
    </w:p>
    <w:p w14:paraId="308EF100" w14:textId="1058982A"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17. Technical Architecture</w:t>
      </w:r>
      <w:r>
        <w:rPr>
          <w:noProof/>
        </w:rPr>
        <w:tab/>
      </w:r>
      <w:r>
        <w:rPr>
          <w:noProof/>
        </w:rPr>
        <w:fldChar w:fldCharType="begin"/>
      </w:r>
      <w:r>
        <w:rPr>
          <w:noProof/>
        </w:rPr>
        <w:instrText xml:space="preserve"> PAGEREF _Toc235449784 \h </w:instrText>
      </w:r>
      <w:r>
        <w:rPr>
          <w:noProof/>
        </w:rPr>
      </w:r>
      <w:r>
        <w:rPr>
          <w:noProof/>
        </w:rPr>
        <w:fldChar w:fldCharType="separate"/>
      </w:r>
      <w:r>
        <w:rPr>
          <w:noProof/>
        </w:rPr>
        <w:t>21</w:t>
      </w:r>
      <w:r>
        <w:rPr>
          <w:noProof/>
        </w:rPr>
        <w:fldChar w:fldCharType="end"/>
      </w:r>
    </w:p>
    <w:p w14:paraId="76C054C7" w14:textId="6C255274"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17.1 Technology Stack</w:t>
      </w:r>
      <w:r>
        <w:rPr>
          <w:noProof/>
        </w:rPr>
        <w:tab/>
      </w:r>
      <w:r>
        <w:rPr>
          <w:noProof/>
        </w:rPr>
        <w:fldChar w:fldCharType="begin"/>
      </w:r>
      <w:r>
        <w:rPr>
          <w:noProof/>
        </w:rPr>
        <w:instrText xml:space="preserve"> PAGEREF _Toc235449785 \h </w:instrText>
      </w:r>
      <w:r>
        <w:rPr>
          <w:noProof/>
        </w:rPr>
      </w:r>
      <w:r>
        <w:rPr>
          <w:noProof/>
        </w:rPr>
        <w:fldChar w:fldCharType="separate"/>
      </w:r>
      <w:r>
        <w:rPr>
          <w:noProof/>
        </w:rPr>
        <w:t>21</w:t>
      </w:r>
      <w:r>
        <w:rPr>
          <w:noProof/>
        </w:rPr>
        <w:fldChar w:fldCharType="end"/>
      </w:r>
    </w:p>
    <w:p w14:paraId="4B8156F2" w14:textId="19AFBE83"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17.2 Architecture Diagram</w:t>
      </w:r>
      <w:r>
        <w:rPr>
          <w:noProof/>
        </w:rPr>
        <w:tab/>
      </w:r>
      <w:r>
        <w:rPr>
          <w:noProof/>
        </w:rPr>
        <w:fldChar w:fldCharType="begin"/>
      </w:r>
      <w:r>
        <w:rPr>
          <w:noProof/>
        </w:rPr>
        <w:instrText xml:space="preserve"> PAGEREF _Toc235449786 \h </w:instrText>
      </w:r>
      <w:r>
        <w:rPr>
          <w:noProof/>
        </w:rPr>
      </w:r>
      <w:r>
        <w:rPr>
          <w:noProof/>
        </w:rPr>
        <w:fldChar w:fldCharType="separate"/>
      </w:r>
      <w:r>
        <w:rPr>
          <w:noProof/>
        </w:rPr>
        <w:t>21</w:t>
      </w:r>
      <w:r>
        <w:rPr>
          <w:noProof/>
        </w:rPr>
        <w:fldChar w:fldCharType="end"/>
      </w:r>
    </w:p>
    <w:p w14:paraId="3BF1571C" w14:textId="71BC49AB"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18. Real-Time Architecture</w:t>
      </w:r>
      <w:r>
        <w:rPr>
          <w:noProof/>
        </w:rPr>
        <w:tab/>
      </w:r>
      <w:r>
        <w:rPr>
          <w:noProof/>
        </w:rPr>
        <w:fldChar w:fldCharType="begin"/>
      </w:r>
      <w:r>
        <w:rPr>
          <w:noProof/>
        </w:rPr>
        <w:instrText xml:space="preserve"> PAGEREF _Toc235449787 \h </w:instrText>
      </w:r>
      <w:r>
        <w:rPr>
          <w:noProof/>
        </w:rPr>
      </w:r>
      <w:r>
        <w:rPr>
          <w:noProof/>
        </w:rPr>
        <w:fldChar w:fldCharType="separate"/>
      </w:r>
      <w:r>
        <w:rPr>
          <w:noProof/>
        </w:rPr>
        <w:t>22</w:t>
      </w:r>
      <w:r>
        <w:rPr>
          <w:noProof/>
        </w:rPr>
        <w:fldChar w:fldCharType="end"/>
      </w:r>
    </w:p>
    <w:p w14:paraId="34A794CE" w14:textId="78488228"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18.1 Session Flow</w:t>
      </w:r>
      <w:r>
        <w:rPr>
          <w:noProof/>
        </w:rPr>
        <w:tab/>
      </w:r>
      <w:r>
        <w:rPr>
          <w:noProof/>
        </w:rPr>
        <w:fldChar w:fldCharType="begin"/>
      </w:r>
      <w:r>
        <w:rPr>
          <w:noProof/>
        </w:rPr>
        <w:instrText xml:space="preserve"> PAGEREF _Toc235449788 \h </w:instrText>
      </w:r>
      <w:r>
        <w:rPr>
          <w:noProof/>
        </w:rPr>
      </w:r>
      <w:r>
        <w:rPr>
          <w:noProof/>
        </w:rPr>
        <w:fldChar w:fldCharType="separate"/>
      </w:r>
      <w:r>
        <w:rPr>
          <w:noProof/>
        </w:rPr>
        <w:t>22</w:t>
      </w:r>
      <w:r>
        <w:rPr>
          <w:noProof/>
        </w:rPr>
        <w:fldChar w:fldCharType="end"/>
      </w:r>
    </w:p>
    <w:p w14:paraId="1C046F31" w14:textId="38C84030"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18.2 Server-Authoritative Timing, Reconnection, and Why It Matters at Scale</w:t>
      </w:r>
      <w:r>
        <w:rPr>
          <w:noProof/>
        </w:rPr>
        <w:tab/>
      </w:r>
      <w:r>
        <w:rPr>
          <w:noProof/>
        </w:rPr>
        <w:fldChar w:fldCharType="begin"/>
      </w:r>
      <w:r>
        <w:rPr>
          <w:noProof/>
        </w:rPr>
        <w:instrText xml:space="preserve"> PAGEREF _Toc235449789 \h </w:instrText>
      </w:r>
      <w:r>
        <w:rPr>
          <w:noProof/>
        </w:rPr>
      </w:r>
      <w:r>
        <w:rPr>
          <w:noProof/>
        </w:rPr>
        <w:fldChar w:fldCharType="separate"/>
      </w:r>
      <w:r>
        <w:rPr>
          <w:noProof/>
        </w:rPr>
        <w:t>22</w:t>
      </w:r>
      <w:r>
        <w:rPr>
          <w:noProof/>
        </w:rPr>
        <w:fldChar w:fldCharType="end"/>
      </w:r>
    </w:p>
    <w:p w14:paraId="712A61CC" w14:textId="14767742"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lastRenderedPageBreak/>
        <w:t>19. Deployment Options</w:t>
      </w:r>
      <w:r>
        <w:rPr>
          <w:noProof/>
        </w:rPr>
        <w:tab/>
      </w:r>
      <w:r>
        <w:rPr>
          <w:noProof/>
        </w:rPr>
        <w:fldChar w:fldCharType="begin"/>
      </w:r>
      <w:r>
        <w:rPr>
          <w:noProof/>
        </w:rPr>
        <w:instrText xml:space="preserve"> PAGEREF _Toc235449790 \h </w:instrText>
      </w:r>
      <w:r>
        <w:rPr>
          <w:noProof/>
        </w:rPr>
      </w:r>
      <w:r>
        <w:rPr>
          <w:noProof/>
        </w:rPr>
        <w:fldChar w:fldCharType="separate"/>
      </w:r>
      <w:r>
        <w:rPr>
          <w:noProof/>
        </w:rPr>
        <w:t>23</w:t>
      </w:r>
      <w:r>
        <w:rPr>
          <w:noProof/>
        </w:rPr>
        <w:fldChar w:fldCharType="end"/>
      </w:r>
    </w:p>
    <w:p w14:paraId="01F6B564" w14:textId="1BF4C551"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19.1 Cloud / SaaS</w:t>
      </w:r>
      <w:r>
        <w:rPr>
          <w:noProof/>
        </w:rPr>
        <w:tab/>
      </w:r>
      <w:r>
        <w:rPr>
          <w:noProof/>
        </w:rPr>
        <w:fldChar w:fldCharType="begin"/>
      </w:r>
      <w:r>
        <w:rPr>
          <w:noProof/>
        </w:rPr>
        <w:instrText xml:space="preserve"> PAGEREF _Toc235449791 \h </w:instrText>
      </w:r>
      <w:r>
        <w:rPr>
          <w:noProof/>
        </w:rPr>
      </w:r>
      <w:r>
        <w:rPr>
          <w:noProof/>
        </w:rPr>
        <w:fldChar w:fldCharType="separate"/>
      </w:r>
      <w:r>
        <w:rPr>
          <w:noProof/>
        </w:rPr>
        <w:t>23</w:t>
      </w:r>
      <w:r>
        <w:rPr>
          <w:noProof/>
        </w:rPr>
        <w:fldChar w:fldCharType="end"/>
      </w:r>
    </w:p>
    <w:p w14:paraId="70996E8E" w14:textId="47DACC1B"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19.2 On-Premises</w:t>
      </w:r>
      <w:r>
        <w:rPr>
          <w:noProof/>
        </w:rPr>
        <w:tab/>
      </w:r>
      <w:r>
        <w:rPr>
          <w:noProof/>
        </w:rPr>
        <w:fldChar w:fldCharType="begin"/>
      </w:r>
      <w:r>
        <w:rPr>
          <w:noProof/>
        </w:rPr>
        <w:instrText xml:space="preserve"> PAGEREF _Toc235449792 \h </w:instrText>
      </w:r>
      <w:r>
        <w:rPr>
          <w:noProof/>
        </w:rPr>
      </w:r>
      <w:r>
        <w:rPr>
          <w:noProof/>
        </w:rPr>
        <w:fldChar w:fldCharType="separate"/>
      </w:r>
      <w:r>
        <w:rPr>
          <w:noProof/>
        </w:rPr>
        <w:t>23</w:t>
      </w:r>
      <w:r>
        <w:rPr>
          <w:noProof/>
        </w:rPr>
        <w:fldChar w:fldCharType="end"/>
      </w:r>
    </w:p>
    <w:p w14:paraId="49332464" w14:textId="196DD1D3"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19.3 Hybrid</w:t>
      </w:r>
      <w:r>
        <w:rPr>
          <w:noProof/>
        </w:rPr>
        <w:tab/>
      </w:r>
      <w:r>
        <w:rPr>
          <w:noProof/>
        </w:rPr>
        <w:fldChar w:fldCharType="begin"/>
      </w:r>
      <w:r>
        <w:rPr>
          <w:noProof/>
        </w:rPr>
        <w:instrText xml:space="preserve"> PAGEREF _Toc235449793 \h </w:instrText>
      </w:r>
      <w:r>
        <w:rPr>
          <w:noProof/>
        </w:rPr>
      </w:r>
      <w:r>
        <w:rPr>
          <w:noProof/>
        </w:rPr>
        <w:fldChar w:fldCharType="separate"/>
      </w:r>
      <w:r>
        <w:rPr>
          <w:noProof/>
        </w:rPr>
        <w:t>24</w:t>
      </w:r>
      <w:r>
        <w:rPr>
          <w:noProof/>
        </w:rPr>
        <w:fldChar w:fldCharType="end"/>
      </w:r>
    </w:p>
    <w:p w14:paraId="4A07E2F9" w14:textId="09E30F63"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20. Cybersecurity</w:t>
      </w:r>
      <w:r>
        <w:rPr>
          <w:noProof/>
        </w:rPr>
        <w:tab/>
      </w:r>
      <w:r>
        <w:rPr>
          <w:noProof/>
        </w:rPr>
        <w:fldChar w:fldCharType="begin"/>
      </w:r>
      <w:r>
        <w:rPr>
          <w:noProof/>
        </w:rPr>
        <w:instrText xml:space="preserve"> PAGEREF _Toc235449794 \h </w:instrText>
      </w:r>
      <w:r>
        <w:rPr>
          <w:noProof/>
        </w:rPr>
      </w:r>
      <w:r>
        <w:rPr>
          <w:noProof/>
        </w:rPr>
        <w:fldChar w:fldCharType="separate"/>
      </w:r>
      <w:r>
        <w:rPr>
          <w:noProof/>
        </w:rPr>
        <w:t>24</w:t>
      </w:r>
      <w:r>
        <w:rPr>
          <w:noProof/>
        </w:rPr>
        <w:fldChar w:fldCharType="end"/>
      </w:r>
    </w:p>
    <w:p w14:paraId="2B9B51B6" w14:textId="1ECEA3BF"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21. Data Protection</w:t>
      </w:r>
      <w:r>
        <w:rPr>
          <w:noProof/>
        </w:rPr>
        <w:tab/>
      </w:r>
      <w:r>
        <w:rPr>
          <w:noProof/>
        </w:rPr>
        <w:fldChar w:fldCharType="begin"/>
      </w:r>
      <w:r>
        <w:rPr>
          <w:noProof/>
        </w:rPr>
        <w:instrText xml:space="preserve"> PAGEREF _Toc235449795 \h </w:instrText>
      </w:r>
      <w:r>
        <w:rPr>
          <w:noProof/>
        </w:rPr>
      </w:r>
      <w:r>
        <w:rPr>
          <w:noProof/>
        </w:rPr>
        <w:fldChar w:fldCharType="separate"/>
      </w:r>
      <w:r>
        <w:rPr>
          <w:noProof/>
        </w:rPr>
        <w:t>25</w:t>
      </w:r>
      <w:r>
        <w:rPr>
          <w:noProof/>
        </w:rPr>
        <w:fldChar w:fldCharType="end"/>
      </w:r>
    </w:p>
    <w:p w14:paraId="009A7223" w14:textId="7792ADB6"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22. Data Ownership</w:t>
      </w:r>
      <w:r>
        <w:rPr>
          <w:noProof/>
        </w:rPr>
        <w:tab/>
      </w:r>
      <w:r>
        <w:rPr>
          <w:noProof/>
        </w:rPr>
        <w:fldChar w:fldCharType="begin"/>
      </w:r>
      <w:r>
        <w:rPr>
          <w:noProof/>
        </w:rPr>
        <w:instrText xml:space="preserve"> PAGEREF _Toc235449796 \h </w:instrText>
      </w:r>
      <w:r>
        <w:rPr>
          <w:noProof/>
        </w:rPr>
      </w:r>
      <w:r>
        <w:rPr>
          <w:noProof/>
        </w:rPr>
        <w:fldChar w:fldCharType="separate"/>
      </w:r>
      <w:r>
        <w:rPr>
          <w:noProof/>
        </w:rPr>
        <w:t>26</w:t>
      </w:r>
      <w:r>
        <w:rPr>
          <w:noProof/>
        </w:rPr>
        <w:fldChar w:fldCharType="end"/>
      </w:r>
    </w:p>
    <w:p w14:paraId="401952FA" w14:textId="31DEE017"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23. Integration Options</w:t>
      </w:r>
      <w:r>
        <w:rPr>
          <w:noProof/>
        </w:rPr>
        <w:tab/>
      </w:r>
      <w:r>
        <w:rPr>
          <w:noProof/>
        </w:rPr>
        <w:fldChar w:fldCharType="begin"/>
      </w:r>
      <w:r>
        <w:rPr>
          <w:noProof/>
        </w:rPr>
        <w:instrText xml:space="preserve"> PAGEREF _Toc235449797 \h </w:instrText>
      </w:r>
      <w:r>
        <w:rPr>
          <w:noProof/>
        </w:rPr>
      </w:r>
      <w:r>
        <w:rPr>
          <w:noProof/>
        </w:rPr>
        <w:fldChar w:fldCharType="separate"/>
      </w:r>
      <w:r>
        <w:rPr>
          <w:noProof/>
        </w:rPr>
        <w:t>26</w:t>
      </w:r>
      <w:r>
        <w:rPr>
          <w:noProof/>
        </w:rPr>
        <w:fldChar w:fldCharType="end"/>
      </w:r>
    </w:p>
    <w:p w14:paraId="26910562" w14:textId="2B898FA9"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24. Performance and Scalability</w:t>
      </w:r>
      <w:r>
        <w:rPr>
          <w:noProof/>
        </w:rPr>
        <w:tab/>
      </w:r>
      <w:r>
        <w:rPr>
          <w:noProof/>
        </w:rPr>
        <w:fldChar w:fldCharType="begin"/>
      </w:r>
      <w:r>
        <w:rPr>
          <w:noProof/>
        </w:rPr>
        <w:instrText xml:space="preserve"> PAGEREF _Toc235449798 \h </w:instrText>
      </w:r>
      <w:r>
        <w:rPr>
          <w:noProof/>
        </w:rPr>
      </w:r>
      <w:r>
        <w:rPr>
          <w:noProof/>
        </w:rPr>
        <w:fldChar w:fldCharType="separate"/>
      </w:r>
      <w:r>
        <w:rPr>
          <w:noProof/>
        </w:rPr>
        <w:t>27</w:t>
      </w:r>
      <w:r>
        <w:rPr>
          <w:noProof/>
        </w:rPr>
        <w:fldChar w:fldCharType="end"/>
      </w:r>
    </w:p>
    <w:p w14:paraId="24884743" w14:textId="0FBDE06A"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25. Implementation Methodology</w:t>
      </w:r>
      <w:r>
        <w:rPr>
          <w:noProof/>
        </w:rPr>
        <w:tab/>
      </w:r>
      <w:r>
        <w:rPr>
          <w:noProof/>
        </w:rPr>
        <w:fldChar w:fldCharType="begin"/>
      </w:r>
      <w:r>
        <w:rPr>
          <w:noProof/>
        </w:rPr>
        <w:instrText xml:space="preserve"> PAGEREF _Toc235449799 \h </w:instrText>
      </w:r>
      <w:r>
        <w:rPr>
          <w:noProof/>
        </w:rPr>
      </w:r>
      <w:r>
        <w:rPr>
          <w:noProof/>
        </w:rPr>
        <w:fldChar w:fldCharType="separate"/>
      </w:r>
      <w:r>
        <w:rPr>
          <w:noProof/>
        </w:rPr>
        <w:t>29</w:t>
      </w:r>
      <w:r>
        <w:rPr>
          <w:noProof/>
        </w:rPr>
        <w:fldChar w:fldCharType="end"/>
      </w:r>
    </w:p>
    <w:p w14:paraId="1B2293D5" w14:textId="5D80B235"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26. Project Timeline</w:t>
      </w:r>
      <w:r>
        <w:rPr>
          <w:noProof/>
        </w:rPr>
        <w:tab/>
      </w:r>
      <w:r>
        <w:rPr>
          <w:noProof/>
        </w:rPr>
        <w:fldChar w:fldCharType="begin"/>
      </w:r>
      <w:r>
        <w:rPr>
          <w:noProof/>
        </w:rPr>
        <w:instrText xml:space="preserve"> PAGEREF _Toc235449800 \h </w:instrText>
      </w:r>
      <w:r>
        <w:rPr>
          <w:noProof/>
        </w:rPr>
      </w:r>
      <w:r>
        <w:rPr>
          <w:noProof/>
        </w:rPr>
        <w:fldChar w:fldCharType="separate"/>
      </w:r>
      <w:r>
        <w:rPr>
          <w:noProof/>
        </w:rPr>
        <w:t>30</w:t>
      </w:r>
      <w:r>
        <w:rPr>
          <w:noProof/>
        </w:rPr>
        <w:fldChar w:fldCharType="end"/>
      </w:r>
    </w:p>
    <w:p w14:paraId="188E1897" w14:textId="46FEB6D0"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26.1 Milestones</w:t>
      </w:r>
      <w:r>
        <w:rPr>
          <w:noProof/>
        </w:rPr>
        <w:tab/>
      </w:r>
      <w:r>
        <w:rPr>
          <w:noProof/>
        </w:rPr>
        <w:fldChar w:fldCharType="begin"/>
      </w:r>
      <w:r>
        <w:rPr>
          <w:noProof/>
        </w:rPr>
        <w:instrText xml:space="preserve"> PAGEREF _Toc235449801 \h </w:instrText>
      </w:r>
      <w:r>
        <w:rPr>
          <w:noProof/>
        </w:rPr>
      </w:r>
      <w:r>
        <w:rPr>
          <w:noProof/>
        </w:rPr>
        <w:fldChar w:fldCharType="separate"/>
      </w:r>
      <w:r>
        <w:rPr>
          <w:noProof/>
        </w:rPr>
        <w:t>31</w:t>
      </w:r>
      <w:r>
        <w:rPr>
          <w:noProof/>
        </w:rPr>
        <w:fldChar w:fldCharType="end"/>
      </w:r>
    </w:p>
    <w:p w14:paraId="1E5213E7" w14:textId="149DD5D6"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27. Project Governance</w:t>
      </w:r>
      <w:r>
        <w:rPr>
          <w:noProof/>
        </w:rPr>
        <w:tab/>
      </w:r>
      <w:r>
        <w:rPr>
          <w:noProof/>
        </w:rPr>
        <w:fldChar w:fldCharType="begin"/>
      </w:r>
      <w:r>
        <w:rPr>
          <w:noProof/>
        </w:rPr>
        <w:instrText xml:space="preserve"> PAGEREF _Toc235449802 \h </w:instrText>
      </w:r>
      <w:r>
        <w:rPr>
          <w:noProof/>
        </w:rPr>
      </w:r>
      <w:r>
        <w:rPr>
          <w:noProof/>
        </w:rPr>
        <w:fldChar w:fldCharType="separate"/>
      </w:r>
      <w:r>
        <w:rPr>
          <w:noProof/>
        </w:rPr>
        <w:t>31</w:t>
      </w:r>
      <w:r>
        <w:rPr>
          <w:noProof/>
        </w:rPr>
        <w:fldChar w:fldCharType="end"/>
      </w:r>
    </w:p>
    <w:p w14:paraId="4DD23D7D" w14:textId="44C355FA"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28. Deliverables</w:t>
      </w:r>
      <w:r>
        <w:rPr>
          <w:noProof/>
        </w:rPr>
        <w:tab/>
      </w:r>
      <w:r>
        <w:rPr>
          <w:noProof/>
        </w:rPr>
        <w:fldChar w:fldCharType="begin"/>
      </w:r>
      <w:r>
        <w:rPr>
          <w:noProof/>
        </w:rPr>
        <w:instrText xml:space="preserve"> PAGEREF _Toc235449803 \h </w:instrText>
      </w:r>
      <w:r>
        <w:rPr>
          <w:noProof/>
        </w:rPr>
      </w:r>
      <w:r>
        <w:rPr>
          <w:noProof/>
        </w:rPr>
        <w:fldChar w:fldCharType="separate"/>
      </w:r>
      <w:r>
        <w:rPr>
          <w:noProof/>
        </w:rPr>
        <w:t>32</w:t>
      </w:r>
      <w:r>
        <w:rPr>
          <w:noProof/>
        </w:rPr>
        <w:fldChar w:fldCharType="end"/>
      </w:r>
    </w:p>
    <w:p w14:paraId="158DC392" w14:textId="10F642E2"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29. Training and Knowledge Transfer</w:t>
      </w:r>
      <w:r>
        <w:rPr>
          <w:noProof/>
        </w:rPr>
        <w:tab/>
      </w:r>
      <w:r>
        <w:rPr>
          <w:noProof/>
        </w:rPr>
        <w:fldChar w:fldCharType="begin"/>
      </w:r>
      <w:r>
        <w:rPr>
          <w:noProof/>
        </w:rPr>
        <w:instrText xml:space="preserve"> PAGEREF _Toc235449804 \h </w:instrText>
      </w:r>
      <w:r>
        <w:rPr>
          <w:noProof/>
        </w:rPr>
      </w:r>
      <w:r>
        <w:rPr>
          <w:noProof/>
        </w:rPr>
        <w:fldChar w:fldCharType="separate"/>
      </w:r>
      <w:r>
        <w:rPr>
          <w:noProof/>
        </w:rPr>
        <w:t>34</w:t>
      </w:r>
      <w:r>
        <w:rPr>
          <w:noProof/>
        </w:rPr>
        <w:fldChar w:fldCharType="end"/>
      </w:r>
    </w:p>
    <w:p w14:paraId="7A9485BD" w14:textId="4262818B"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30. Testing and Acceptance</w:t>
      </w:r>
      <w:r>
        <w:rPr>
          <w:noProof/>
        </w:rPr>
        <w:tab/>
      </w:r>
      <w:r>
        <w:rPr>
          <w:noProof/>
        </w:rPr>
        <w:fldChar w:fldCharType="begin"/>
      </w:r>
      <w:r>
        <w:rPr>
          <w:noProof/>
        </w:rPr>
        <w:instrText xml:space="preserve"> PAGEREF _Toc235449805 \h </w:instrText>
      </w:r>
      <w:r>
        <w:rPr>
          <w:noProof/>
        </w:rPr>
      </w:r>
      <w:r>
        <w:rPr>
          <w:noProof/>
        </w:rPr>
        <w:fldChar w:fldCharType="separate"/>
      </w:r>
      <w:r>
        <w:rPr>
          <w:noProof/>
        </w:rPr>
        <w:t>34</w:t>
      </w:r>
      <w:r>
        <w:rPr>
          <w:noProof/>
        </w:rPr>
        <w:fldChar w:fldCharType="end"/>
      </w:r>
    </w:p>
    <w:p w14:paraId="2EDB8B5D" w14:textId="0B4010A1"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31. Support and Maintenance</w:t>
      </w:r>
      <w:r>
        <w:rPr>
          <w:noProof/>
        </w:rPr>
        <w:tab/>
      </w:r>
      <w:r>
        <w:rPr>
          <w:noProof/>
        </w:rPr>
        <w:fldChar w:fldCharType="begin"/>
      </w:r>
      <w:r>
        <w:rPr>
          <w:noProof/>
        </w:rPr>
        <w:instrText xml:space="preserve"> PAGEREF _Toc235449806 \h </w:instrText>
      </w:r>
      <w:r>
        <w:rPr>
          <w:noProof/>
        </w:rPr>
      </w:r>
      <w:r>
        <w:rPr>
          <w:noProof/>
        </w:rPr>
        <w:fldChar w:fldCharType="separate"/>
      </w:r>
      <w:r>
        <w:rPr>
          <w:noProof/>
        </w:rPr>
        <w:t>35</w:t>
      </w:r>
      <w:r>
        <w:rPr>
          <w:noProof/>
        </w:rPr>
        <w:fldChar w:fldCharType="end"/>
      </w:r>
    </w:p>
    <w:p w14:paraId="377E313F" w14:textId="7F0F9743"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32. SLA</w:t>
      </w:r>
      <w:r>
        <w:rPr>
          <w:noProof/>
        </w:rPr>
        <w:tab/>
      </w:r>
      <w:r>
        <w:rPr>
          <w:noProof/>
        </w:rPr>
        <w:fldChar w:fldCharType="begin"/>
      </w:r>
      <w:r>
        <w:rPr>
          <w:noProof/>
        </w:rPr>
        <w:instrText xml:space="preserve"> PAGEREF _Toc235449807 \h </w:instrText>
      </w:r>
      <w:r>
        <w:rPr>
          <w:noProof/>
        </w:rPr>
      </w:r>
      <w:r>
        <w:rPr>
          <w:noProof/>
        </w:rPr>
        <w:fldChar w:fldCharType="separate"/>
      </w:r>
      <w:r>
        <w:rPr>
          <w:noProof/>
        </w:rPr>
        <w:t>35</w:t>
      </w:r>
      <w:r>
        <w:rPr>
          <w:noProof/>
        </w:rPr>
        <w:fldChar w:fldCharType="end"/>
      </w:r>
    </w:p>
    <w:p w14:paraId="7F341C25" w14:textId="4CC61677"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33. Commercial Models</w:t>
      </w:r>
      <w:r>
        <w:rPr>
          <w:noProof/>
        </w:rPr>
        <w:tab/>
      </w:r>
      <w:r>
        <w:rPr>
          <w:noProof/>
        </w:rPr>
        <w:fldChar w:fldCharType="begin"/>
      </w:r>
      <w:r>
        <w:rPr>
          <w:noProof/>
        </w:rPr>
        <w:instrText xml:space="preserve"> PAGEREF _Toc235449808 \h </w:instrText>
      </w:r>
      <w:r>
        <w:rPr>
          <w:noProof/>
        </w:rPr>
      </w:r>
      <w:r>
        <w:rPr>
          <w:noProof/>
        </w:rPr>
        <w:fldChar w:fldCharType="separate"/>
      </w:r>
      <w:r>
        <w:rPr>
          <w:noProof/>
        </w:rPr>
        <w:t>37</w:t>
      </w:r>
      <w:r>
        <w:rPr>
          <w:noProof/>
        </w:rPr>
        <w:fldChar w:fldCharType="end"/>
      </w:r>
    </w:p>
    <w:p w14:paraId="0D28A49E" w14:textId="75F99A6B"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33.1 Model A — Annual SaaS Subscription</w:t>
      </w:r>
      <w:r>
        <w:rPr>
          <w:noProof/>
        </w:rPr>
        <w:tab/>
      </w:r>
      <w:r>
        <w:rPr>
          <w:noProof/>
        </w:rPr>
        <w:fldChar w:fldCharType="begin"/>
      </w:r>
      <w:r>
        <w:rPr>
          <w:noProof/>
        </w:rPr>
        <w:instrText xml:space="preserve"> PAGEREF _Toc235449809 \h </w:instrText>
      </w:r>
      <w:r>
        <w:rPr>
          <w:noProof/>
        </w:rPr>
      </w:r>
      <w:r>
        <w:rPr>
          <w:noProof/>
        </w:rPr>
        <w:fldChar w:fldCharType="separate"/>
      </w:r>
      <w:r>
        <w:rPr>
          <w:noProof/>
        </w:rPr>
        <w:t>37</w:t>
      </w:r>
      <w:r>
        <w:rPr>
          <w:noProof/>
        </w:rPr>
        <w:fldChar w:fldCharType="end"/>
      </w:r>
    </w:p>
    <w:p w14:paraId="6B3FE789" w14:textId="1224F3A6"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33.2 Model B — Perpetual License / One-Time Purchase</w:t>
      </w:r>
      <w:r>
        <w:rPr>
          <w:noProof/>
        </w:rPr>
        <w:tab/>
      </w:r>
      <w:r>
        <w:rPr>
          <w:noProof/>
        </w:rPr>
        <w:fldChar w:fldCharType="begin"/>
      </w:r>
      <w:r>
        <w:rPr>
          <w:noProof/>
        </w:rPr>
        <w:instrText xml:space="preserve"> PAGEREF _Toc235449810 \h </w:instrText>
      </w:r>
      <w:r>
        <w:rPr>
          <w:noProof/>
        </w:rPr>
      </w:r>
      <w:r>
        <w:rPr>
          <w:noProof/>
        </w:rPr>
        <w:fldChar w:fldCharType="separate"/>
      </w:r>
      <w:r>
        <w:rPr>
          <w:noProof/>
        </w:rPr>
        <w:t>37</w:t>
      </w:r>
      <w:r>
        <w:rPr>
          <w:noProof/>
        </w:rPr>
        <w:fldChar w:fldCharType="end"/>
      </w:r>
    </w:p>
    <w:p w14:paraId="0DA25E12" w14:textId="60CA8848"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33.3 Model C — Enterprise Custom Development Partnership</w:t>
      </w:r>
      <w:r>
        <w:rPr>
          <w:noProof/>
        </w:rPr>
        <w:tab/>
      </w:r>
      <w:r>
        <w:rPr>
          <w:noProof/>
        </w:rPr>
        <w:fldChar w:fldCharType="begin"/>
      </w:r>
      <w:r>
        <w:rPr>
          <w:noProof/>
        </w:rPr>
        <w:instrText xml:space="preserve"> PAGEREF _Toc235449811 \h </w:instrText>
      </w:r>
      <w:r>
        <w:rPr>
          <w:noProof/>
        </w:rPr>
      </w:r>
      <w:r>
        <w:rPr>
          <w:noProof/>
        </w:rPr>
        <w:fldChar w:fldCharType="separate"/>
      </w:r>
      <w:r>
        <w:rPr>
          <w:noProof/>
        </w:rPr>
        <w:t>37</w:t>
      </w:r>
      <w:r>
        <w:rPr>
          <w:noProof/>
        </w:rPr>
        <w:fldChar w:fldCharType="end"/>
      </w:r>
    </w:p>
    <w:p w14:paraId="28FF9036" w14:textId="745950EF"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33.4 Model Comparison</w:t>
      </w:r>
      <w:r>
        <w:rPr>
          <w:noProof/>
        </w:rPr>
        <w:tab/>
      </w:r>
      <w:r>
        <w:rPr>
          <w:noProof/>
        </w:rPr>
        <w:fldChar w:fldCharType="begin"/>
      </w:r>
      <w:r>
        <w:rPr>
          <w:noProof/>
        </w:rPr>
        <w:instrText xml:space="preserve"> PAGEREF _Toc235449812 \h </w:instrText>
      </w:r>
      <w:r>
        <w:rPr>
          <w:noProof/>
        </w:rPr>
      </w:r>
      <w:r>
        <w:rPr>
          <w:noProof/>
        </w:rPr>
        <w:fldChar w:fldCharType="separate"/>
      </w:r>
      <w:r>
        <w:rPr>
          <w:noProof/>
        </w:rPr>
        <w:t>37</w:t>
      </w:r>
      <w:r>
        <w:rPr>
          <w:noProof/>
        </w:rPr>
        <w:fldChar w:fldCharType="end"/>
      </w:r>
    </w:p>
    <w:p w14:paraId="6F4C3FE1" w14:textId="3192E2CF"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34. Pricing Tables</w:t>
      </w:r>
      <w:r>
        <w:rPr>
          <w:noProof/>
        </w:rPr>
        <w:tab/>
      </w:r>
      <w:r>
        <w:rPr>
          <w:noProof/>
        </w:rPr>
        <w:fldChar w:fldCharType="begin"/>
      </w:r>
      <w:r>
        <w:rPr>
          <w:noProof/>
        </w:rPr>
        <w:instrText xml:space="preserve"> PAGEREF _Toc235449813 \h </w:instrText>
      </w:r>
      <w:r>
        <w:rPr>
          <w:noProof/>
        </w:rPr>
      </w:r>
      <w:r>
        <w:rPr>
          <w:noProof/>
        </w:rPr>
        <w:fldChar w:fldCharType="separate"/>
      </w:r>
      <w:r>
        <w:rPr>
          <w:noProof/>
        </w:rPr>
        <w:t>38</w:t>
      </w:r>
      <w:r>
        <w:rPr>
          <w:noProof/>
        </w:rPr>
        <w:fldChar w:fldCharType="end"/>
      </w:r>
    </w:p>
    <w:p w14:paraId="5B3B99E4" w14:textId="78EF5EAC"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34.4 Pricing Methodology</w:t>
      </w:r>
      <w:r>
        <w:rPr>
          <w:noProof/>
        </w:rPr>
        <w:tab/>
      </w:r>
      <w:r>
        <w:rPr>
          <w:noProof/>
        </w:rPr>
        <w:fldChar w:fldCharType="begin"/>
      </w:r>
      <w:r>
        <w:rPr>
          <w:noProof/>
        </w:rPr>
        <w:instrText xml:space="preserve"> PAGEREF _Toc235449814 \h </w:instrText>
      </w:r>
      <w:r>
        <w:rPr>
          <w:noProof/>
        </w:rPr>
      </w:r>
      <w:r>
        <w:rPr>
          <w:noProof/>
        </w:rPr>
        <w:fldChar w:fldCharType="separate"/>
      </w:r>
      <w:r>
        <w:rPr>
          <w:noProof/>
        </w:rPr>
        <w:t>39</w:t>
      </w:r>
      <w:r>
        <w:rPr>
          <w:noProof/>
        </w:rPr>
        <w:fldChar w:fldCharType="end"/>
      </w:r>
    </w:p>
    <w:p w14:paraId="188BA31C" w14:textId="05F844B5"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35. Assumptions</w:t>
      </w:r>
      <w:r>
        <w:rPr>
          <w:noProof/>
        </w:rPr>
        <w:tab/>
      </w:r>
      <w:r>
        <w:rPr>
          <w:noProof/>
        </w:rPr>
        <w:fldChar w:fldCharType="begin"/>
      </w:r>
      <w:r>
        <w:rPr>
          <w:noProof/>
        </w:rPr>
        <w:instrText xml:space="preserve"> PAGEREF _Toc235449815 \h </w:instrText>
      </w:r>
      <w:r>
        <w:rPr>
          <w:noProof/>
        </w:rPr>
      </w:r>
      <w:r>
        <w:rPr>
          <w:noProof/>
        </w:rPr>
        <w:fldChar w:fldCharType="separate"/>
      </w:r>
      <w:r>
        <w:rPr>
          <w:noProof/>
        </w:rPr>
        <w:t>39</w:t>
      </w:r>
      <w:r>
        <w:rPr>
          <w:noProof/>
        </w:rPr>
        <w:fldChar w:fldCharType="end"/>
      </w:r>
    </w:p>
    <w:p w14:paraId="3FFD3680" w14:textId="19AD00D7"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36. Exclusions</w:t>
      </w:r>
      <w:r>
        <w:rPr>
          <w:noProof/>
        </w:rPr>
        <w:tab/>
      </w:r>
      <w:r>
        <w:rPr>
          <w:noProof/>
        </w:rPr>
        <w:fldChar w:fldCharType="begin"/>
      </w:r>
      <w:r>
        <w:rPr>
          <w:noProof/>
        </w:rPr>
        <w:instrText xml:space="preserve"> PAGEREF _Toc235449816 \h </w:instrText>
      </w:r>
      <w:r>
        <w:rPr>
          <w:noProof/>
        </w:rPr>
      </w:r>
      <w:r>
        <w:rPr>
          <w:noProof/>
        </w:rPr>
        <w:fldChar w:fldCharType="separate"/>
      </w:r>
      <w:r>
        <w:rPr>
          <w:noProof/>
        </w:rPr>
        <w:t>39</w:t>
      </w:r>
      <w:r>
        <w:rPr>
          <w:noProof/>
        </w:rPr>
        <w:fldChar w:fldCharType="end"/>
      </w:r>
    </w:p>
    <w:p w14:paraId="7020915B" w14:textId="0711A5F8"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37. Risk and Mitigation</w:t>
      </w:r>
      <w:r>
        <w:rPr>
          <w:noProof/>
        </w:rPr>
        <w:tab/>
      </w:r>
      <w:r>
        <w:rPr>
          <w:noProof/>
        </w:rPr>
        <w:fldChar w:fldCharType="begin"/>
      </w:r>
      <w:r>
        <w:rPr>
          <w:noProof/>
        </w:rPr>
        <w:instrText xml:space="preserve"> PAGEREF _Toc235449817 \h </w:instrText>
      </w:r>
      <w:r>
        <w:rPr>
          <w:noProof/>
        </w:rPr>
      </w:r>
      <w:r>
        <w:rPr>
          <w:noProof/>
        </w:rPr>
        <w:fldChar w:fldCharType="separate"/>
      </w:r>
      <w:r>
        <w:rPr>
          <w:noProof/>
        </w:rPr>
        <w:t>40</w:t>
      </w:r>
      <w:r>
        <w:rPr>
          <w:noProof/>
        </w:rPr>
        <w:fldChar w:fldCharType="end"/>
      </w:r>
    </w:p>
    <w:p w14:paraId="2C754D7D" w14:textId="11776BB0"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38. Change Request Process</w:t>
      </w:r>
      <w:r>
        <w:rPr>
          <w:noProof/>
        </w:rPr>
        <w:tab/>
      </w:r>
      <w:r>
        <w:rPr>
          <w:noProof/>
        </w:rPr>
        <w:fldChar w:fldCharType="begin"/>
      </w:r>
      <w:r>
        <w:rPr>
          <w:noProof/>
        </w:rPr>
        <w:instrText xml:space="preserve"> PAGEREF _Toc235449818 \h </w:instrText>
      </w:r>
      <w:r>
        <w:rPr>
          <w:noProof/>
        </w:rPr>
      </w:r>
      <w:r>
        <w:rPr>
          <w:noProof/>
        </w:rPr>
        <w:fldChar w:fldCharType="separate"/>
      </w:r>
      <w:r>
        <w:rPr>
          <w:noProof/>
        </w:rPr>
        <w:t>41</w:t>
      </w:r>
      <w:r>
        <w:rPr>
          <w:noProof/>
        </w:rPr>
        <w:fldChar w:fldCharType="end"/>
      </w:r>
    </w:p>
    <w:p w14:paraId="2B2A90F3" w14:textId="7D861FC9"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39. Intellectual Property</w:t>
      </w:r>
      <w:r>
        <w:rPr>
          <w:noProof/>
        </w:rPr>
        <w:tab/>
      </w:r>
      <w:r>
        <w:rPr>
          <w:noProof/>
        </w:rPr>
        <w:fldChar w:fldCharType="begin"/>
      </w:r>
      <w:r>
        <w:rPr>
          <w:noProof/>
        </w:rPr>
        <w:instrText xml:space="preserve"> PAGEREF _Toc235449819 \h </w:instrText>
      </w:r>
      <w:r>
        <w:rPr>
          <w:noProof/>
        </w:rPr>
      </w:r>
      <w:r>
        <w:rPr>
          <w:noProof/>
        </w:rPr>
        <w:fldChar w:fldCharType="separate"/>
      </w:r>
      <w:r>
        <w:rPr>
          <w:noProof/>
        </w:rPr>
        <w:t>41</w:t>
      </w:r>
      <w:r>
        <w:rPr>
          <w:noProof/>
        </w:rPr>
        <w:fldChar w:fldCharType="end"/>
      </w:r>
    </w:p>
    <w:p w14:paraId="1B077A45" w14:textId="13126753"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40. Confidentiality</w:t>
      </w:r>
      <w:r>
        <w:rPr>
          <w:noProof/>
        </w:rPr>
        <w:tab/>
      </w:r>
      <w:r>
        <w:rPr>
          <w:noProof/>
        </w:rPr>
        <w:fldChar w:fldCharType="begin"/>
      </w:r>
      <w:r>
        <w:rPr>
          <w:noProof/>
        </w:rPr>
        <w:instrText xml:space="preserve"> PAGEREF _Toc235449820 \h </w:instrText>
      </w:r>
      <w:r>
        <w:rPr>
          <w:noProof/>
        </w:rPr>
      </w:r>
      <w:r>
        <w:rPr>
          <w:noProof/>
        </w:rPr>
        <w:fldChar w:fldCharType="separate"/>
      </w:r>
      <w:r>
        <w:rPr>
          <w:noProof/>
        </w:rPr>
        <w:t>41</w:t>
      </w:r>
      <w:r>
        <w:rPr>
          <w:noProof/>
        </w:rPr>
        <w:fldChar w:fldCharType="end"/>
      </w:r>
    </w:p>
    <w:p w14:paraId="08EA6131" w14:textId="174FA427"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41. Proposal Validity</w:t>
      </w:r>
      <w:r>
        <w:rPr>
          <w:noProof/>
        </w:rPr>
        <w:tab/>
      </w:r>
      <w:r>
        <w:rPr>
          <w:noProof/>
        </w:rPr>
        <w:fldChar w:fldCharType="begin"/>
      </w:r>
      <w:r>
        <w:rPr>
          <w:noProof/>
        </w:rPr>
        <w:instrText xml:space="preserve"> PAGEREF _Toc235449821 \h </w:instrText>
      </w:r>
      <w:r>
        <w:rPr>
          <w:noProof/>
        </w:rPr>
      </w:r>
      <w:r>
        <w:rPr>
          <w:noProof/>
        </w:rPr>
        <w:fldChar w:fldCharType="separate"/>
      </w:r>
      <w:r>
        <w:rPr>
          <w:noProof/>
        </w:rPr>
        <w:t>41</w:t>
      </w:r>
      <w:r>
        <w:rPr>
          <w:noProof/>
        </w:rPr>
        <w:fldChar w:fldCharType="end"/>
      </w:r>
    </w:p>
    <w:p w14:paraId="229F4A27" w14:textId="2AE88308"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42. Payment Terms</w:t>
      </w:r>
      <w:r>
        <w:rPr>
          <w:noProof/>
        </w:rPr>
        <w:tab/>
      </w:r>
      <w:r>
        <w:rPr>
          <w:noProof/>
        </w:rPr>
        <w:fldChar w:fldCharType="begin"/>
      </w:r>
      <w:r>
        <w:rPr>
          <w:noProof/>
        </w:rPr>
        <w:instrText xml:space="preserve"> PAGEREF _Toc235449822 \h </w:instrText>
      </w:r>
      <w:r>
        <w:rPr>
          <w:noProof/>
        </w:rPr>
      </w:r>
      <w:r>
        <w:rPr>
          <w:noProof/>
        </w:rPr>
        <w:fldChar w:fldCharType="separate"/>
      </w:r>
      <w:r>
        <w:rPr>
          <w:noProof/>
        </w:rPr>
        <w:t>42</w:t>
      </w:r>
      <w:r>
        <w:rPr>
          <w:noProof/>
        </w:rPr>
        <w:fldChar w:fldCharType="end"/>
      </w:r>
    </w:p>
    <w:p w14:paraId="53EC7A3B" w14:textId="1A185628"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43. Termination and Exit</w:t>
      </w:r>
      <w:r>
        <w:rPr>
          <w:noProof/>
        </w:rPr>
        <w:tab/>
      </w:r>
      <w:r>
        <w:rPr>
          <w:noProof/>
        </w:rPr>
        <w:fldChar w:fldCharType="begin"/>
      </w:r>
      <w:r>
        <w:rPr>
          <w:noProof/>
        </w:rPr>
        <w:instrText xml:space="preserve"> PAGEREF _Toc235449823 \h </w:instrText>
      </w:r>
      <w:r>
        <w:rPr>
          <w:noProof/>
        </w:rPr>
      </w:r>
      <w:r>
        <w:rPr>
          <w:noProof/>
        </w:rPr>
        <w:fldChar w:fldCharType="separate"/>
      </w:r>
      <w:r>
        <w:rPr>
          <w:noProof/>
        </w:rPr>
        <w:t>42</w:t>
      </w:r>
      <w:r>
        <w:rPr>
          <w:noProof/>
        </w:rPr>
        <w:fldChar w:fldCharType="end"/>
      </w:r>
    </w:p>
    <w:p w14:paraId="321A0EE3" w14:textId="59DF803A"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lastRenderedPageBreak/>
        <w:t>44. Future Roadmap</w:t>
      </w:r>
      <w:r>
        <w:rPr>
          <w:noProof/>
        </w:rPr>
        <w:tab/>
      </w:r>
      <w:r>
        <w:rPr>
          <w:noProof/>
        </w:rPr>
        <w:fldChar w:fldCharType="begin"/>
      </w:r>
      <w:r>
        <w:rPr>
          <w:noProof/>
        </w:rPr>
        <w:instrText xml:space="preserve"> PAGEREF _Toc235449824 \h </w:instrText>
      </w:r>
      <w:r>
        <w:rPr>
          <w:noProof/>
        </w:rPr>
      </w:r>
      <w:r>
        <w:rPr>
          <w:noProof/>
        </w:rPr>
        <w:fldChar w:fldCharType="separate"/>
      </w:r>
      <w:r>
        <w:rPr>
          <w:noProof/>
        </w:rPr>
        <w:t>42</w:t>
      </w:r>
      <w:r>
        <w:rPr>
          <w:noProof/>
        </w:rPr>
        <w:fldChar w:fldCharType="end"/>
      </w:r>
    </w:p>
    <w:p w14:paraId="2CB9F20F" w14:textId="3A265407"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44.1 Learning &amp; Assessment</w:t>
      </w:r>
      <w:r>
        <w:rPr>
          <w:noProof/>
        </w:rPr>
        <w:tab/>
      </w:r>
      <w:r>
        <w:rPr>
          <w:noProof/>
        </w:rPr>
        <w:fldChar w:fldCharType="begin"/>
      </w:r>
      <w:r>
        <w:rPr>
          <w:noProof/>
        </w:rPr>
        <w:instrText xml:space="preserve"> PAGEREF _Toc235449825 \h </w:instrText>
      </w:r>
      <w:r>
        <w:rPr>
          <w:noProof/>
        </w:rPr>
      </w:r>
      <w:r>
        <w:rPr>
          <w:noProof/>
        </w:rPr>
        <w:fldChar w:fldCharType="separate"/>
      </w:r>
      <w:r>
        <w:rPr>
          <w:noProof/>
        </w:rPr>
        <w:t>42</w:t>
      </w:r>
      <w:r>
        <w:rPr>
          <w:noProof/>
        </w:rPr>
        <w:fldChar w:fldCharType="end"/>
      </w:r>
    </w:p>
    <w:p w14:paraId="7487E9E2" w14:textId="1E9ECC54"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44.2 AI</w:t>
      </w:r>
      <w:r>
        <w:rPr>
          <w:noProof/>
        </w:rPr>
        <w:tab/>
      </w:r>
      <w:r>
        <w:rPr>
          <w:noProof/>
        </w:rPr>
        <w:fldChar w:fldCharType="begin"/>
      </w:r>
      <w:r>
        <w:rPr>
          <w:noProof/>
        </w:rPr>
        <w:instrText xml:space="preserve"> PAGEREF _Toc235449826 \h </w:instrText>
      </w:r>
      <w:r>
        <w:rPr>
          <w:noProof/>
        </w:rPr>
      </w:r>
      <w:r>
        <w:rPr>
          <w:noProof/>
        </w:rPr>
        <w:fldChar w:fldCharType="separate"/>
      </w:r>
      <w:r>
        <w:rPr>
          <w:noProof/>
        </w:rPr>
        <w:t>42</w:t>
      </w:r>
      <w:r>
        <w:rPr>
          <w:noProof/>
        </w:rPr>
        <w:fldChar w:fldCharType="end"/>
      </w:r>
    </w:p>
    <w:p w14:paraId="1D248B66" w14:textId="326DF152"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44.3 Integrations</w:t>
      </w:r>
      <w:r>
        <w:rPr>
          <w:noProof/>
        </w:rPr>
        <w:tab/>
      </w:r>
      <w:r>
        <w:rPr>
          <w:noProof/>
        </w:rPr>
        <w:fldChar w:fldCharType="begin"/>
      </w:r>
      <w:r>
        <w:rPr>
          <w:noProof/>
        </w:rPr>
        <w:instrText xml:space="preserve"> PAGEREF _Toc235449827 \h </w:instrText>
      </w:r>
      <w:r>
        <w:rPr>
          <w:noProof/>
        </w:rPr>
      </w:r>
      <w:r>
        <w:rPr>
          <w:noProof/>
        </w:rPr>
        <w:fldChar w:fldCharType="separate"/>
      </w:r>
      <w:r>
        <w:rPr>
          <w:noProof/>
        </w:rPr>
        <w:t>42</w:t>
      </w:r>
      <w:r>
        <w:rPr>
          <w:noProof/>
        </w:rPr>
        <w:fldChar w:fldCharType="end"/>
      </w:r>
    </w:p>
    <w:p w14:paraId="1E048B1E" w14:textId="410E1E48"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44.4 Platform</w:t>
      </w:r>
      <w:r>
        <w:rPr>
          <w:noProof/>
        </w:rPr>
        <w:tab/>
      </w:r>
      <w:r>
        <w:rPr>
          <w:noProof/>
        </w:rPr>
        <w:fldChar w:fldCharType="begin"/>
      </w:r>
      <w:r>
        <w:rPr>
          <w:noProof/>
        </w:rPr>
        <w:instrText xml:space="preserve"> PAGEREF _Toc235449828 \h </w:instrText>
      </w:r>
      <w:r>
        <w:rPr>
          <w:noProof/>
        </w:rPr>
      </w:r>
      <w:r>
        <w:rPr>
          <w:noProof/>
        </w:rPr>
        <w:fldChar w:fldCharType="separate"/>
      </w:r>
      <w:r>
        <w:rPr>
          <w:noProof/>
        </w:rPr>
        <w:t>43</w:t>
      </w:r>
      <w:r>
        <w:rPr>
          <w:noProof/>
        </w:rPr>
        <w:fldChar w:fldCharType="end"/>
      </w:r>
    </w:p>
    <w:p w14:paraId="2F59C72E" w14:textId="55DDDCD4"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45. Why Altanfith Aldwaliah SPC</w:t>
      </w:r>
      <w:r>
        <w:rPr>
          <w:noProof/>
        </w:rPr>
        <w:tab/>
      </w:r>
      <w:r>
        <w:rPr>
          <w:noProof/>
        </w:rPr>
        <w:fldChar w:fldCharType="begin"/>
      </w:r>
      <w:r>
        <w:rPr>
          <w:noProof/>
        </w:rPr>
        <w:instrText xml:space="preserve"> PAGEREF _Toc235449829 \h </w:instrText>
      </w:r>
      <w:r>
        <w:rPr>
          <w:noProof/>
        </w:rPr>
      </w:r>
      <w:r>
        <w:rPr>
          <w:noProof/>
        </w:rPr>
        <w:fldChar w:fldCharType="separate"/>
      </w:r>
      <w:r>
        <w:rPr>
          <w:noProof/>
        </w:rPr>
        <w:t>43</w:t>
      </w:r>
      <w:r>
        <w:rPr>
          <w:noProof/>
        </w:rPr>
        <w:fldChar w:fldCharType="end"/>
      </w:r>
    </w:p>
    <w:p w14:paraId="223AFBEA" w14:textId="73C28D3F"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46. Next Steps</w:t>
      </w:r>
      <w:r>
        <w:rPr>
          <w:noProof/>
        </w:rPr>
        <w:tab/>
      </w:r>
      <w:r>
        <w:rPr>
          <w:noProof/>
        </w:rPr>
        <w:fldChar w:fldCharType="begin"/>
      </w:r>
      <w:r>
        <w:rPr>
          <w:noProof/>
        </w:rPr>
        <w:instrText xml:space="preserve"> PAGEREF _Toc235449830 \h </w:instrText>
      </w:r>
      <w:r>
        <w:rPr>
          <w:noProof/>
        </w:rPr>
      </w:r>
      <w:r>
        <w:rPr>
          <w:noProof/>
        </w:rPr>
        <w:fldChar w:fldCharType="separate"/>
      </w:r>
      <w:r>
        <w:rPr>
          <w:noProof/>
        </w:rPr>
        <w:t>43</w:t>
      </w:r>
      <w:r>
        <w:rPr>
          <w:noProof/>
        </w:rPr>
        <w:fldChar w:fldCharType="end"/>
      </w:r>
    </w:p>
    <w:p w14:paraId="4BDF0F6E" w14:textId="7DD19D61"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47. Acceptance Page</w:t>
      </w:r>
      <w:r>
        <w:rPr>
          <w:noProof/>
        </w:rPr>
        <w:tab/>
      </w:r>
      <w:r>
        <w:rPr>
          <w:noProof/>
        </w:rPr>
        <w:fldChar w:fldCharType="begin"/>
      </w:r>
      <w:r>
        <w:rPr>
          <w:noProof/>
        </w:rPr>
        <w:instrText xml:space="preserve"> PAGEREF _Toc235449831 \h </w:instrText>
      </w:r>
      <w:r>
        <w:rPr>
          <w:noProof/>
        </w:rPr>
      </w:r>
      <w:r>
        <w:rPr>
          <w:noProof/>
        </w:rPr>
        <w:fldChar w:fldCharType="separate"/>
      </w:r>
      <w:r>
        <w:rPr>
          <w:noProof/>
        </w:rPr>
        <w:t>44</w:t>
      </w:r>
      <w:r>
        <w:rPr>
          <w:noProof/>
        </w:rPr>
        <w:fldChar w:fldCharType="end"/>
      </w:r>
    </w:p>
    <w:p w14:paraId="475FDD7B" w14:textId="351A8B98"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48. Contact Details</w:t>
      </w:r>
      <w:r>
        <w:rPr>
          <w:noProof/>
        </w:rPr>
        <w:tab/>
      </w:r>
      <w:r>
        <w:rPr>
          <w:noProof/>
        </w:rPr>
        <w:fldChar w:fldCharType="begin"/>
      </w:r>
      <w:r>
        <w:rPr>
          <w:noProof/>
        </w:rPr>
        <w:instrText xml:space="preserve"> PAGEREF _Toc235449832 \h </w:instrText>
      </w:r>
      <w:r>
        <w:rPr>
          <w:noProof/>
        </w:rPr>
      </w:r>
      <w:r>
        <w:rPr>
          <w:noProof/>
        </w:rPr>
        <w:fldChar w:fldCharType="separate"/>
      </w:r>
      <w:r>
        <w:rPr>
          <w:noProof/>
        </w:rPr>
        <w:t>44</w:t>
      </w:r>
      <w:r>
        <w:rPr>
          <w:noProof/>
        </w:rPr>
        <w:fldChar w:fldCharType="end"/>
      </w:r>
    </w:p>
    <w:p w14:paraId="43C08E73" w14:textId="3DAAD029" w:rsidR="006D25F0" w:rsidRDefault="006D25F0" w:rsidP="006D25F0">
      <w:pPr>
        <w:pStyle w:val="TOC1"/>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49. Appendices</w:t>
      </w:r>
      <w:r>
        <w:rPr>
          <w:noProof/>
        </w:rPr>
        <w:tab/>
      </w:r>
      <w:r>
        <w:rPr>
          <w:noProof/>
        </w:rPr>
        <w:fldChar w:fldCharType="begin"/>
      </w:r>
      <w:r>
        <w:rPr>
          <w:noProof/>
        </w:rPr>
        <w:instrText xml:space="preserve"> PAGEREF _Toc235449833 \h </w:instrText>
      </w:r>
      <w:r>
        <w:rPr>
          <w:noProof/>
        </w:rPr>
      </w:r>
      <w:r>
        <w:rPr>
          <w:noProof/>
        </w:rPr>
        <w:fldChar w:fldCharType="separate"/>
      </w:r>
      <w:r>
        <w:rPr>
          <w:noProof/>
        </w:rPr>
        <w:t>44</w:t>
      </w:r>
      <w:r>
        <w:rPr>
          <w:noProof/>
        </w:rPr>
        <w:fldChar w:fldCharType="end"/>
      </w:r>
    </w:p>
    <w:p w14:paraId="4D25B8A7" w14:textId="781D633A"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49.1 Appendix A — Glossary</w:t>
      </w:r>
      <w:r>
        <w:rPr>
          <w:noProof/>
        </w:rPr>
        <w:tab/>
      </w:r>
      <w:r>
        <w:rPr>
          <w:noProof/>
        </w:rPr>
        <w:fldChar w:fldCharType="begin"/>
      </w:r>
      <w:r>
        <w:rPr>
          <w:noProof/>
        </w:rPr>
        <w:instrText xml:space="preserve"> PAGEREF _Toc235449834 \h </w:instrText>
      </w:r>
      <w:r>
        <w:rPr>
          <w:noProof/>
        </w:rPr>
      </w:r>
      <w:r>
        <w:rPr>
          <w:noProof/>
        </w:rPr>
        <w:fldChar w:fldCharType="separate"/>
      </w:r>
      <w:r>
        <w:rPr>
          <w:noProof/>
        </w:rPr>
        <w:t>44</w:t>
      </w:r>
      <w:r>
        <w:rPr>
          <w:noProof/>
        </w:rPr>
        <w:fldChar w:fldCharType="end"/>
      </w:r>
    </w:p>
    <w:p w14:paraId="3B29C791" w14:textId="0679ED6D"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49.2 Appendix B — Placeholder Index</w:t>
      </w:r>
      <w:r>
        <w:rPr>
          <w:noProof/>
        </w:rPr>
        <w:tab/>
      </w:r>
      <w:r>
        <w:rPr>
          <w:noProof/>
        </w:rPr>
        <w:fldChar w:fldCharType="begin"/>
      </w:r>
      <w:r>
        <w:rPr>
          <w:noProof/>
        </w:rPr>
        <w:instrText xml:space="preserve"> PAGEREF _Toc235449835 \h </w:instrText>
      </w:r>
      <w:r>
        <w:rPr>
          <w:noProof/>
        </w:rPr>
      </w:r>
      <w:r>
        <w:rPr>
          <w:noProof/>
        </w:rPr>
        <w:fldChar w:fldCharType="separate"/>
      </w:r>
      <w:r>
        <w:rPr>
          <w:noProof/>
        </w:rPr>
        <w:t>45</w:t>
      </w:r>
      <w:r>
        <w:rPr>
          <w:noProof/>
        </w:rPr>
        <w:fldChar w:fldCharType="end"/>
      </w:r>
    </w:p>
    <w:p w14:paraId="4CD9EAE7" w14:textId="2E9DBBFC" w:rsidR="006D25F0" w:rsidRDefault="006D25F0" w:rsidP="006D25F0">
      <w:pPr>
        <w:pStyle w:val="TOC2"/>
        <w:tabs>
          <w:tab w:val="right" w:leader="dot" w:pos="9629"/>
        </w:tabs>
        <w:rPr>
          <w:rFonts w:asciiTheme="minorHAnsi" w:hAnsiTheme="minorHAnsi" w:cstheme="minorBidi"/>
          <w:noProof/>
          <w:kern w:val="2"/>
          <w14:ligatures w14:val="standardContextual"/>
        </w:rPr>
      </w:pPr>
      <w:r w:rsidRPr="00941386">
        <w:rPr>
          <w:rFonts w:ascii="Segoe UI" w:eastAsia="Times New Roman" w:hAnsi="Segoe UI" w:cs="Segoe UI"/>
          <w:noProof/>
          <w:lang w:val="en"/>
        </w:rPr>
        <w:t>49.3 Appendix C — Referenced Documents</w:t>
      </w:r>
      <w:r>
        <w:rPr>
          <w:noProof/>
        </w:rPr>
        <w:tab/>
      </w:r>
      <w:r>
        <w:rPr>
          <w:noProof/>
        </w:rPr>
        <w:fldChar w:fldCharType="begin"/>
      </w:r>
      <w:r>
        <w:rPr>
          <w:noProof/>
        </w:rPr>
        <w:instrText xml:space="preserve"> PAGEREF _Toc235449836 \h </w:instrText>
      </w:r>
      <w:r>
        <w:rPr>
          <w:noProof/>
        </w:rPr>
      </w:r>
      <w:r>
        <w:rPr>
          <w:noProof/>
        </w:rPr>
        <w:fldChar w:fldCharType="separate"/>
      </w:r>
      <w:r>
        <w:rPr>
          <w:noProof/>
        </w:rPr>
        <w:t>45</w:t>
      </w:r>
      <w:r>
        <w:rPr>
          <w:noProof/>
        </w:rPr>
        <w:fldChar w:fldCharType="end"/>
      </w:r>
    </w:p>
    <w:p w14:paraId="0C1CE810" w14:textId="5F1588F7" w:rsidR="00202328" w:rsidRDefault="006D25F0" w:rsidP="006D25F0">
      <w:pPr>
        <w:pStyle w:val="NormalWeb"/>
        <w:rPr>
          <w:rFonts w:ascii="Segoe UI" w:hAnsi="Segoe UI" w:cs="Segoe UI"/>
          <w:color w:val="1F2933"/>
          <w:sz w:val="21"/>
          <w:szCs w:val="21"/>
          <w:lang w:val="en"/>
        </w:rPr>
      </w:pPr>
      <w:r>
        <w:rPr>
          <w:rFonts w:ascii="Segoe UI" w:hAnsi="Segoe UI" w:cs="Segoe UI"/>
          <w:color w:val="1F2933"/>
          <w:sz w:val="21"/>
          <w:szCs w:val="21"/>
          <w:lang w:val="en"/>
        </w:rPr>
        <w:fldChar w:fldCharType="end"/>
      </w:r>
    </w:p>
    <w:p w14:paraId="4BFF784A" w14:textId="77777777" w:rsidR="00202328" w:rsidRDefault="00202328">
      <w:pPr>
        <w:pStyle w:val="Heading1"/>
        <w:rPr>
          <w:rFonts w:ascii="Segoe UI" w:eastAsia="Times New Roman" w:hAnsi="Segoe UI" w:cs="Segoe UI"/>
          <w:lang w:val="en"/>
        </w:rPr>
      </w:pPr>
      <w:bookmarkStart w:id="5" w:name="_Toc235449763"/>
      <w:r>
        <w:rPr>
          <w:rFonts w:ascii="Segoe UI" w:eastAsia="Times New Roman" w:hAnsi="Segoe UI" w:cs="Segoe UI"/>
          <w:lang w:val="en"/>
        </w:rPr>
        <w:t>5. Letter of Submission</w:t>
      </w:r>
      <w:bookmarkEnd w:id="5"/>
    </w:p>
    <w:p w14:paraId="22B69DDB"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[Client Name]</w:t>
      </w:r>
    </w:p>
    <w:p w14:paraId="52D28E68" w14:textId="77777777" w:rsidR="00202328" w:rsidRDefault="00202328">
      <w:pPr>
        <w:pStyle w:val="muted"/>
        <w:spacing w:before="120" w:beforeAutospacing="0" w:after="120" w:afterAutospacing="0"/>
        <w:rPr>
          <w:rFonts w:ascii="Segoe UI" w:hAnsi="Segoe UI" w:cs="Segoe UI"/>
          <w:lang w:val="en"/>
        </w:rPr>
      </w:pPr>
      <w:r>
        <w:rPr>
          <w:rFonts w:ascii="Segoe UI" w:hAnsi="Segoe UI" w:cs="Segoe UI"/>
          <w:lang w:val="en"/>
        </w:rPr>
        <w:t>[Date]</w:t>
      </w:r>
    </w:p>
    <w:p w14:paraId="72AE204B"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Dear Sir / Madam,</w:t>
      </w:r>
    </w:p>
    <w:p w14:paraId="1D19C865" w14:textId="77777777" w:rsidR="00202328" w:rsidRDefault="00202328">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Subject: Proposal for the Supply, Configuration, and Support of the Live Quiz Platform</w:t>
      </w:r>
    </w:p>
    <w:p w14:paraId="01299AF2"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On behalf of Altanfith Aldwaliah SPC, I would like to thank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for the opportunity to submit this proposal. We appreciate the time and consideration your team has invested in reviewing our solution, and we welcome the opportunity to support your organization's engagement, training, and assessment objectives.</w:t>
      </w:r>
    </w:p>
    <w:p w14:paraId="3429D7A2"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proposal presents the Live Quiz Platform as an enterprise engagement, assessment, and analytics solution designed to help organizations such as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run live sessions, structured assessments, and knowledge-evaluation activities with the branding control, reporting depth, and security posture that a large organization requires — going beyond what general-purpose public quiz tools are built to offer. The following sections set out our understanding of your requirements, the proposed solution, our technical architecture and delivery methodology, and the commercial models available for this engagement.</w:t>
      </w:r>
    </w:p>
    <w:p w14:paraId="444231A7"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proposal, including its commercial terms, is valid for a period of 30 days from the date shown above. We remain available throughout this period to answer questions, arrange a live demonstration, or refine any aspect of this proposal to better reflect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specific requirements.</w:t>
      </w:r>
    </w:p>
    <w:p w14:paraId="3A77A3CE"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We look forward to the possibility of working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and would welcome the opportunity to discuss this proposal further at your convenience.</w:t>
      </w:r>
    </w:p>
    <w:p w14:paraId="1AD3E69C" w14:textId="77777777" w:rsidR="00202328" w:rsidRDefault="00202328">
      <w:pPr>
        <w:pStyle w:val="NormalWeb"/>
        <w:spacing w:before="480"/>
        <w:rPr>
          <w:rFonts w:ascii="Segoe UI" w:hAnsi="Segoe UI" w:cs="Segoe UI"/>
          <w:color w:val="1F2933"/>
          <w:sz w:val="21"/>
          <w:szCs w:val="21"/>
          <w:lang w:val="en"/>
        </w:rPr>
      </w:pPr>
      <w:r>
        <w:rPr>
          <w:rFonts w:ascii="Segoe UI" w:hAnsi="Segoe UI" w:cs="Segoe UI"/>
          <w:color w:val="1F2933"/>
          <w:sz w:val="21"/>
          <w:szCs w:val="21"/>
          <w:lang w:val="en"/>
        </w:rPr>
        <w:t>Yours faithfully,</w:t>
      </w:r>
    </w:p>
    <w:p w14:paraId="4E42C12B" w14:textId="77777777" w:rsidR="00202328" w:rsidRDefault="00202328">
      <w:pPr>
        <w:pStyle w:val="NormalWeb"/>
        <w:spacing w:before="480"/>
        <w:rPr>
          <w:rFonts w:ascii="Segoe UI" w:hAnsi="Segoe UI" w:cs="Segoe UI"/>
          <w:color w:val="1F2933"/>
          <w:sz w:val="21"/>
          <w:szCs w:val="21"/>
          <w:lang w:val="en"/>
        </w:rPr>
      </w:pPr>
      <w:r>
        <w:rPr>
          <w:rStyle w:val="Strong"/>
          <w:rFonts w:ascii="Segoe UI" w:hAnsi="Segoe UI" w:cs="Segoe UI"/>
          <w:color w:val="1F2933"/>
          <w:sz w:val="21"/>
          <w:szCs w:val="21"/>
          <w:lang w:val="en"/>
        </w:rPr>
        <w:lastRenderedPageBreak/>
        <w:t>Haitham Al Lamki</w:t>
      </w:r>
      <w:r>
        <w:rPr>
          <w:rFonts w:ascii="Segoe UI" w:hAnsi="Segoe UI" w:cs="Segoe UI"/>
          <w:color w:val="1F2933"/>
          <w:sz w:val="21"/>
          <w:szCs w:val="21"/>
          <w:lang w:val="en"/>
        </w:rPr>
        <w:br/>
      </w:r>
      <w:r>
        <w:rPr>
          <w:rFonts w:ascii="Segoe UI" w:hAnsi="Segoe UI" w:cs="Segoe UI"/>
          <w:color w:val="1F2933"/>
          <w:sz w:val="21"/>
          <w:szCs w:val="21"/>
          <w:lang w:val="en"/>
        </w:rPr>
        <w:t>Altanfith Aldwaliah SPC</w:t>
      </w:r>
      <w:r>
        <w:rPr>
          <w:rFonts w:ascii="Segoe UI" w:hAnsi="Segoe UI" w:cs="Segoe UI"/>
          <w:color w:val="1F2933"/>
          <w:sz w:val="21"/>
          <w:szCs w:val="21"/>
          <w:lang w:val="en"/>
        </w:rPr>
        <w:br/>
        <w:t>Email: haitham@altanfith.com</w:t>
      </w:r>
      <w:r>
        <w:rPr>
          <w:rFonts w:ascii="Segoe UI" w:hAnsi="Segoe UI" w:cs="Segoe UI"/>
          <w:color w:val="1F2933"/>
          <w:sz w:val="21"/>
          <w:szCs w:val="21"/>
          <w:lang w:val="en"/>
        </w:rPr>
        <w:br/>
        <w:t>Phone: +968 9937 1775</w:t>
      </w:r>
      <w:r>
        <w:rPr>
          <w:rFonts w:ascii="Segoe UI" w:hAnsi="Segoe UI" w:cs="Segoe UI"/>
          <w:color w:val="1F2933"/>
          <w:sz w:val="21"/>
          <w:szCs w:val="21"/>
          <w:lang w:val="en"/>
        </w:rPr>
        <w:br/>
        <w:t>Sultanate of Oman</w:t>
      </w:r>
    </w:p>
    <w:p w14:paraId="71F967EF" w14:textId="77777777" w:rsidR="00202328" w:rsidRDefault="00202328">
      <w:pPr>
        <w:pStyle w:val="Heading1"/>
        <w:rPr>
          <w:rFonts w:ascii="Segoe UI" w:eastAsia="Times New Roman" w:hAnsi="Segoe UI" w:cs="Segoe UI"/>
          <w:lang w:val="en"/>
        </w:rPr>
      </w:pPr>
      <w:bookmarkStart w:id="6" w:name="_Toc235449764"/>
      <w:r>
        <w:rPr>
          <w:rFonts w:ascii="Segoe UI" w:eastAsia="Times New Roman" w:hAnsi="Segoe UI" w:cs="Segoe UI"/>
          <w:lang w:val="en"/>
        </w:rPr>
        <w:t>6. Executive Summary</w:t>
      </w:r>
      <w:bookmarkEnd w:id="6"/>
    </w:p>
    <w:p w14:paraId="08152973"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is pleased to present the Live Quiz Platform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as an enterprise engagement, assessment, and knowledge-evaluation platform — a flexible, customizable alternative to general public quiz tools, purpose-built for organizations that require organizational branding, structured reporting, and enterprise-grade controls around how live sessions and assessments are run.</w:t>
      </w:r>
    </w:p>
    <w:p w14:paraId="2EE3CA5D"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is not a concept or a prototype. It is already in real operational use at Abraj Energy Services, where it supports HSE meetings and employee engagement activities, with single live sessions that have brought together more than 100 participants at once. This production track record gives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confidence that the core platform is stable, functional, and capable of supporting real organizational events at meaningful scale, rather than a solution that exists only on paper.</w:t>
      </w:r>
    </w:p>
    <w:p w14:paraId="73D7245A"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The platform is bilingual by design, with a fully localized Arabic and English interface including complete right-to-left (RTL) support for Arabic — a capability that matters for organizations operating across Oman and the wider Gulf region, where sessions, dashboards, and reports need to be equally usable in either language.</w:t>
      </w:r>
    </w:p>
    <w:p w14:paraId="1F9A9758"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Content creation is accelerated through AI-assisted generation: administrators can generate a complete quiz from a topic or title, or from an uploaded PDF, Word document, URL, or pasted text, with the AI assigning suggested difficulty levels and answer explanations. Every AI-generated item is presented to an administrator for review and editing before it is used in a live session — the platform is designed to keep a human reviewer in the loop rather than publishing AI output automatically. Additional AI cap</w:t>
      </w:r>
      <w:r>
        <w:rPr>
          <w:rFonts w:ascii="Segoe UI" w:hAnsi="Segoe UI" w:cs="Segoe UI"/>
          <w:color w:val="1F2933"/>
          <w:sz w:val="21"/>
          <w:szCs w:val="21"/>
          <w:lang w:val="en"/>
        </w:rPr>
        <w:t xml:space="preserve">abilities, such as AI-assisted rewriting, suggestions, and generated visual themes, are available as optional, separately scoped additions, and a further set of AI-driven insights and reporting features sits on our future roadmap. </w:t>
      </w:r>
    </w:p>
    <w:p w14:paraId="08ACCE2F" w14:textId="77777777" w:rsidR="00202328" w:rsidRDefault="00202328">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choose how the platform is hosted and delivered. Three deployment models are available: a fully managed cloud/SaaS option, a fully on-premises option in which the Express.js backend runs entirely within the client's own infrastructure, and a hybrid option that splits components between the two — the right choice depends on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's data residency, network, and cybersecurity requirements, and is confirmed through a dedicated infrastructure assessment rather than assumed in advance. Commercially, </w:t>
      </w:r>
      <w:r>
        <w:rPr>
          <w:rFonts w:ascii="Segoe UI" w:hAnsi="Segoe UI" w:cs="Segoe UI"/>
          <w:color w:val="1F2933"/>
          <w:sz w:val="21"/>
          <w:szCs w:val="21"/>
          <w:lang w:val="en"/>
        </w:rPr>
        <w:t xml:space="preserve">the platform is available under three models — an annual SaaS subscription, a one-time perpetual license, and an enterprise custom development partnership —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select the ownership and cost structure that best fits its procurement approach.</w:t>
      </w:r>
    </w:p>
    <w:p w14:paraId="686E91ED"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Underpinning all of this is the fact that Altanfith Aldwaliah SPC is an Omani company: delivery, support, and communication happen locally, in Arabic and English, without the delays or handover friction that come with an offshore vendor. This local presence supports the value of the platform — it is the foundation the offer is delivered on, not the offer itself.</w:t>
      </w:r>
    </w:p>
    <w:tbl>
      <w:tblPr>
        <w:tblW w:w="5000" w:type="pct"/>
        <w:tblCellMar>
          <w:top w:w="15" w:type="dxa"/>
          <w:left w:w="15" w:type="dxa"/>
          <w:bottom w:w="15" w:type="dxa"/>
          <w:right w:w="15" w:type="dxa"/>
        </w:tblCellMar>
        <w:tblLook w:val="04A0" w:firstRow="1" w:lastRow="0" w:firstColumn="1" w:lastColumn="0" w:noHBand="0" w:noVBand="1"/>
      </w:tblPr>
      <w:tblGrid>
        <w:gridCol w:w="1826"/>
        <w:gridCol w:w="7793"/>
      </w:tblGrid>
      <w:tr w:rsidR="00000000" w14:paraId="7AE5CE68" w14:textId="77777777">
        <w:tc>
          <w:tcPr>
            <w:tcW w:w="0" w:type="auto"/>
            <w:gridSpan w:val="2"/>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4E11B6B"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Proposal at a glance</w:t>
            </w:r>
          </w:p>
        </w:tc>
      </w:tr>
      <w:tr w:rsidR="00000000" w14:paraId="7C3D957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2C5368"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Solution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889EB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Enterprise engagement, assessment &amp; analytics platform — Live Quiz Platform</w:t>
            </w:r>
          </w:p>
        </w:tc>
      </w:tr>
      <w:tr w:rsidR="00000000" w14:paraId="63AEFB3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9BDEE7"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Proven use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C33AA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 production at Abraj Energy Services — HSE meetings &amp; engagement sessions with 100+ live participants</w:t>
            </w:r>
          </w:p>
        </w:tc>
      </w:tr>
      <w:tr w:rsidR="00000000" w14:paraId="2B5D648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E8CDFD"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Deployment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334EA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Cloud/SaaS, fully on-premises, or hybrid — confirmed via infrastructure assessment</w:t>
            </w:r>
          </w:p>
        </w:tc>
      </w:tr>
      <w:tr w:rsidR="00000000" w14:paraId="6FC338A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E5DB7E"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Commercial models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224BC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SaaS subscription · perpetual license · enterprise custom development partnership</w:t>
            </w:r>
          </w:p>
        </w:tc>
      </w:tr>
      <w:tr w:rsidR="00000000" w14:paraId="4188B9A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60A965"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AI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4F5BF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quiz generation from topic, PDF, document, URL, or text — always reviewed by an administrator before use</w:t>
            </w:r>
          </w:p>
        </w:tc>
      </w:tr>
      <w:tr w:rsidR="00000000" w14:paraId="65E2656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46ECBF"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Support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F5344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Bronze / Silver / Gold packages, delivered locally from Oman in Arabic and English</w:t>
            </w:r>
          </w:p>
        </w:tc>
      </w:tr>
    </w:tbl>
    <w:p w14:paraId="3959C8E9" w14:textId="77777777" w:rsidR="00202328" w:rsidRDefault="00202328">
      <w:pPr>
        <w:pStyle w:val="Heading1"/>
        <w:rPr>
          <w:rFonts w:ascii="Segoe UI" w:eastAsia="Times New Roman" w:hAnsi="Segoe UI" w:cs="Segoe UI"/>
          <w:lang w:val="en"/>
        </w:rPr>
      </w:pPr>
      <w:bookmarkStart w:id="7" w:name="_Toc235449765"/>
      <w:r>
        <w:rPr>
          <w:rFonts w:ascii="Segoe UI" w:eastAsia="Times New Roman" w:hAnsi="Segoe UI" w:cs="Segoe UI"/>
          <w:lang w:val="en"/>
        </w:rPr>
        <w:t>7. About Altanfith Aldwaliah SPC</w:t>
      </w:r>
      <w:bookmarkEnd w:id="7"/>
    </w:p>
    <w:p w14:paraId="447D62F8"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Altanfith Aldwaliah SPC is a Sultanate of Oman-based software company focused on designing, building, and supporting enterprise digital platforms for government, oil &amp; gas, education, and private-sector organizations. Our work centers on delivering software that is not simply installed and left running, but actively configured, branded, and adapted around each client's operational, reporting, and security requirements.</w:t>
      </w:r>
    </w:p>
    <w:p w14:paraId="194A9325"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Our core capability areas span custom application development, enterprise platform configuration, and applied artificial intelligence — including AI-assisted content generation of the kind used within the Live Quiz Platform itself. We combine this technical capability with a practical understanding of how large Omani organizations operate: the governance structures they answer to, the security review processes their IT and cybersecurity teams require, and the bilingual Arabic/English environment in which th</w:t>
      </w:r>
      <w:r>
        <w:rPr>
          <w:rFonts w:ascii="Segoe UI" w:hAnsi="Segoe UI" w:cs="Segoe UI"/>
          <w:color w:val="1F2933"/>
          <w:sz w:val="21"/>
          <w:szCs w:val="21"/>
          <w:lang w:val="en"/>
        </w:rPr>
        <w:t>eir staff and stakeholders work.</w:t>
      </w:r>
    </w:p>
    <w:p w14:paraId="5CFBBE1E"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a direct expression of this approach. Rather than offering a generic, one-size-fits-all quiz tool, we designed and continue to develop a platform that can be shaped around each client's branding, workflows, integration landscape, and deployment preferences — and that is already proven in real operational use, as set out in Section 12 of this proposal.</w:t>
      </w:r>
    </w:p>
    <w:p w14:paraId="40B97045"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As an Omani company, Altanfith Aldwaliah SPC is able to engage directly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teams throughout discovery, delivery, and ongoing support, in Arabic and English, without reliance on an intermediary or an offshore support desk operating outside Gulf business hours.</w:t>
      </w:r>
    </w:p>
    <w:p w14:paraId="2514EC12" w14:textId="77777777" w:rsidR="00202328" w:rsidRDefault="00202328">
      <w:pPr>
        <w:pStyle w:val="Heading1"/>
        <w:rPr>
          <w:rFonts w:ascii="Segoe UI" w:eastAsia="Times New Roman" w:hAnsi="Segoe UI" w:cs="Segoe UI"/>
          <w:lang w:val="en"/>
        </w:rPr>
      </w:pPr>
      <w:bookmarkStart w:id="8" w:name="_Toc235449766"/>
      <w:r>
        <w:rPr>
          <w:rFonts w:ascii="Segoe UI" w:eastAsia="Times New Roman" w:hAnsi="Segoe UI" w:cs="Segoe UI"/>
          <w:lang w:val="en"/>
        </w:rPr>
        <w:t>8. Understanding of Client Requirements</w:t>
      </w:r>
      <w:bookmarkEnd w:id="8"/>
    </w:p>
    <w:p w14:paraId="2EB142AF"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Large Omani organizations — whether in government, oil &amp; gas, education, or the private sector — typically approach an engagement and assessment platform with a common set of expectations that go well beyond what a free or public quiz tool is designed to provide. Based on our experience delivering the Live Quiz Platform into a live production environment, we understand these expectations to include the following.</w:t>
      </w:r>
    </w:p>
    <w:tbl>
      <w:tblPr>
        <w:tblW w:w="5000" w:type="pct"/>
        <w:tblCellMar>
          <w:top w:w="15" w:type="dxa"/>
          <w:left w:w="15" w:type="dxa"/>
          <w:bottom w:w="15" w:type="dxa"/>
          <w:right w:w="15" w:type="dxa"/>
        </w:tblCellMar>
        <w:tblLook w:val="04A0" w:firstRow="1" w:lastRow="0" w:firstColumn="1" w:lastColumn="0" w:noHBand="0" w:noVBand="1"/>
      </w:tblPr>
      <w:tblGrid>
        <w:gridCol w:w="3408"/>
        <w:gridCol w:w="6211"/>
      </w:tblGrid>
      <w:tr w:rsidR="00000000" w14:paraId="797A9E1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1580CBD"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lastRenderedPageBreak/>
              <w:t>Requirement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9ED8E59"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Our response</w:t>
            </w:r>
          </w:p>
        </w:tc>
      </w:tr>
      <w:tr w:rsidR="00000000" w14:paraId="2230BDE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0F7CD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Full control over branding, so that sessions and materials reflect the organization's own visual identity rather than a generic third-party look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3555F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Per-tenant organization branding, including logo and color customization, custom themes, custom backgrounds, and custom UI text, is built into the platform</w:t>
            </w:r>
          </w:p>
        </w:tc>
      </w:tr>
      <w:tr w:rsidR="00000000" w14:paraId="203FB77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F2FFF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Control over where data resides and how it is retained, including the ability to keep sensitive data within the organization's own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52A2E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A fully on-premises deployment option is available, in which the backend and database can run entirely within </w:t>
            </w:r>
            <w:r>
              <w:rPr>
                <w:rStyle w:val="Strong"/>
                <w:rFonts w:ascii="Segoe UI" w:eastAsia="Times New Roman" w:hAnsi="Segoe UI" w:cs="Segoe UI"/>
                <w:color w:val="1F2933"/>
                <w:sz w:val="19"/>
                <w:szCs w:val="19"/>
              </w:rPr>
              <w:t>[Client Infrastructure]</w:t>
            </w:r>
            <w:r>
              <w:rPr>
                <w:rFonts w:ascii="Segoe UI" w:eastAsia="Times New Roman" w:hAnsi="Segoe UI" w:cs="Segoe UI"/>
                <w:color w:val="1F2933"/>
                <w:sz w:val="19"/>
                <w:szCs w:val="19"/>
              </w:rPr>
              <w:t>; data retention and export terms are defined in the commercial agreement, and final data residency arrangements are confirmed during discovery and infrastructure assessment</w:t>
            </w:r>
          </w:p>
        </w:tc>
      </w:tr>
      <w:tr w:rsidR="00000000" w14:paraId="2B6B52E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6EBB6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genuinely bilingual Arabic and English experience, not a partial translation layered onto an English-first product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194B5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platform interface, including full right-to-left (RTL) layout, is available in Arabic and English as a core, included capability</w:t>
            </w:r>
          </w:p>
        </w:tc>
      </w:tr>
      <w:tr w:rsidR="00000000" w14:paraId="24B3900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57E76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Compatibility with the organization's internal cybersecurity review and approval process before 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54DD1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platform is developed with awareness of the OWASP Top 10 and includes controls such as role-based access, audit logging, and API rate limiting; the full architecture is made available for client security review, and deployment is subject to the client's cybersecurity assessment as described in Section 20</w:t>
            </w:r>
          </w:p>
        </w:tc>
      </w:tr>
      <w:tr w:rsidR="00000000" w14:paraId="72BE865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AA3FE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Practical integration paths into the organization's existing systems (identity, HR, reporting) rather than a fully closed platform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6354F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REST APIs and a defined set of integration options are available; specific integrations such as single sign-on, HR systems, or Power BI can be configured to support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's environment and are scoped individually, as described in Section 23</w:t>
            </w:r>
          </w:p>
        </w:tc>
      </w:tr>
      <w:tr w:rsidR="00000000" w14:paraId="1786CBE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342A3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Local support that understands the organization's language, working hours, and escalation expectations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43865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Aldwaliah SPC is based in the Sultanate of Oman and delivers support in Arabic and English under Bronze, Silver, and Gold packages, as described in Section 31</w:t>
            </w:r>
          </w:p>
        </w:tc>
      </w:tr>
    </w:tbl>
    <w:p w14:paraId="2949D54F"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These requirements shape both the design of the platform and the structure of this proposal: the sections that follow set out how the Live Quiz Platform, its architecture, and our delivery methodology are built to answer each of them directly.</w:t>
      </w:r>
    </w:p>
    <w:p w14:paraId="1088F080" w14:textId="77777777" w:rsidR="00202328" w:rsidRDefault="00202328">
      <w:pPr>
        <w:pStyle w:val="Heading1"/>
        <w:rPr>
          <w:rFonts w:ascii="Segoe UI" w:eastAsia="Times New Roman" w:hAnsi="Segoe UI" w:cs="Segoe UI"/>
          <w:lang w:val="en"/>
        </w:rPr>
      </w:pPr>
      <w:bookmarkStart w:id="9" w:name="_Toc235449767"/>
      <w:r>
        <w:rPr>
          <w:rFonts w:ascii="Segoe UI" w:eastAsia="Times New Roman" w:hAnsi="Segoe UI" w:cs="Segoe UI"/>
          <w:lang w:val="en"/>
        </w:rPr>
        <w:t>9. Business Challenges</w:t>
      </w:r>
      <w:bookmarkEnd w:id="9"/>
    </w:p>
    <w:p w14:paraId="707F05D6"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Organizations that rely on free or general-purpose public quiz tools for internal engagement, training, or assessment activities commonly encounter a consistent set of limitations once usage moves beyond a single informal session.</w:t>
      </w:r>
    </w:p>
    <w:tbl>
      <w:tblPr>
        <w:tblW w:w="5000" w:type="pct"/>
        <w:tblCellMar>
          <w:top w:w="15" w:type="dxa"/>
          <w:left w:w="15" w:type="dxa"/>
          <w:bottom w:w="15" w:type="dxa"/>
          <w:right w:w="15" w:type="dxa"/>
        </w:tblCellMar>
        <w:tblLook w:val="04A0" w:firstRow="1" w:lastRow="0" w:firstColumn="1" w:lastColumn="0" w:noHBand="0" w:noVBand="1"/>
      </w:tblPr>
      <w:tblGrid>
        <w:gridCol w:w="3839"/>
        <w:gridCol w:w="5780"/>
      </w:tblGrid>
      <w:tr w:rsidR="00000000" w14:paraId="417724A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40FCA71"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Challenge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CD639DF"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Consequence</w:t>
            </w:r>
          </w:p>
        </w:tc>
      </w:tr>
      <w:tr w:rsidR="00000000" w14:paraId="6F24246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C5482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Generic public quiz tools are built for open, consumer use and lack enterprise controls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6E9A5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 organizational branding, no role-based administration, and no ability to enforce the organization's own access and data-handling requirements</w:t>
            </w:r>
          </w:p>
        </w:tc>
      </w:tr>
      <w:tr w:rsidR="00000000" w14:paraId="59C9AC8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95FFC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and question content is created ad hoc and scattered across individual accounts, files, and departments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82462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Content cannot be reused, standardized, or governed centrally, and is often lost when the individual who created it moves on</w:t>
            </w:r>
          </w:p>
        </w:tc>
      </w:tr>
      <w:tr w:rsidR="00000000" w14:paraId="1F68A32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ED25B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Public tools offer little to no organizational-level reporting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CBBEE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Management cannot see participation, performance, or engagement trends across departments, sessions, or time — results exist only as isolated, per-session snapshots</w:t>
            </w:r>
          </w:p>
        </w:tc>
      </w:tr>
      <w:tr w:rsidR="00000000" w14:paraId="7FB31A6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48D2B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 created and collected through a public, third-party tool sits outside the organization's own environment and control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C8500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This raises data residency and governance concerns for organizations subject to internal compliance requirements or operating in regulated sectors, particularly where session content or participant data is sensitive</w:t>
            </w:r>
          </w:p>
        </w:tc>
      </w:tr>
      <w:tr w:rsidR="00000000" w14:paraId="02542CE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09811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Repetitive use of the same generic tool and format across HSE briefings and training sessions leads to engagement fatigue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A94F4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Participation and attention decline over time, undermining the safety and learning objectives the sessions are intended to support</w:t>
            </w:r>
          </w:p>
        </w:tc>
      </w:tr>
      <w:tr w:rsidR="00000000" w14:paraId="6E04B08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4BF51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Public tools typically offer only a single, English-first interface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060BE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Arabic-speaking participants and administrators are left with a translated or inconsistent experience, reducing usability and adoption across a bilingual workforce</w:t>
            </w:r>
          </w:p>
        </w:tc>
      </w:tr>
    </w:tbl>
    <w:p w14:paraId="44F62488"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and the enterprise delivery model set out in this proposal, are designed specifically to address these gaps — as described in the sections that follow.</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2B2A8B3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E45371" w14:textId="77777777" w:rsidR="00202328" w:rsidRDefault="00202328">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TWO</w:t>
            </w:r>
          </w:p>
          <w:p w14:paraId="1F61EE52" w14:textId="77777777" w:rsidR="00202328" w:rsidRDefault="00202328">
            <w:pPr>
              <w:pStyle w:val="NormalWeb"/>
              <w:rPr>
                <w:rFonts w:ascii="Segoe UI" w:hAnsi="Segoe UI" w:cs="Segoe UI"/>
                <w:b/>
                <w:bCs/>
                <w:color w:val="FFFFFF"/>
                <w:sz w:val="44"/>
                <w:szCs w:val="44"/>
              </w:rPr>
            </w:pPr>
            <w:r>
              <w:rPr>
                <w:rFonts w:ascii="Segoe UI" w:hAnsi="Segoe UI" w:cs="Segoe UI"/>
                <w:b/>
                <w:bCs/>
                <w:color w:val="FFFFFF"/>
                <w:sz w:val="44"/>
                <w:szCs w:val="44"/>
              </w:rPr>
              <w:t>The Solution</w:t>
            </w:r>
          </w:p>
          <w:p w14:paraId="0B007238" w14:textId="77777777" w:rsidR="00202328" w:rsidRDefault="00202328">
            <w:pPr>
              <w:pStyle w:val="NormalWeb"/>
              <w:rPr>
                <w:rFonts w:ascii="Segoe UI" w:hAnsi="Segoe UI" w:cs="Segoe UI"/>
                <w:color w:val="1F2933"/>
              </w:rPr>
            </w:pPr>
            <w:r>
              <w:rPr>
                <w:rFonts w:ascii="Segoe UI" w:hAnsi="Segoe UI" w:cs="Segoe UI"/>
                <w:color w:val="1F2933"/>
              </w:rPr>
              <w:t>How the Live Quiz Platform answers the requirements and challenges set out above</w:t>
            </w:r>
          </w:p>
        </w:tc>
      </w:tr>
    </w:tbl>
    <w:p w14:paraId="1A2A76CC" w14:textId="77777777" w:rsidR="00202328" w:rsidRDefault="00202328">
      <w:pPr>
        <w:pStyle w:val="Heading1"/>
        <w:pageBreakBefore/>
        <w:rPr>
          <w:rFonts w:ascii="Segoe UI" w:eastAsia="Times New Roman" w:hAnsi="Segoe UI" w:cs="Segoe UI"/>
          <w:lang w:val="en"/>
        </w:rPr>
      </w:pPr>
      <w:bookmarkStart w:id="10" w:name="_Toc235449768"/>
      <w:r>
        <w:rPr>
          <w:rFonts w:ascii="Segoe UI" w:eastAsia="Times New Roman" w:hAnsi="Segoe UI" w:cs="Segoe UI"/>
          <w:lang w:val="en"/>
        </w:rPr>
        <w:lastRenderedPageBreak/>
        <w:t>10. Proposed Solution</w:t>
      </w:r>
      <w:bookmarkEnd w:id="10"/>
    </w:p>
    <w:p w14:paraId="6A1C3916"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proposes the Live Quiz Platform as a single platform that brings together live engagement, structured assessment, and organizational analytics,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does not need to operate separate tools for running a live session, evaluating knowledge, and reporting on the results.</w:t>
      </w:r>
    </w:p>
    <w:p w14:paraId="57C6FE0C"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is designed to support a broad range of use cases across a large organization, from safety and training activities to recruitment and internal communication. The table below reflects the categories of use the platform is built to support; the specific mix relevant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be confirmed during discovery.</w:t>
      </w:r>
    </w:p>
    <w:tbl>
      <w:tblPr>
        <w:tblW w:w="5000" w:type="pct"/>
        <w:tblCellMar>
          <w:top w:w="15" w:type="dxa"/>
          <w:left w:w="15" w:type="dxa"/>
          <w:bottom w:w="15" w:type="dxa"/>
          <w:right w:w="15" w:type="dxa"/>
        </w:tblCellMar>
        <w:tblLook w:val="04A0" w:firstRow="1" w:lastRow="0" w:firstColumn="1" w:lastColumn="0" w:noHBand="0" w:noVBand="1"/>
      </w:tblPr>
      <w:tblGrid>
        <w:gridCol w:w="2621"/>
        <w:gridCol w:w="3518"/>
        <w:gridCol w:w="3480"/>
      </w:tblGrid>
      <w:tr w:rsidR="00000000" w14:paraId="3424112C"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80CF245"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Engagement &amp; Training</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3B707B9"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Assessment &amp; Evaluation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FB0290F"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Organizational &amp; Institutional</w:t>
            </w:r>
          </w:p>
        </w:tc>
      </w:tr>
      <w:tr w:rsidR="00000000" w14:paraId="119AB01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B38DF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HSE meetings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5A136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Knowledge assessments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A7F62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Government awareness campaigns</w:t>
            </w:r>
          </w:p>
        </w:tc>
      </w:tr>
      <w:tr w:rsidR="00000000" w14:paraId="706B35E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6293E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Employee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ED2246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Recruitment assessments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CB182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Educational institutions</w:t>
            </w:r>
          </w:p>
        </w:tc>
      </w:tr>
      <w:tr w:rsidR="00000000" w14:paraId="0AF3354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FF208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Corporate workshops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8EC30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Interviews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DC353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Schools &amp; universities</w:t>
            </w:r>
          </w:p>
        </w:tc>
      </w:tr>
      <w:tr w:rsidR="00000000" w14:paraId="71965FB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F4F057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Team-building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923E1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Surveys &amp; polls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64BC3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compliance assessments</w:t>
            </w:r>
          </w:p>
        </w:tc>
      </w:tr>
      <w:tr w:rsidR="00000000" w14:paraId="1600B1B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E34E2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Corporate events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3A9B2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Certification preparation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5F886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Employee onboarding</w:t>
            </w:r>
          </w:p>
        </w:tc>
      </w:tr>
      <w:tr w:rsidR="00000000" w14:paraId="7F3B9FC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AE41E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Competitions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21EF0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Learning &amp; development programs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DC231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Safety awareness</w:t>
            </w:r>
          </w:p>
        </w:tc>
      </w:tr>
    </w:tbl>
    <w:p w14:paraId="2D6E188C"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It is important to be clear about how we position the Live Quiz Platform. Live, buzzer-style quiz tools such as Kahoot are widely known and are a useful category reference for the live-session experience — but the Live Quiz Platform is not a copy of any such tool. It is an enterprise platform: customizable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operational workflows, branding, reporting requirements, security posture, and integration landscape, and deployable in a way a general public tool is not, including fully on-premises within the client's own infrastructure. The sections that follow set out the platform itself (Sections 11–16), its technical architecture and deployment options (Sections 17–24), our delivery methodology (Sections 25–32), and the commercial terms under which it is offered (Sections 33 onward).</w:t>
      </w:r>
    </w:p>
    <w:p w14:paraId="73B0789D" w14:textId="77777777" w:rsidR="00202328" w:rsidRDefault="00202328">
      <w:pPr>
        <w:pStyle w:val="Heading1"/>
        <w:rPr>
          <w:rFonts w:ascii="Segoe UI" w:eastAsia="Times New Roman" w:hAnsi="Segoe UI" w:cs="Segoe UI"/>
          <w:lang w:val="en"/>
        </w:rPr>
      </w:pPr>
      <w:bookmarkStart w:id="11" w:name="_Toc235449769"/>
      <w:r>
        <w:rPr>
          <w:rFonts w:ascii="Segoe UI" w:eastAsia="Times New Roman" w:hAnsi="Segoe UI" w:cs="Segoe UI"/>
          <w:lang w:val="en"/>
        </w:rPr>
        <w:t>11. Platform Overview</w:t>
      </w:r>
      <w:bookmarkEnd w:id="11"/>
    </w:p>
    <w:p w14:paraId="5410235C"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best understood through the lifecycle of a typical session, from creation through to reporting.</w:t>
      </w:r>
    </w:p>
    <w:p w14:paraId="0A2951DF"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An administrator or quiz creator begins by building a quiz manually, or by using the platform's AI-assisted generation to produce a complete quiz from a topic, an uploaded PDF or Word document, a URL, or pasted text — with every AI-generated question reviewed and editable before use. The quiz is then branded with the organization's own logo, colors, and theme, and can be organized into a reusable question bank tagged by subject and difficulty for future sessions.</w:t>
      </w:r>
    </w:p>
    <w:p w14:paraId="6E369C7E"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lastRenderedPageBreak/>
        <w:t>When it is time to run a session, the host launches the quiz live. Participants join in seconds using a QR code, a direct link, or a session PIN, without needing to create an account. As the session runs, the platform is server-authoritative for timing and scoring: the server determines when a question opens and closes and calculates results, while participant and host devices render what is happening in real time — including live answer submission, a live leaderboard, and automatic reconnection if a partic</w:t>
      </w:r>
      <w:r>
        <w:rPr>
          <w:rFonts w:ascii="Segoe UI" w:hAnsi="Segoe UI" w:cs="Segoe UI"/>
          <w:color w:val="1F2933"/>
          <w:sz w:val="21"/>
          <w:szCs w:val="21"/>
          <w:lang w:val="en"/>
        </w:rPr>
        <w:t>ipant's network connection drops mid-session. At the close of the session, the top three participants are shown on a podium, alongside the full participant ranking.</w:t>
      </w:r>
    </w:p>
    <w:p w14:paraId="401E8EBA"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After the session ends, results are not lost. They are captured in the platform's reporting and session history, giving administrators and management access to participation data, performance analysis, and historical comparisons across sessions — described in full in Section 16.</w:t>
      </w:r>
    </w:p>
    <w:p w14:paraId="6F564045"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Across this lifecycle, the platform's capability set is organized into six pillars, summarized below and detailed in full in Section 13.</w:t>
      </w:r>
    </w:p>
    <w:tbl>
      <w:tblPr>
        <w:tblW w:w="5000" w:type="pct"/>
        <w:tblCellMar>
          <w:top w:w="15" w:type="dxa"/>
          <w:left w:w="15" w:type="dxa"/>
          <w:bottom w:w="15" w:type="dxa"/>
          <w:right w:w="15" w:type="dxa"/>
        </w:tblCellMar>
        <w:tblLook w:val="04A0" w:firstRow="1" w:lastRow="0" w:firstColumn="1" w:lastColumn="0" w:noHBand="0" w:noVBand="1"/>
      </w:tblPr>
      <w:tblGrid>
        <w:gridCol w:w="2221"/>
        <w:gridCol w:w="7398"/>
      </w:tblGrid>
      <w:tr w:rsidR="00000000" w14:paraId="363A87B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AEC9AF0"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Pillar</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200DD67"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covers</w:t>
            </w:r>
          </w:p>
        </w:tc>
      </w:tr>
      <w:tr w:rsidR="00000000" w14:paraId="7AF37A4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7471E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creation &amp; content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41CA1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and question authoring, question banks, bulk import, templates, versioning, and auto-save/draft recovery</w:t>
            </w:r>
          </w:p>
        </w:tc>
      </w:tr>
      <w:tr w:rsidR="00000000" w14:paraId="5842DAA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A7A58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hosting &amp; participation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86FA7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QR/link/PIN joining, real-time answers, live leaderboard, ranking, podium, and automatic reconnection</w:t>
            </w:r>
          </w:p>
        </w:tc>
      </w:tr>
      <w:tr w:rsidR="00000000" w14:paraId="6916FE9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CB207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Branding &amp; experience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A87ED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branding, custom themes and backgrounds, and a bilingual Arabic/English interface with full RTL support</w:t>
            </w:r>
          </w:p>
        </w:tc>
      </w:tr>
      <w:tr w:rsidR="00000000" w14:paraId="369C2BF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326DD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&amp; analytics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AD337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Result summaries, performance and difficulty analysis, historical and department-level reporting, and Excel/CSV/PDF export</w:t>
            </w:r>
          </w:p>
        </w:tc>
      </w:tr>
      <w:tr w:rsidR="00000000" w14:paraId="1D100E9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4F13A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Administration &amp; governance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B273C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 multi-tenant organization/department structure, multiple administrators, audit logs, and session history</w:t>
            </w:r>
          </w:p>
        </w:tc>
      </w:tr>
      <w:tr w:rsidR="00000000" w14:paraId="746B9B2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0C1E9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capabilities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FDF34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quiz generation from topic, document, URL, or text, with administrator review before use — detailed in Section 14</w:t>
            </w:r>
          </w:p>
        </w:tc>
      </w:tr>
    </w:tbl>
    <w:p w14:paraId="5F2BFA43" w14:textId="77777777" w:rsidR="00202328" w:rsidRDefault="00202328">
      <w:pPr>
        <w:pStyle w:val="Heading1"/>
        <w:rPr>
          <w:rFonts w:ascii="Segoe UI" w:eastAsia="Times New Roman" w:hAnsi="Segoe UI" w:cs="Segoe UI"/>
          <w:lang w:val="en"/>
        </w:rPr>
      </w:pPr>
      <w:bookmarkStart w:id="12" w:name="_Toc235449770"/>
      <w:r>
        <w:rPr>
          <w:rFonts w:ascii="Segoe UI" w:eastAsia="Times New Roman" w:hAnsi="Segoe UI" w:cs="Segoe UI"/>
          <w:lang w:val="en"/>
        </w:rPr>
        <w:t>12. Current Use Case</w:t>
      </w:r>
      <w:bookmarkEnd w:id="12"/>
    </w:p>
    <w:p w14:paraId="352CC71D"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not a concept, prototype, or proof of demonstration — it is in real, ongoing operational use today.</w:t>
      </w:r>
    </w:p>
    <w:p w14:paraId="11DF7729"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is currently deployed and actively used within </w:t>
      </w:r>
      <w:r>
        <w:rPr>
          <w:rStyle w:val="Strong"/>
          <w:rFonts w:ascii="Segoe UI" w:hAnsi="Segoe UI" w:cs="Segoe UI"/>
          <w:color w:val="1F2933"/>
          <w:sz w:val="21"/>
          <w:szCs w:val="21"/>
          <w:lang w:val="en"/>
        </w:rPr>
        <w:t>Abraj Energy Services</w:t>
      </w:r>
      <w:r>
        <w:rPr>
          <w:rFonts w:ascii="Segoe UI" w:hAnsi="Segoe UI" w:cs="Segoe UI"/>
          <w:color w:val="1F2933"/>
          <w:sz w:val="21"/>
          <w:szCs w:val="21"/>
          <w:lang w:val="en"/>
        </w:rPr>
        <w:t>, where it supports HSE (Health, Safety, and Environment) meetings and employee engagement activities. Live sessions run on the platform have brought together more than 100 participants at once, joining and answering in real time within a single session.</w:t>
      </w:r>
    </w:p>
    <w:p w14:paraId="44EB0848"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We present this use case as evidence that the core platform — live session hosting, real-time participation at meaningful scale, and the underlying engagement experience — is production-proven </w:t>
      </w:r>
      <w:r>
        <w:rPr>
          <w:rFonts w:ascii="Segoe UI" w:hAnsi="Segoe UI" w:cs="Segoe UI"/>
          <w:color w:val="1F2933"/>
          <w:sz w:val="21"/>
          <w:szCs w:val="21"/>
          <w:lang w:val="en"/>
        </w:rPr>
        <w:lastRenderedPageBreak/>
        <w:t>and functioning in a real organizational setting, rather than as a marketing claim or a controlled demonstration environment. We have not included any additional client references, dates, or testimonial statements beyond what is described above. All references in this proposal are drawn from this production deployment.</w:t>
      </w:r>
    </w:p>
    <w:p w14:paraId="07A98854" w14:textId="77777777" w:rsidR="00202328" w:rsidRDefault="00202328">
      <w:pPr>
        <w:pStyle w:val="Heading1"/>
        <w:rPr>
          <w:rFonts w:ascii="Segoe UI" w:eastAsia="Times New Roman" w:hAnsi="Segoe UI" w:cs="Segoe UI"/>
          <w:lang w:val="en"/>
        </w:rPr>
      </w:pPr>
      <w:bookmarkStart w:id="13" w:name="_Toc235449771"/>
      <w:r>
        <w:rPr>
          <w:rFonts w:ascii="Segoe UI" w:eastAsia="Times New Roman" w:hAnsi="Segoe UI" w:cs="Segoe UI"/>
          <w:lang w:val="en"/>
        </w:rPr>
        <w:t>13. Functional Scope</w:t>
      </w:r>
      <w:bookmarkEnd w:id="13"/>
    </w:p>
    <w:p w14:paraId="0DDFADA6"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tables below set out the platform's functional scope in full, grouped into six capability areas. Each capability is marked with its current status: </w:t>
      </w:r>
      <w:r>
        <w:rPr>
          <w:rStyle w:val="badge-inc1"/>
          <w:rFonts w:ascii="Segoe UI" w:hAnsi="Segoe UI" w:cs="Segoe UI"/>
          <w:sz w:val="21"/>
          <w:szCs w:val="21"/>
          <w:lang w:val="en"/>
        </w:rPr>
        <w:t>Included</w:t>
      </w:r>
      <w:r>
        <w:rPr>
          <w:rFonts w:ascii="Segoe UI" w:hAnsi="Segoe UI" w:cs="Segoe UI"/>
          <w:color w:val="1F2933"/>
          <w:sz w:val="21"/>
          <w:szCs w:val="21"/>
          <w:lang w:val="en"/>
        </w:rPr>
        <w:t xml:space="preserve"> capabilities are part of the core platform today; </w:t>
      </w:r>
      <w:r>
        <w:rPr>
          <w:rStyle w:val="badge-opt1"/>
          <w:rFonts w:ascii="Segoe UI" w:hAnsi="Segoe UI" w:cs="Segoe UI"/>
          <w:sz w:val="21"/>
          <w:szCs w:val="21"/>
          <w:lang w:val="en"/>
        </w:rPr>
        <w:t>Optional</w:t>
      </w:r>
      <w:r>
        <w:rPr>
          <w:rFonts w:ascii="Segoe UI" w:hAnsi="Segoe UI" w:cs="Segoe UI"/>
          <w:color w:val="1F2933"/>
          <w:sz w:val="21"/>
          <w:szCs w:val="21"/>
          <w:lang w:val="en"/>
        </w:rPr>
        <w:t xml:space="preserve"> capabilities are available as scoped additions; </w:t>
      </w:r>
      <w:r>
        <w:rPr>
          <w:rStyle w:val="badge-fut1"/>
          <w:rFonts w:ascii="Segoe UI" w:hAnsi="Segoe UI" w:cs="Segoe UI"/>
          <w:sz w:val="21"/>
          <w:szCs w:val="21"/>
          <w:lang w:val="en"/>
        </w:rPr>
        <w:t>Future enhancement</w:t>
      </w:r>
      <w:r>
        <w:rPr>
          <w:rFonts w:ascii="Segoe UI" w:hAnsi="Segoe UI" w:cs="Segoe UI"/>
          <w:color w:val="1F2933"/>
          <w:sz w:val="21"/>
          <w:szCs w:val="21"/>
          <w:lang w:val="en"/>
        </w:rPr>
        <w:t xml:space="preserve"> items are on our roadmap and not part of the current platform.</w:t>
      </w:r>
    </w:p>
    <w:p w14:paraId="59157672" w14:textId="77777777" w:rsidR="00202328" w:rsidRDefault="00202328">
      <w:pPr>
        <w:pStyle w:val="Heading2"/>
        <w:rPr>
          <w:rFonts w:ascii="Segoe UI" w:eastAsia="Times New Roman" w:hAnsi="Segoe UI" w:cs="Segoe UI"/>
          <w:lang w:val="en"/>
        </w:rPr>
      </w:pPr>
      <w:bookmarkStart w:id="14" w:name="_Toc235449772"/>
      <w:r>
        <w:rPr>
          <w:rFonts w:ascii="Segoe UI" w:eastAsia="Times New Roman" w:hAnsi="Segoe UI" w:cs="Segoe UI"/>
          <w:lang w:val="en"/>
        </w:rPr>
        <w:t>13.1 Quiz Creation &amp; Content</w:t>
      </w:r>
      <w:bookmarkEnd w:id="14"/>
    </w:p>
    <w:tbl>
      <w:tblPr>
        <w:tblW w:w="5000" w:type="pct"/>
        <w:tblCellMar>
          <w:top w:w="15" w:type="dxa"/>
          <w:left w:w="15" w:type="dxa"/>
          <w:bottom w:w="15" w:type="dxa"/>
          <w:right w:w="15" w:type="dxa"/>
        </w:tblCellMar>
        <w:tblLook w:val="04A0" w:firstRow="1" w:lastRow="0" w:firstColumn="1" w:lastColumn="0" w:noHBand="0" w:noVBand="1"/>
      </w:tblPr>
      <w:tblGrid>
        <w:gridCol w:w="2261"/>
        <w:gridCol w:w="6344"/>
        <w:gridCol w:w="1014"/>
      </w:tblGrid>
      <w:tr w:rsidR="00000000" w14:paraId="0DA31C9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76DD5A6"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BA9F9CD"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2E105AB"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1715B69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8C411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creation &amp; management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AA12B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Create, edit, and manage quizzes from a central administration interface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9C6D31"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3C543B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0969E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Multiple question types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30E0F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Single-answer questions with 4–6 choices, multi-select questions, and true/false questions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325A77"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37D03C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C2F3E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Polls &amp; surveys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13E8D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Non-scored question formats for gathering opinion or feedback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D96177"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962703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05976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timers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8EC65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Configurable time limits per question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5B51EC"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4C7C0C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77277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Scoring &amp; points configuration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3229B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Configurable points and scoring rules per question or quiz</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774CBC"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E63D83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E3B957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Public &amp; private quizzes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E2DEA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Quizzes can be restricted to the organization or made available more broadly, per administrator configuration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83E137"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7FB67C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69A82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bank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644CD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Central, reusable question repository organized by subject, tags, and difficulty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E48CD4"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9C0F13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C7F63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Bulk import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3D37B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Bulk import of questions from Excel, CSV, or Word files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8ED652"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0E346E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F2944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templates &amp; reuse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2E9A8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Reusable quiz templates to standardize content across sessions and departments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EB95EC"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A2C38A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236F9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Edit &amp; duplicate quizzes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7D011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Existing quizzes can be edited or duplicated as a starting point for new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9FDE9E"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23B888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853B2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Auto-save during creation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3BFA2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content is saved automatically while an administrator is authoring it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F864B0"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D6346C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F1A60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Draft recovery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7AD4C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In-progress drafts can be recovered rather than lost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418A4B"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BA0589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9FDB2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Versioning of quiz content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A70EE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Changes to quiz content are versioned over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F2B1EB"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bl>
    <w:p w14:paraId="217378FE" w14:textId="77777777" w:rsidR="00202328" w:rsidRDefault="00202328">
      <w:pPr>
        <w:pStyle w:val="Heading2"/>
        <w:rPr>
          <w:rFonts w:ascii="Segoe UI" w:eastAsia="Times New Roman" w:hAnsi="Segoe UI" w:cs="Segoe UI"/>
          <w:lang w:val="en"/>
        </w:rPr>
      </w:pPr>
      <w:bookmarkStart w:id="15" w:name="_Toc235449773"/>
      <w:r>
        <w:rPr>
          <w:rFonts w:ascii="Segoe UI" w:eastAsia="Times New Roman" w:hAnsi="Segoe UI" w:cs="Segoe UI"/>
          <w:lang w:val="en"/>
        </w:rPr>
        <w:t>13.2 Live Hosting &amp; Participation</w:t>
      </w:r>
      <w:bookmarkEnd w:id="15"/>
    </w:p>
    <w:tbl>
      <w:tblPr>
        <w:tblW w:w="5000" w:type="pct"/>
        <w:tblCellMar>
          <w:top w:w="15" w:type="dxa"/>
          <w:left w:w="15" w:type="dxa"/>
          <w:bottom w:w="15" w:type="dxa"/>
          <w:right w:w="15" w:type="dxa"/>
        </w:tblCellMar>
        <w:tblLook w:val="04A0" w:firstRow="1" w:lastRow="0" w:firstColumn="1" w:lastColumn="0" w:noHBand="0" w:noVBand="1"/>
      </w:tblPr>
      <w:tblGrid>
        <w:gridCol w:w="2379"/>
        <w:gridCol w:w="6226"/>
        <w:gridCol w:w="1014"/>
      </w:tblGrid>
      <w:tr w:rsidR="00000000" w14:paraId="6EC13B0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5F55D78"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10FC373"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4C9DA1C"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2956512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01CFF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hosting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92E8C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Host a quiz as a live, timed session for a group of participants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F8014A"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598C4A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74BDE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QR-code joining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A72F1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join a session by scanning a QR code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C6B19D"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AEF22B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BD14B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Direct-link joining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D1308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join via a direct shareable link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3EDE9D"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6F600D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14E0F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Game code / session PIN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06321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join by entering a short session PIN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BBE967"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395D7E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8B0B9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participant joining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47EDB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appear in the host's lobby as they join, in real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77E4EA"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623BA4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87716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answer submission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15A19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answers are submitted and processed in real time via WebSocket connection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E58B73"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CF3604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AF220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leaderboard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B8F1E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live leaderboard updates as answers are scored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2628AE"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B46101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FC2093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E8795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ranking updates live throughout the session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84E4B1"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5EAB3A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E478F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Top-three winners podium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011BB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podium view highlights the top three participants at session close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91AEC6"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DC901A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FBD43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Full participant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08BF5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Complete ranking of all participants, not only the top three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A1F88D"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068010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523C7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Automatic reconnection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E75DC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who lose network connectivity mid-session are automatically reconnected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066BF3"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bl>
    <w:p w14:paraId="20FC226A" w14:textId="77777777" w:rsidR="00202328" w:rsidRDefault="00202328">
      <w:pPr>
        <w:pStyle w:val="Heading2"/>
        <w:rPr>
          <w:rFonts w:ascii="Segoe UI" w:eastAsia="Times New Roman" w:hAnsi="Segoe UI" w:cs="Segoe UI"/>
          <w:lang w:val="en"/>
        </w:rPr>
      </w:pPr>
      <w:bookmarkStart w:id="16" w:name="_Toc235449774"/>
      <w:r>
        <w:rPr>
          <w:rFonts w:ascii="Segoe UI" w:eastAsia="Times New Roman" w:hAnsi="Segoe UI" w:cs="Segoe UI"/>
          <w:lang w:val="en"/>
        </w:rPr>
        <w:t>13.3 Branding &amp; Experience</w:t>
      </w:r>
      <w:bookmarkEnd w:id="16"/>
    </w:p>
    <w:tbl>
      <w:tblPr>
        <w:tblW w:w="5000" w:type="pct"/>
        <w:tblCellMar>
          <w:top w:w="15" w:type="dxa"/>
          <w:left w:w="15" w:type="dxa"/>
          <w:bottom w:w="15" w:type="dxa"/>
          <w:right w:w="15" w:type="dxa"/>
        </w:tblCellMar>
        <w:tblLook w:val="04A0" w:firstRow="1" w:lastRow="0" w:firstColumn="1" w:lastColumn="0" w:noHBand="0" w:noVBand="1"/>
      </w:tblPr>
      <w:tblGrid>
        <w:gridCol w:w="2200"/>
        <w:gridCol w:w="6401"/>
        <w:gridCol w:w="1018"/>
      </w:tblGrid>
      <w:tr w:rsidR="00000000" w14:paraId="76319558"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3C1112E"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0BCCEEE"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65B434D"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4D7FB1C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3B4FE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themes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74F90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Visual themes can be selected or configured per organization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817C05"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BF96EA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D49AC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backgrounds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41A81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background imagery for quizzes and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D978BC"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94BFE3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16086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branding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4C4EA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Per-tenant branding, including logo and color customization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7309CE"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CF4E78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63C69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UI text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C757F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Interface text can be adapted per organization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858967"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1D4F8B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62AE8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Arabic &amp; English interface with full RTL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CD9F4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Complete bilingual interface with full right-to-left layout support for Arabic — positioned as a core enterprise bilingual capability, not an add-on translation layer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64F9EF"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29DF67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55D1A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Additional languages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59D43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for interface languages beyond Arabic and English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2EC08E" w14:textId="77777777" w:rsidR="00202328" w:rsidRDefault="00202328">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31059FEE" w14:textId="77777777" w:rsidR="00202328" w:rsidRDefault="00202328">
      <w:pPr>
        <w:pStyle w:val="Heading2"/>
        <w:rPr>
          <w:rFonts w:ascii="Segoe UI" w:eastAsia="Times New Roman" w:hAnsi="Segoe UI" w:cs="Segoe UI"/>
          <w:lang w:val="en"/>
        </w:rPr>
      </w:pPr>
      <w:bookmarkStart w:id="17" w:name="_Toc235449775"/>
      <w:r>
        <w:rPr>
          <w:rFonts w:ascii="Segoe UI" w:eastAsia="Times New Roman" w:hAnsi="Segoe UI" w:cs="Segoe UI"/>
          <w:lang w:val="en"/>
        </w:rPr>
        <w:t>13.4 Reporting &amp; Analytics</w:t>
      </w:r>
      <w:bookmarkEnd w:id="17"/>
    </w:p>
    <w:tbl>
      <w:tblPr>
        <w:tblW w:w="5000" w:type="pct"/>
        <w:tblCellMar>
          <w:top w:w="15" w:type="dxa"/>
          <w:left w:w="15" w:type="dxa"/>
          <w:bottom w:w="15" w:type="dxa"/>
          <w:right w:w="15" w:type="dxa"/>
        </w:tblCellMar>
        <w:tblLook w:val="04A0" w:firstRow="1" w:lastRow="0" w:firstColumn="1" w:lastColumn="0" w:noHBand="0" w:noVBand="1"/>
      </w:tblPr>
      <w:tblGrid>
        <w:gridCol w:w="2581"/>
        <w:gridCol w:w="5154"/>
        <w:gridCol w:w="1884"/>
      </w:tblGrid>
      <w:tr w:rsidR="00000000" w14:paraId="4BB373E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FD53FCF"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2FDB393"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9DF0445"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177114C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723E8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result summary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D5CA8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Summary results at quiz and session level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C7CF87"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C7E2A8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3712F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DFBDE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Ranked results per participant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8488BA"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505777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333B0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Top performers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6CC3F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Identification of top-performing participants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A72363"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654E2C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C3E1C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Correct/incorrect answer analysis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BA2E5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Breakdown of correct versus incorrect responses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90BAA3"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55B831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8D6EF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difficulty analysis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E614A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Analysis of question-level difficulty based on response patterns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B3233B"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795C7F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C128C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Participant completion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472EB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Visibility into who completed a session and who did not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D71D8F"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8C4A3F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24765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Department-level reporting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DBCE6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rolled up by department or organizational unit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8927B1"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BD47AA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D22B1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Historical reports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CC09B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Access to results and reports from past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9C9A34"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8CD1EF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71661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Session comparison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66D7B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Comparison of results across multiple sessions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6DC938"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9D9B9D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2AD23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 to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CF369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PDF format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6DF196"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CE31CA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BB6FB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 to Excel &amp; 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B93D3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Excel and CSV formats, with Arabic and English report headers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6EEF67"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081236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CE410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Management dashboard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A0882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Consolidated dashboard view for management-level oversight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93E9E7"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379B6E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38E4A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insights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A82B7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narrative insights over historical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983D6F" w14:textId="77777777" w:rsidR="00202328" w:rsidRDefault="00202328">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bl>
    <w:p w14:paraId="6F6B4F47" w14:textId="77777777" w:rsidR="00202328" w:rsidRDefault="00202328">
      <w:pPr>
        <w:pStyle w:val="Heading2"/>
        <w:rPr>
          <w:rFonts w:ascii="Segoe UI" w:eastAsia="Times New Roman" w:hAnsi="Segoe UI" w:cs="Segoe UI"/>
          <w:lang w:val="en"/>
        </w:rPr>
      </w:pPr>
      <w:bookmarkStart w:id="18" w:name="_Toc235449776"/>
      <w:r>
        <w:rPr>
          <w:rFonts w:ascii="Segoe UI" w:eastAsia="Times New Roman" w:hAnsi="Segoe UI" w:cs="Segoe UI"/>
          <w:lang w:val="en"/>
        </w:rPr>
        <w:t>13.5 Administration &amp; Governance</w:t>
      </w:r>
      <w:bookmarkEnd w:id="18"/>
    </w:p>
    <w:tbl>
      <w:tblPr>
        <w:tblW w:w="5000" w:type="pct"/>
        <w:tblCellMar>
          <w:top w:w="15" w:type="dxa"/>
          <w:left w:w="15" w:type="dxa"/>
          <w:bottom w:w="15" w:type="dxa"/>
          <w:right w:w="15" w:type="dxa"/>
        </w:tblCellMar>
        <w:tblLook w:val="04A0" w:firstRow="1" w:lastRow="0" w:firstColumn="1" w:lastColumn="0" w:noHBand="0" w:noVBand="1"/>
      </w:tblPr>
      <w:tblGrid>
        <w:gridCol w:w="2929"/>
        <w:gridCol w:w="5672"/>
        <w:gridCol w:w="1018"/>
      </w:tblGrid>
      <w:tr w:rsidR="00000000" w14:paraId="3A099080"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2CD44F1"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7DA85A1"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5452E2F"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086AFD7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F946A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Administrative dashboard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1871C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Central dashboard for platform and content administration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D285FC"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FB3DBB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89E3A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user accounts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EEF3A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accounts scoped to the organization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05344A"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F100FF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FFE2D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AE9F0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Access and permissions governed by role-based access control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17EDF2"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9C4E04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405EC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Multiple departments/organizations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80C40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Multi-tenant support for multiple departments or organizations on one platform, each with isolated data</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EDCC56"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ED1CAC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DCBFE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Multiple administrators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BA34D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for more than one administrator per organization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8AF47B"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995526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5CAC9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Audit logs of administrative actions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56D85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Administrative actions are recorded in an audit log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B666DF"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80D9C9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8707A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User activity/login visibility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3D10B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Visibility into user activity and login events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B648A3"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34CD59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3DEF3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session history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0E725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Historical record of quiz sessions run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451BEB"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4D59E6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AA1BA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Soft-delete with archive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F3B8C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Deleted content is archived rather than permanently removed, supporting recovery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054FDD"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7CFF61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2A124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Notification options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0C379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Configurable notifications for administrators and/or participants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BD50C2" w14:textId="77777777" w:rsidR="00202328" w:rsidRDefault="00202328">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1020EBD6" w14:textId="77777777" w:rsidR="00202328" w:rsidRDefault="00202328">
      <w:pPr>
        <w:pStyle w:val="Heading2"/>
        <w:rPr>
          <w:rFonts w:ascii="Segoe UI" w:eastAsia="Times New Roman" w:hAnsi="Segoe UI" w:cs="Segoe UI"/>
          <w:lang w:val="en"/>
        </w:rPr>
      </w:pPr>
      <w:bookmarkStart w:id="19" w:name="_Toc235449777"/>
      <w:r>
        <w:rPr>
          <w:rFonts w:ascii="Segoe UI" w:eastAsia="Times New Roman" w:hAnsi="Segoe UI" w:cs="Segoe UI"/>
          <w:lang w:val="en"/>
        </w:rPr>
        <w:t>13.6 AI Capabilities</w:t>
      </w:r>
      <w:bookmarkEnd w:id="19"/>
    </w:p>
    <w:tbl>
      <w:tblPr>
        <w:tblW w:w="5000" w:type="pct"/>
        <w:tblCellMar>
          <w:top w:w="15" w:type="dxa"/>
          <w:left w:w="15" w:type="dxa"/>
          <w:bottom w:w="15" w:type="dxa"/>
          <w:right w:w="15" w:type="dxa"/>
        </w:tblCellMar>
        <w:tblLook w:val="04A0" w:firstRow="1" w:lastRow="0" w:firstColumn="1" w:lastColumn="0" w:noHBand="0" w:noVBand="1"/>
      </w:tblPr>
      <w:tblGrid>
        <w:gridCol w:w="1649"/>
        <w:gridCol w:w="6929"/>
        <w:gridCol w:w="1041"/>
      </w:tblGrid>
      <w:tr w:rsidR="00000000" w14:paraId="2D1A56C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A04208C"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B61705A"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4201034"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397454C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7F2F5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content generation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47CE6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Generate quizzes from a topic, an uploaded PDF or Word document, a URL, or pasted text, with administrator review before use. The full classification of current, optional, and future AI capabilities is set out in Section 14 (AI Capabilities)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C74A2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See Section 14</w:t>
            </w:r>
          </w:p>
        </w:tc>
      </w:tr>
    </w:tbl>
    <w:p w14:paraId="3EE4CF8D" w14:textId="77777777" w:rsidR="00202328" w:rsidRDefault="00202328">
      <w:pPr>
        <w:pStyle w:val="Heading1"/>
        <w:rPr>
          <w:rFonts w:ascii="Segoe UI" w:eastAsia="Times New Roman" w:hAnsi="Segoe UI" w:cs="Segoe UI"/>
          <w:lang w:val="en"/>
        </w:rPr>
      </w:pPr>
      <w:bookmarkStart w:id="20" w:name="_Toc235449778"/>
      <w:r>
        <w:rPr>
          <w:rFonts w:ascii="Segoe UI" w:eastAsia="Times New Roman" w:hAnsi="Segoe UI" w:cs="Segoe UI"/>
          <w:lang w:val="en"/>
        </w:rPr>
        <w:t>14. AI Capabilities</w:t>
      </w:r>
      <w:bookmarkEnd w:id="20"/>
    </w:p>
    <w:p w14:paraId="6AFB20B9"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includes AI-assisted content generation as a core, already-implemented capability, alongside a further set of AI features that are available as optional, separately scoped additions, and a set of AI-driven reporting capabilities that sit on our future roadmap. This section sets out the distinction clearly,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see exactly what is included today, what can be added, and what is planned for the future.</w:t>
      </w:r>
    </w:p>
    <w:p w14:paraId="3F234481" w14:textId="77777777" w:rsidR="00202328" w:rsidRDefault="00202328">
      <w:pPr>
        <w:pStyle w:val="Heading2"/>
        <w:rPr>
          <w:rFonts w:ascii="Segoe UI" w:eastAsia="Times New Roman" w:hAnsi="Segoe UI" w:cs="Segoe UI"/>
          <w:lang w:val="en"/>
        </w:rPr>
      </w:pPr>
      <w:bookmarkStart w:id="21" w:name="_Toc235449779"/>
      <w:r>
        <w:rPr>
          <w:rFonts w:ascii="Segoe UI" w:eastAsia="Times New Roman" w:hAnsi="Segoe UI" w:cs="Segoe UI"/>
          <w:lang w:val="en"/>
        </w:rPr>
        <w:t>14.1 Current Capabilities (Included)</w:t>
      </w:r>
      <w:bookmarkEnd w:id="21"/>
    </w:p>
    <w:tbl>
      <w:tblPr>
        <w:tblW w:w="5000" w:type="pct"/>
        <w:tblCellMar>
          <w:top w:w="15" w:type="dxa"/>
          <w:left w:w="15" w:type="dxa"/>
          <w:bottom w:w="15" w:type="dxa"/>
          <w:right w:w="15" w:type="dxa"/>
        </w:tblCellMar>
        <w:tblLook w:val="04A0" w:firstRow="1" w:lastRow="0" w:firstColumn="1" w:lastColumn="0" w:noHBand="0" w:noVBand="1"/>
      </w:tblPr>
      <w:tblGrid>
        <w:gridCol w:w="2526"/>
        <w:gridCol w:w="6079"/>
        <w:gridCol w:w="1014"/>
      </w:tblGrid>
      <w:tr w:rsidR="00000000" w14:paraId="657ED478"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707E6E6"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531DDD3"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5179A15"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35F925D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A9EC5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a topic or title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DBA86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complete quiz, including questions and answer choices, is generated from a short topic or title prompt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D8747A"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4E67D2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2E7C4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an uploaded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63A13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directly from the content of an uploaded PDF document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2B9B02"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9DC995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5B604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an uploaded document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89AFA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directly from the content of an uploaded Word document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2573E9"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14275F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F3ADC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Quiz generation from a URL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5F230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from the content of a supplied URL or webpage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CECAAE"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DCD004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B3546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pasted text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BAA41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directly from text pasted into the platform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356768"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6D1D84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91B68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AI-assigned difficulty levels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14658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Generated questions are automatically assigned a suggested difficulty level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88026E"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D30481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62FCF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answer explanations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8FE3D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Generated questions include a suggested explanation for the correct answer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2504A7"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BBDF3B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49A65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review before use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80371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All AI-generated content is presented to an administrator for review and editing before it is used in a live session or published to a question bank</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CE707A"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bl>
    <w:p w14:paraId="113C06B5" w14:textId="77777777" w:rsidR="00202328" w:rsidRDefault="00202328">
      <w:pPr>
        <w:pStyle w:val="Heading2"/>
        <w:rPr>
          <w:rFonts w:ascii="Segoe UI" w:eastAsia="Times New Roman" w:hAnsi="Segoe UI" w:cs="Segoe UI"/>
          <w:lang w:val="en"/>
        </w:rPr>
      </w:pPr>
      <w:bookmarkStart w:id="22" w:name="_Toc235449780"/>
      <w:r>
        <w:rPr>
          <w:rFonts w:ascii="Segoe UI" w:eastAsia="Times New Roman" w:hAnsi="Segoe UI" w:cs="Segoe UI"/>
          <w:lang w:val="en"/>
        </w:rPr>
        <w:t>14.2 Optional Capabilities (Scoped per Engagement)</w:t>
      </w:r>
      <w:bookmarkEnd w:id="22"/>
    </w:p>
    <w:p w14:paraId="46DA02F4"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The following AI capabilities are not part of the current platform but can be added as a separately scoped engagement.</w:t>
      </w:r>
    </w:p>
    <w:tbl>
      <w:tblPr>
        <w:tblW w:w="5000" w:type="pct"/>
        <w:tblCellMar>
          <w:top w:w="15" w:type="dxa"/>
          <w:left w:w="15" w:type="dxa"/>
          <w:bottom w:w="15" w:type="dxa"/>
          <w:right w:w="15" w:type="dxa"/>
        </w:tblCellMar>
        <w:tblLook w:val="04A0" w:firstRow="1" w:lastRow="0" w:firstColumn="1" w:lastColumn="0" w:noHBand="0" w:noVBand="1"/>
      </w:tblPr>
      <w:tblGrid>
        <w:gridCol w:w="2665"/>
        <w:gridCol w:w="5936"/>
        <w:gridCol w:w="1018"/>
      </w:tblGrid>
      <w:tr w:rsidR="00000000" w14:paraId="1421665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4B02322"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44096AE"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CE18E6B"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310AF7F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606F7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question suggestions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A15A8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AI-suggested questions offered while an administrator authors a quiz manually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1C057A" w14:textId="77777777" w:rsidR="00202328" w:rsidRDefault="00202328">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0BF029C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D7354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answer suggestions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24361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AI-suggested answer choices for a manually authored question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3B1062" w14:textId="77777777" w:rsidR="00202328" w:rsidRDefault="00202328">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4B3B477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7FE7F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question rewriting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F3382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rewriting of existing question text for clarity or tone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BD1E2C" w14:textId="77777777" w:rsidR="00202328" w:rsidRDefault="00202328">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3891DFE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30F79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difficulty re-adjustment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96E76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review and re-adjustment of difficulty levels across an existing question bank</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37E67B" w14:textId="77777777" w:rsidR="00202328" w:rsidRDefault="00202328">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5CFD854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46F42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quiz backgrounds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129E6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background imagery for quizzes and sessions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544591" w14:textId="77777777" w:rsidR="00202328" w:rsidRDefault="00202328">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4956CAF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EF823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themes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64188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visual themes for the platform interface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0DDFFD" w14:textId="77777777" w:rsidR="00202328" w:rsidRDefault="00202328">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1552EE1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B47E2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result summaries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59838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narrative summary of a single session's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16A8B5" w14:textId="77777777" w:rsidR="00202328" w:rsidRDefault="00202328">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29859784" w14:textId="77777777" w:rsidR="00202328" w:rsidRDefault="00202328">
      <w:pPr>
        <w:pStyle w:val="Heading2"/>
        <w:rPr>
          <w:rFonts w:ascii="Segoe UI" w:eastAsia="Times New Roman" w:hAnsi="Segoe UI" w:cs="Segoe UI"/>
          <w:lang w:val="en"/>
        </w:rPr>
      </w:pPr>
      <w:bookmarkStart w:id="23" w:name="_Toc235449781"/>
      <w:r>
        <w:rPr>
          <w:rFonts w:ascii="Segoe UI" w:eastAsia="Times New Roman" w:hAnsi="Segoe UI" w:cs="Segoe UI"/>
          <w:lang w:val="en"/>
        </w:rPr>
        <w:lastRenderedPageBreak/>
        <w:t>14.3 Future Roadmap</w:t>
      </w:r>
      <w:bookmarkEnd w:id="23"/>
    </w:p>
    <w:tbl>
      <w:tblPr>
        <w:tblW w:w="5000" w:type="pct"/>
        <w:tblCellMar>
          <w:top w:w="15" w:type="dxa"/>
          <w:left w:w="15" w:type="dxa"/>
          <w:bottom w:w="15" w:type="dxa"/>
          <w:right w:w="15" w:type="dxa"/>
        </w:tblCellMar>
        <w:tblLook w:val="04A0" w:firstRow="1" w:lastRow="0" w:firstColumn="1" w:lastColumn="0" w:noHBand="0" w:noVBand="1"/>
      </w:tblPr>
      <w:tblGrid>
        <w:gridCol w:w="2842"/>
        <w:gridCol w:w="4920"/>
        <w:gridCol w:w="1857"/>
      </w:tblGrid>
      <w:tr w:rsidR="00000000" w14:paraId="35D41B0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51279A6"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0D18EDA"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26207DA"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177D50B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1E881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insights over historical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57569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narrative insights and trend analysis across historical session data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A2755C" w14:textId="77777777" w:rsidR="00202328" w:rsidRDefault="00202328">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r w:rsidR="00000000" w14:paraId="7388C04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8D835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management reports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F3C5A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summary reports intended for management-level review</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F21126" w14:textId="77777777" w:rsidR="00202328" w:rsidRDefault="00202328">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bl>
    <w:p w14:paraId="6045966C" w14:textId="77777777" w:rsidR="00202328" w:rsidRDefault="00202328">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AI features are delivered using a commercial large-language-model API; usage allowances, and any associated API costs, are defined in the applicable commercial model (see Section 33). Cloud-based AI generation requires internet connectivity. A private, on-premises AI deployment is a future roadmap option that would depend on separate, dedicated infrastructure and is not part of the current platform. As with any AI-generated content,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should review AI-generated quizzes, questions, and summaries before they are used in a live or published context.</w:t>
      </w:r>
    </w:p>
    <w:p w14:paraId="68A88845" w14:textId="77777777" w:rsidR="00202328" w:rsidRDefault="00202328">
      <w:pPr>
        <w:pStyle w:val="Heading1"/>
        <w:rPr>
          <w:rFonts w:ascii="Segoe UI" w:eastAsia="Times New Roman" w:hAnsi="Segoe UI" w:cs="Segoe UI"/>
          <w:lang w:val="en"/>
        </w:rPr>
      </w:pPr>
      <w:bookmarkStart w:id="24" w:name="_Toc235449782"/>
      <w:r>
        <w:rPr>
          <w:rFonts w:ascii="Segoe UI" w:eastAsia="Times New Roman" w:hAnsi="Segoe UI" w:cs="Segoe UI"/>
          <w:lang w:val="en"/>
        </w:rPr>
        <w:t>15. User Roles</w:t>
      </w:r>
      <w:bookmarkEnd w:id="24"/>
    </w:p>
    <w:p w14:paraId="2480B382"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The platform's role-based access model is designed to reflect how a large organization actually assigns administrative and operational responsibility, rather than offering a single flat administrator account.</w:t>
      </w:r>
    </w:p>
    <w:tbl>
      <w:tblPr>
        <w:tblW w:w="5000" w:type="pct"/>
        <w:tblCellMar>
          <w:top w:w="15" w:type="dxa"/>
          <w:left w:w="15" w:type="dxa"/>
          <w:bottom w:w="15" w:type="dxa"/>
          <w:right w:w="15" w:type="dxa"/>
        </w:tblCellMar>
        <w:tblLook w:val="04A0" w:firstRow="1" w:lastRow="0" w:firstColumn="1" w:lastColumn="0" w:noHBand="0" w:noVBand="1"/>
      </w:tblPr>
      <w:tblGrid>
        <w:gridCol w:w="2735"/>
        <w:gridCol w:w="6884"/>
      </w:tblGrid>
      <w:tr w:rsidR="00000000" w14:paraId="7E30B01C"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873400A"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Role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86CBA36"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Purpose</w:t>
            </w:r>
          </w:p>
        </w:tc>
      </w:tr>
      <w:tr w:rsidR="00000000" w14:paraId="2536377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E1242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Super Administrator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358B8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Full platform administration across all organizations and departments</w:t>
            </w:r>
          </w:p>
        </w:tc>
      </w:tr>
      <w:tr w:rsidR="00000000" w14:paraId="4C7E650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FBD63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Administrator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56802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Manages a single organization, including its users, branding, and content</w:t>
            </w:r>
          </w:p>
        </w:tc>
      </w:tr>
      <w:tr w:rsidR="00000000" w14:paraId="320E04C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F5AA5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Department Administrator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93757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Manages a department's content and users within an organization</w:t>
            </w:r>
          </w:p>
        </w:tc>
      </w:tr>
      <w:tr w:rsidR="00000000" w14:paraId="6A8B26C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D97EF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Creator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E8803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Authors quizzes and question banks</w:t>
            </w:r>
          </w:p>
        </w:tc>
      </w:tr>
      <w:tr w:rsidR="00000000" w14:paraId="02C480B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5A881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249DB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Runs training-oriented sessions</w:t>
            </w:r>
          </w:p>
        </w:tc>
      </w:tr>
      <w:tr w:rsidR="00000000" w14:paraId="3598E9A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8B3F5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Host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09589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Runs live sessions</w:t>
            </w:r>
          </w:p>
        </w:tc>
      </w:tr>
      <w:tr w:rsidR="00000000" w14:paraId="51DA0B1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499AF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Viewer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CADF0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Views results</w:t>
            </w:r>
          </w:p>
        </w:tc>
      </w:tr>
      <w:tr w:rsidR="00000000" w14:paraId="3018D0E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E785F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0BE33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Joins and answers in a live session — no account required</w:t>
            </w:r>
          </w:p>
        </w:tc>
      </w:tr>
      <w:tr w:rsidR="00000000" w14:paraId="623E688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132DE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Auditor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D48D5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Read-only access to audit and activity logs</w:t>
            </w:r>
          </w:p>
        </w:tc>
      </w:tr>
      <w:tr w:rsidR="00000000" w14:paraId="6ADBA2F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3D699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Read-Only User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08E8E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Read-only access to dashboards and reports</w:t>
            </w:r>
          </w:p>
        </w:tc>
      </w:tr>
    </w:tbl>
    <w:p w14:paraId="070878D0" w14:textId="77777777" w:rsidR="00202328" w:rsidRDefault="00202328">
      <w:pPr>
        <w:pStyle w:val="muted"/>
        <w:spacing w:before="120" w:beforeAutospacing="0" w:after="120" w:afterAutospacing="0"/>
        <w:rPr>
          <w:rFonts w:ascii="Segoe UI" w:hAnsi="Segoe UI" w:cs="Segoe UI"/>
          <w:lang w:val="en"/>
        </w:rPr>
      </w:pPr>
      <w:r>
        <w:rPr>
          <w:rFonts w:ascii="Segoe UI" w:hAnsi="Segoe UI" w:cs="Segoe UI"/>
          <w:lang w:val="en"/>
        </w:rPr>
        <w:t xml:space="preserve">The final role model applied for </w:t>
      </w:r>
      <w:r>
        <w:rPr>
          <w:rStyle w:val="Strong"/>
          <w:rFonts w:ascii="Segoe UI" w:hAnsi="Segoe UI" w:cs="Segoe UI"/>
          <w:lang w:val="en"/>
        </w:rPr>
        <w:t>[Client Name]</w:t>
      </w:r>
      <w:r>
        <w:rPr>
          <w:rFonts w:ascii="Segoe UI" w:hAnsi="Segoe UI" w:cs="Segoe UI"/>
          <w:lang w:val="en"/>
        </w:rPr>
        <w:t xml:space="preserve"> is configured during discovery, and can be mapped to the client's own directory groups where a single sign-on integration is included in scope (see Section 23).</w:t>
      </w:r>
    </w:p>
    <w:p w14:paraId="6B0F8054" w14:textId="77777777" w:rsidR="00202328" w:rsidRDefault="00202328">
      <w:pPr>
        <w:pStyle w:val="Heading1"/>
        <w:rPr>
          <w:rFonts w:ascii="Segoe UI" w:eastAsia="Times New Roman" w:hAnsi="Segoe UI" w:cs="Segoe UI"/>
          <w:lang w:val="en"/>
        </w:rPr>
      </w:pPr>
      <w:bookmarkStart w:id="25" w:name="_Toc235449783"/>
      <w:r>
        <w:rPr>
          <w:rFonts w:ascii="Segoe UI" w:eastAsia="Times New Roman" w:hAnsi="Segoe UI" w:cs="Segoe UI"/>
          <w:lang w:val="en"/>
        </w:rPr>
        <w:t>16. Reporting and Analytics</w:t>
      </w:r>
      <w:bookmarkEnd w:id="25"/>
    </w:p>
    <w:p w14:paraId="4CBAFC45"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The platform's reporting and analytics capabilities give administrators and management visibility into participation, performance, and engagement, both at the level of a single session and across the organization's session history over time.</w:t>
      </w:r>
    </w:p>
    <w:tbl>
      <w:tblPr>
        <w:tblW w:w="5000" w:type="pct"/>
        <w:tblCellMar>
          <w:top w:w="15" w:type="dxa"/>
          <w:left w:w="15" w:type="dxa"/>
          <w:bottom w:w="15" w:type="dxa"/>
          <w:right w:w="15" w:type="dxa"/>
        </w:tblCellMar>
        <w:tblLook w:val="04A0" w:firstRow="1" w:lastRow="0" w:firstColumn="1" w:lastColumn="0" w:noHBand="0" w:noVBand="1"/>
      </w:tblPr>
      <w:tblGrid>
        <w:gridCol w:w="2783"/>
        <w:gridCol w:w="4856"/>
        <w:gridCol w:w="1980"/>
      </w:tblGrid>
      <w:tr w:rsidR="00000000" w14:paraId="61058A1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C6CB051"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0B4F7AE"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98EA966"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36DDC96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8E8A1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result summary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554F8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Summary results at quiz and session level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D7E0F4"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FF532D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85642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608BF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Ranked results per participant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E6E53E"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F73958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AB7E1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Top performers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108C4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Identification of top-performing participants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E320F1"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8671B1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3BCC3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Correct/incorrect answer analysis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16E72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Breakdown of correct versus incorrect responses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AD7B7C"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A2AE95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8803E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difficulty analysis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0B4D2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Analysis of question-level difficulty based on response patterns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9B9187"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A3841D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47A8C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completion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225D7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Visibility into who completed a session and who did not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6783CE"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A4052B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41A97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Department-level reporting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0E4EE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rolled up by department or organizational unit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F6FC78"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0529EF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B34A5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Historical reports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37ED7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Access to results and reports from past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9D7307"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C34C2D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AA731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Session comparison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0E9DD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Comparison of results across multiple sessions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C90796"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7D5261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2459B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 to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91957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PDF format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20226B"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0DA07D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22CAD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Export to Excel &amp; 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CCAAC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Excel and CSV formats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C0FDEC"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E0E6BF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6BE3C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Management dashboard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0D276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Consolidated dashboard view for management-level oversight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AC538F"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B100F9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4FD1F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insights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36F3A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narrative insights over historical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2D4DD7" w14:textId="77777777" w:rsidR="00202328" w:rsidRDefault="00202328">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bl>
    <w:p w14:paraId="6232EF91"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All PDF, Excel, and CSV exports are compliance-ready: report headers are rendered in both Arabic and English, so that reports generated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be shared and archived internally without additional reformatting, regardless of which language the reviewing team works in.</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2E80033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1D741A" w14:textId="77777777" w:rsidR="00202328" w:rsidRDefault="00202328">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THREE</w:t>
            </w:r>
          </w:p>
          <w:p w14:paraId="1FFBEEE7" w14:textId="77777777" w:rsidR="00202328" w:rsidRDefault="00202328">
            <w:pPr>
              <w:pStyle w:val="NormalWeb"/>
              <w:rPr>
                <w:rFonts w:ascii="Segoe UI" w:hAnsi="Segoe UI" w:cs="Segoe UI"/>
                <w:b/>
                <w:bCs/>
                <w:color w:val="FFFFFF"/>
                <w:sz w:val="44"/>
                <w:szCs w:val="44"/>
              </w:rPr>
            </w:pPr>
            <w:r>
              <w:rPr>
                <w:rFonts w:ascii="Segoe UI" w:hAnsi="Segoe UI" w:cs="Segoe UI"/>
                <w:b/>
                <w:bCs/>
                <w:color w:val="FFFFFF"/>
                <w:sz w:val="44"/>
                <w:szCs w:val="44"/>
              </w:rPr>
              <w:t>Technical Architecture</w:t>
            </w:r>
          </w:p>
          <w:p w14:paraId="1F08C526" w14:textId="77777777" w:rsidR="00202328" w:rsidRDefault="00202328">
            <w:pPr>
              <w:pStyle w:val="NormalWeb"/>
              <w:rPr>
                <w:rFonts w:ascii="Segoe UI" w:hAnsi="Segoe UI" w:cs="Segoe UI"/>
                <w:color w:val="1F2933"/>
              </w:rPr>
            </w:pPr>
            <w:r>
              <w:rPr>
                <w:rFonts w:ascii="Segoe UI" w:hAnsi="Segoe UI" w:cs="Segoe UI"/>
                <w:color w:val="1F2933"/>
              </w:rPr>
              <w:t>How the platform is built, deployed, and secured</w:t>
            </w:r>
          </w:p>
        </w:tc>
      </w:tr>
    </w:tbl>
    <w:p w14:paraId="00094375" w14:textId="77777777" w:rsidR="00202328" w:rsidRDefault="00202328">
      <w:pPr>
        <w:pStyle w:val="Heading1"/>
        <w:pageBreakBefore/>
        <w:rPr>
          <w:rFonts w:ascii="Segoe UI" w:eastAsia="Times New Roman" w:hAnsi="Segoe UI" w:cs="Segoe UI"/>
          <w:lang w:val="en"/>
        </w:rPr>
      </w:pPr>
      <w:bookmarkStart w:id="26" w:name="_Toc235449784"/>
      <w:r>
        <w:rPr>
          <w:rFonts w:ascii="Segoe UI" w:eastAsia="Times New Roman" w:hAnsi="Segoe UI" w:cs="Segoe UI"/>
          <w:lang w:val="en"/>
        </w:rPr>
        <w:lastRenderedPageBreak/>
        <w:t>17. Technical Architecture</w:t>
      </w:r>
      <w:bookmarkEnd w:id="26"/>
    </w:p>
    <w:p w14:paraId="7E6DA27C"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built on a modern, well-established web application stack, selected for reliability, security, and the ability to run in cloud, on-premises, or hybrid environments without architectural rework.</w:t>
      </w:r>
    </w:p>
    <w:p w14:paraId="4EFF7E16" w14:textId="77777777" w:rsidR="00202328" w:rsidRDefault="00202328">
      <w:pPr>
        <w:pStyle w:val="Heading2"/>
        <w:rPr>
          <w:rFonts w:ascii="Segoe UI" w:eastAsia="Times New Roman" w:hAnsi="Segoe UI" w:cs="Segoe UI"/>
          <w:lang w:val="en"/>
        </w:rPr>
      </w:pPr>
      <w:bookmarkStart w:id="27" w:name="_Toc235449785"/>
      <w:r>
        <w:rPr>
          <w:rFonts w:ascii="Segoe UI" w:eastAsia="Times New Roman" w:hAnsi="Segoe UI" w:cs="Segoe UI"/>
          <w:lang w:val="en"/>
        </w:rPr>
        <w:t>17.1 Technology Stack</w:t>
      </w:r>
      <w:bookmarkEnd w:id="27"/>
    </w:p>
    <w:tbl>
      <w:tblPr>
        <w:tblW w:w="5000" w:type="pct"/>
        <w:tblCellMar>
          <w:top w:w="15" w:type="dxa"/>
          <w:left w:w="15" w:type="dxa"/>
          <w:bottom w:w="15" w:type="dxa"/>
          <w:right w:w="15" w:type="dxa"/>
        </w:tblCellMar>
        <w:tblLook w:val="04A0" w:firstRow="1" w:lastRow="0" w:firstColumn="1" w:lastColumn="0" w:noHBand="0" w:noVBand="1"/>
      </w:tblPr>
      <w:tblGrid>
        <w:gridCol w:w="1483"/>
        <w:gridCol w:w="2206"/>
        <w:gridCol w:w="5930"/>
      </w:tblGrid>
      <w:tr w:rsidR="00000000" w14:paraId="6894CA30"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A94F007"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Layer</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EC914CE"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Technology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33021FE"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Notes</w:t>
            </w:r>
          </w:p>
        </w:tc>
      </w:tr>
      <w:tr w:rsidR="00000000" w14:paraId="54EDE86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1D872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Frontend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D5D8D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React (single-page application)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ECF13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Also deployable with Next.js where required by the client's environment</w:t>
            </w:r>
          </w:p>
        </w:tc>
      </w:tr>
      <w:tr w:rsidR="00000000" w14:paraId="1095871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F8833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Backend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CEB4B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Node.js with Express.js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F895B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Exposes a REST API consumed by the frontend</w:t>
            </w:r>
          </w:p>
        </w:tc>
      </w:tr>
      <w:tr w:rsidR="00000000" w14:paraId="158E06F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6D75B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Authentication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49FC4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Token/session-based authentication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60AB0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JWT or an equivalent secure token-based system</w:t>
            </w:r>
          </w:p>
        </w:tc>
      </w:tr>
      <w:tr w:rsidR="00000000" w14:paraId="75E2CC7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ADAF9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Database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34D08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PostgreSQL (recommended)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307AC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Enterprise database with row-level, per-organization data isolation; MongoDB may be considered depending on the final architecture agreed with </w:t>
            </w:r>
            <w:r>
              <w:rPr>
                <w:rStyle w:val="Strong"/>
                <w:rFonts w:ascii="Segoe UI" w:eastAsia="Times New Roman" w:hAnsi="Segoe UI" w:cs="Segoe UI"/>
                <w:color w:val="1F2933"/>
                <w:sz w:val="19"/>
                <w:szCs w:val="19"/>
              </w:rPr>
              <w:t>[Client Name]</w:t>
            </w:r>
          </w:p>
        </w:tc>
      </w:tr>
      <w:tr w:rsidR="00000000" w14:paraId="4C08AD3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CA65C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layer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AF091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WebSockets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FB842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Used for participant joining, live answers, and leaderboard updates; timing and scoring are server-authoritative</w:t>
            </w:r>
          </w:p>
        </w:tc>
      </w:tr>
      <w:tr w:rsidR="00000000" w14:paraId="796BDC9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EB19C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Hosting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4824E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 on-premises, or hybrid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BCB4A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See Section 19 for the full comparison of deployment options</w:t>
            </w:r>
          </w:p>
        </w:tc>
      </w:tr>
    </w:tbl>
    <w:p w14:paraId="39FB3A5E" w14:textId="77777777" w:rsidR="00202328" w:rsidRDefault="00202328">
      <w:pPr>
        <w:pStyle w:val="Heading2"/>
        <w:rPr>
          <w:rFonts w:ascii="Segoe UI" w:eastAsia="Times New Roman" w:hAnsi="Segoe UI" w:cs="Segoe UI"/>
          <w:lang w:val="en"/>
        </w:rPr>
      </w:pPr>
      <w:bookmarkStart w:id="28" w:name="_Toc235449786"/>
      <w:r>
        <w:rPr>
          <w:rFonts w:ascii="Segoe UI" w:eastAsia="Times New Roman" w:hAnsi="Segoe UI" w:cs="Segoe UI"/>
          <w:lang w:val="en"/>
        </w:rPr>
        <w:t>17.2 Architecture Diagram</w:t>
      </w:r>
      <w:bookmarkEnd w:id="28"/>
    </w:p>
    <w:p w14:paraId="75FAFEFD"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The diagram below shows the platform's core request and real-time data flow, followed by the three supported deployment variants.</w:t>
      </w:r>
    </w:p>
    <w:tbl>
      <w:tblPr>
        <w:tblW w:w="5000" w:type="pct"/>
        <w:tblCellMar>
          <w:top w:w="15" w:type="dxa"/>
          <w:left w:w="15" w:type="dxa"/>
          <w:bottom w:w="15" w:type="dxa"/>
          <w:right w:w="15" w:type="dxa"/>
        </w:tblCellMar>
        <w:tblLook w:val="04A0" w:firstRow="1" w:lastRow="0" w:firstColumn="1" w:lastColumn="0" w:noHBand="0" w:noVBand="1"/>
      </w:tblPr>
      <w:tblGrid>
        <w:gridCol w:w="2020"/>
        <w:gridCol w:w="577"/>
        <w:gridCol w:w="1635"/>
        <w:gridCol w:w="577"/>
        <w:gridCol w:w="2309"/>
        <w:gridCol w:w="481"/>
        <w:gridCol w:w="2020"/>
      </w:tblGrid>
      <w:tr w:rsidR="00000000" w14:paraId="7370C3AB" w14:textId="77777777">
        <w:tc>
          <w:tcPr>
            <w:tcW w:w="105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39151DC1" w14:textId="77777777" w:rsidR="00202328" w:rsidRDefault="00202328">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Browser</w:t>
            </w:r>
            <w:r>
              <w:rPr>
                <w:rFonts w:ascii="Segoe UI" w:eastAsia="Times New Roman" w:hAnsi="Segoe UI" w:cs="Segoe UI"/>
                <w:color w:val="1F2933"/>
                <w:sz w:val="19"/>
                <w:szCs w:val="19"/>
              </w:rPr>
              <w:br/>
              <w:t>(Host &amp; Participants)</w:t>
            </w:r>
          </w:p>
        </w:tc>
        <w:tc>
          <w:tcPr>
            <w:tcW w:w="300" w:type="pct"/>
            <w:tcBorders>
              <w:top w:val="nil"/>
              <w:left w:val="nil"/>
              <w:bottom w:val="nil"/>
              <w:right w:val="nil"/>
            </w:tcBorders>
            <w:tcMar>
              <w:top w:w="100" w:type="dxa"/>
              <w:left w:w="120" w:type="dxa"/>
              <w:bottom w:w="100" w:type="dxa"/>
              <w:right w:w="120" w:type="dxa"/>
            </w:tcMar>
            <w:hideMark/>
          </w:tcPr>
          <w:p w14:paraId="7A235A0A" w14:textId="77777777" w:rsidR="00202328" w:rsidRDefault="00202328">
            <w:pPr>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85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3942252C" w14:textId="77777777" w:rsidR="00202328" w:rsidRDefault="00202328">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HTTPS / WSS</w:t>
            </w:r>
          </w:p>
        </w:tc>
        <w:tc>
          <w:tcPr>
            <w:tcW w:w="300" w:type="pct"/>
            <w:tcBorders>
              <w:top w:val="nil"/>
              <w:left w:val="nil"/>
              <w:bottom w:val="nil"/>
              <w:right w:val="nil"/>
            </w:tcBorders>
            <w:tcMar>
              <w:top w:w="100" w:type="dxa"/>
              <w:left w:w="120" w:type="dxa"/>
              <w:bottom w:w="100" w:type="dxa"/>
              <w:right w:w="120" w:type="dxa"/>
            </w:tcMar>
            <w:hideMark/>
          </w:tcPr>
          <w:p w14:paraId="3998E66C" w14:textId="77777777" w:rsidR="00202328" w:rsidRDefault="00202328">
            <w:pPr>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2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39CC841E" w14:textId="77777777" w:rsidR="00202328" w:rsidRDefault="00202328">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Express.js API</w:t>
            </w:r>
            <w:r>
              <w:rPr>
                <w:rFonts w:ascii="Segoe UI" w:eastAsia="Times New Roman" w:hAnsi="Segoe UI" w:cs="Segoe UI"/>
                <w:color w:val="1F2933"/>
                <w:sz w:val="19"/>
                <w:szCs w:val="19"/>
              </w:rPr>
              <w:br/>
              <w:t>+ WebSocket server</w:t>
            </w:r>
          </w:p>
        </w:tc>
        <w:tc>
          <w:tcPr>
            <w:tcW w:w="250" w:type="pct"/>
            <w:tcBorders>
              <w:top w:val="nil"/>
              <w:left w:val="nil"/>
              <w:bottom w:val="nil"/>
              <w:right w:val="nil"/>
            </w:tcBorders>
            <w:tcMar>
              <w:top w:w="100" w:type="dxa"/>
              <w:left w:w="120" w:type="dxa"/>
              <w:bottom w:w="100" w:type="dxa"/>
              <w:right w:w="120" w:type="dxa"/>
            </w:tcMar>
            <w:hideMark/>
          </w:tcPr>
          <w:p w14:paraId="75F5464A" w14:textId="77777777" w:rsidR="00202328" w:rsidRDefault="00202328">
            <w:pPr>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05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5D968B74" w14:textId="77777777" w:rsidR="00202328" w:rsidRDefault="00202328">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PostgreSQL</w:t>
            </w:r>
            <w:r>
              <w:rPr>
                <w:rFonts w:ascii="Segoe UI" w:eastAsia="Times New Roman" w:hAnsi="Segoe UI" w:cs="Segoe UI"/>
                <w:color w:val="1F2933"/>
                <w:sz w:val="19"/>
                <w:szCs w:val="19"/>
              </w:rPr>
              <w:br/>
              <w:t>(row-level tenant isolation)</w:t>
            </w:r>
          </w:p>
        </w:tc>
      </w:tr>
    </w:tbl>
    <w:p w14:paraId="480F71DA" w14:textId="77777777" w:rsidR="00202328" w:rsidRDefault="00202328">
      <w:pPr>
        <w:pStyle w:val="muted"/>
        <w:spacing w:before="120" w:beforeAutospacing="0" w:after="120" w:afterAutospacing="0"/>
        <w:rPr>
          <w:rFonts w:ascii="Segoe UI" w:hAnsi="Segoe UI" w:cs="Segoe UI"/>
          <w:lang w:val="en"/>
        </w:rPr>
      </w:pPr>
      <w:r>
        <w:rPr>
          <w:rFonts w:ascii="Segoe UI" w:hAnsi="Segoe UI" w:cs="Segoe UI"/>
          <w:lang w:val="en"/>
        </w:rPr>
        <w:t>Browser clients communicate with the Express.js API and WebSocket server over HTTPS and secure WebSockets (WSS); the application server is the sole component with direct database access.</w:t>
      </w:r>
    </w:p>
    <w:tbl>
      <w:tblPr>
        <w:tblW w:w="5000" w:type="pct"/>
        <w:tblCellMar>
          <w:top w:w="15" w:type="dxa"/>
          <w:left w:w="15" w:type="dxa"/>
          <w:bottom w:w="15" w:type="dxa"/>
          <w:right w:w="15" w:type="dxa"/>
        </w:tblCellMar>
        <w:tblLook w:val="04A0" w:firstRow="1" w:lastRow="0" w:firstColumn="1" w:lastColumn="0" w:noHBand="0" w:noVBand="1"/>
      </w:tblPr>
      <w:tblGrid>
        <w:gridCol w:w="1860"/>
        <w:gridCol w:w="3566"/>
        <w:gridCol w:w="4193"/>
      </w:tblGrid>
      <w:tr w:rsidR="00000000" w14:paraId="2C9254E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38FA66B"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Deployment Variant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8F011C5"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Application Layer (Frontend + Express.js API)</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CE65D32"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Database Layer</w:t>
            </w:r>
          </w:p>
        </w:tc>
      </w:tr>
      <w:tr w:rsidR="00000000" w14:paraId="78EFAA3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D0FB6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Cloud / SaaS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49D9E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38C52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 environment</w:t>
            </w:r>
          </w:p>
        </w:tc>
      </w:tr>
      <w:tr w:rsidR="00000000" w14:paraId="3BE3D9D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625D1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On-Premises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9A3C75"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Infrastructure]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0E2D11"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Infrastructure]</w:t>
            </w:r>
          </w:p>
        </w:tc>
      </w:tr>
      <w:tr w:rsidR="00000000" w14:paraId="31D75B4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28DFE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Hybrid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226FB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25A929"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Infrastructure]</w:t>
            </w:r>
            <w:r>
              <w:rPr>
                <w:rFonts w:ascii="Segoe UI" w:eastAsia="Times New Roman" w:hAnsi="Segoe UI" w:cs="Segoe UI"/>
                <w:color w:val="1F2933"/>
                <w:sz w:val="19"/>
                <w:szCs w:val="19"/>
              </w:rPr>
              <w:t xml:space="preserve"> (sensitive data remains client-side)</w:t>
            </w:r>
          </w:p>
        </w:tc>
      </w:tr>
    </w:tbl>
    <w:p w14:paraId="2DD52395" w14:textId="77777777" w:rsidR="00202328" w:rsidRDefault="00202328">
      <w:pPr>
        <w:pStyle w:val="Heading1"/>
        <w:rPr>
          <w:rFonts w:ascii="Segoe UI" w:eastAsia="Times New Roman" w:hAnsi="Segoe UI" w:cs="Segoe UI"/>
          <w:lang w:val="en"/>
        </w:rPr>
      </w:pPr>
      <w:bookmarkStart w:id="29" w:name="_Toc235449787"/>
      <w:r>
        <w:rPr>
          <w:rFonts w:ascii="Segoe UI" w:eastAsia="Times New Roman" w:hAnsi="Segoe UI" w:cs="Segoe UI"/>
          <w:lang w:val="en"/>
        </w:rPr>
        <w:t>18. Real-Time Architecture</w:t>
      </w:r>
      <w:bookmarkEnd w:id="29"/>
    </w:p>
    <w:p w14:paraId="64C2E9D6"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Live sessions depend on the platform's real-time layer behaving predictably under load, and behaving fairly for every participant regardless of network conditions. This section describes how that is achieved.</w:t>
      </w:r>
    </w:p>
    <w:p w14:paraId="2491A75D" w14:textId="77777777" w:rsidR="00202328" w:rsidRDefault="00202328">
      <w:pPr>
        <w:pStyle w:val="Heading2"/>
        <w:rPr>
          <w:rFonts w:ascii="Segoe UI" w:eastAsia="Times New Roman" w:hAnsi="Segoe UI" w:cs="Segoe UI"/>
          <w:lang w:val="en"/>
        </w:rPr>
      </w:pPr>
      <w:bookmarkStart w:id="30" w:name="_Toc235449788"/>
      <w:r>
        <w:rPr>
          <w:rFonts w:ascii="Segoe UI" w:eastAsia="Times New Roman" w:hAnsi="Segoe UI" w:cs="Segoe UI"/>
          <w:lang w:val="en"/>
        </w:rPr>
        <w:t>18.1 Session Flow</w:t>
      </w:r>
      <w:bookmarkEnd w:id="30"/>
    </w:p>
    <w:p w14:paraId="02CE4E7D"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A live session follows a consistent, server-driven flow from join through to the final leaderboard.</w:t>
      </w:r>
    </w:p>
    <w:tbl>
      <w:tblPr>
        <w:tblW w:w="5000" w:type="pct"/>
        <w:tblCellMar>
          <w:top w:w="15" w:type="dxa"/>
          <w:left w:w="15" w:type="dxa"/>
          <w:bottom w:w="15" w:type="dxa"/>
          <w:right w:w="15" w:type="dxa"/>
        </w:tblCellMar>
        <w:tblLook w:val="04A0" w:firstRow="1" w:lastRow="0" w:firstColumn="1" w:lastColumn="0" w:noHBand="0" w:noVBand="1"/>
      </w:tblPr>
      <w:tblGrid>
        <w:gridCol w:w="1669"/>
        <w:gridCol w:w="7950"/>
      </w:tblGrid>
      <w:tr w:rsidR="00000000" w14:paraId="4077228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FA5D1A0"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Step</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767B427"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happens</w:t>
            </w:r>
          </w:p>
        </w:tc>
      </w:tr>
      <w:tr w:rsidR="00000000" w14:paraId="04208B8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7426C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Join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01622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connect over a WebSocket session as they scan a QR code, follow a direct link, or enter a session PIN; the host's lobby view updates in real time as each participant joins</w:t>
            </w:r>
          </w:p>
        </w:tc>
      </w:tr>
      <w:tr w:rsidR="00000000" w14:paraId="0AE9285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9492F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Question broadcast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D6723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When the host opens a question, the server broadcasts the question to all connected participants at the same moment</w:t>
            </w:r>
          </w:p>
        </w:tc>
      </w:tr>
      <w:tr w:rsidR="00000000" w14:paraId="2A99F74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BC479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Answer submission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139DD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submit answers over the WebSocket connection while the question is live; the correct answer is never sent to a participant's device before the question closes</w:t>
            </w:r>
          </w:p>
        </w:tc>
      </w:tr>
      <w:tr w:rsidR="00000000" w14:paraId="3E382CF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AF1F0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4. Server-side scoring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47168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server, not the client, determines when the question closes, evaluates each submitted answer, and calculates the resulting score</w:t>
            </w:r>
          </w:p>
        </w:tc>
      </w:tr>
      <w:tr w:rsidR="00000000" w14:paraId="0009309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218CC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5. Leaderboard push</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222C4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Updated rankings are pushed to the host and participant devices in real time once scoring is complete</w:t>
            </w:r>
          </w:p>
        </w:tc>
      </w:tr>
    </w:tbl>
    <w:p w14:paraId="7B996B9D" w14:textId="77777777" w:rsidR="00202328" w:rsidRDefault="00202328">
      <w:pPr>
        <w:pStyle w:val="Heading2"/>
        <w:rPr>
          <w:rFonts w:ascii="Segoe UI" w:eastAsia="Times New Roman" w:hAnsi="Segoe UI" w:cs="Segoe UI"/>
          <w:lang w:val="en"/>
        </w:rPr>
      </w:pPr>
      <w:bookmarkStart w:id="31" w:name="_Toc235449789"/>
      <w:r>
        <w:rPr>
          <w:rFonts w:ascii="Segoe UI" w:eastAsia="Times New Roman" w:hAnsi="Segoe UI" w:cs="Segoe UI"/>
          <w:lang w:val="en"/>
        </w:rPr>
        <w:t>18.2 Server-Authoritative Timing, Reconnection, and Why It Matters at Scale</w:t>
      </w:r>
      <w:bookmarkEnd w:id="31"/>
    </w:p>
    <w:p w14:paraId="47C25BAC"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Question timing, closure, and scoring are controlled by the server, not by any individual device: participant and host devices render a countdown, an open or closed question, and an updated leaderboard, but they never decide when a question opens or closes and are never trusted with the correct answer before it is safe to reveal it. Where a participant's device loses connectivity mid-session — common in venues with variable Wi-Fi or mobile coverage — the platform automatically attempts to reconnect the sess</w:t>
      </w:r>
      <w:r>
        <w:rPr>
          <w:rFonts w:ascii="Segoe UI" w:hAnsi="Segoe UI" w:cs="Segoe UI"/>
          <w:color w:val="1F2933"/>
          <w:sz w:val="21"/>
          <w:szCs w:val="21"/>
          <w:lang w:val="en"/>
        </w:rPr>
        <w:t xml:space="preserve">ion rather than dropping the participant. For a session of the scale described in </w:t>
      </w:r>
      <w:r>
        <w:rPr>
          <w:rFonts w:ascii="Segoe UI" w:hAnsi="Segoe UI" w:cs="Segoe UI"/>
          <w:color w:val="1F2933"/>
          <w:sz w:val="21"/>
          <w:szCs w:val="21"/>
          <w:lang w:val="en"/>
        </w:rPr>
        <w:lastRenderedPageBreak/>
        <w:t>Section 24, this combination is what keeps a large, live audience in a fair, synchronized session rather than a collection of individually drifting client experiences.</w:t>
      </w:r>
    </w:p>
    <w:p w14:paraId="0643C3DC" w14:textId="77777777" w:rsidR="00202328" w:rsidRDefault="00202328">
      <w:pPr>
        <w:pStyle w:val="Heading1"/>
        <w:rPr>
          <w:rFonts w:ascii="Segoe UI" w:eastAsia="Times New Roman" w:hAnsi="Segoe UI" w:cs="Segoe UI"/>
          <w:lang w:val="en"/>
        </w:rPr>
      </w:pPr>
      <w:bookmarkStart w:id="32" w:name="_Toc235449790"/>
      <w:r>
        <w:rPr>
          <w:rFonts w:ascii="Segoe UI" w:eastAsia="Times New Roman" w:hAnsi="Segoe UI" w:cs="Segoe UI"/>
          <w:lang w:val="en"/>
        </w:rPr>
        <w:t>19. Deployment Options</w:t>
      </w:r>
      <w:bookmarkEnd w:id="32"/>
    </w:p>
    <w:p w14:paraId="70BD7163" w14:textId="77777777" w:rsidR="00202328" w:rsidRDefault="00202328">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choose from three deployment options, so that the choice of hosting model reflects data residency, network, and cybersecurity requirements rather than a one-size-fits-all default.</w:t>
      </w:r>
    </w:p>
    <w:tbl>
      <w:tblPr>
        <w:tblW w:w="5000" w:type="pct"/>
        <w:tblCellMar>
          <w:top w:w="15" w:type="dxa"/>
          <w:left w:w="15" w:type="dxa"/>
          <w:bottom w:w="15" w:type="dxa"/>
          <w:right w:w="15" w:type="dxa"/>
        </w:tblCellMar>
        <w:tblLook w:val="04A0" w:firstRow="1" w:lastRow="0" w:firstColumn="1" w:lastColumn="0" w:noHBand="0" w:noVBand="1"/>
      </w:tblPr>
      <w:tblGrid>
        <w:gridCol w:w="1409"/>
        <w:gridCol w:w="2913"/>
        <w:gridCol w:w="3021"/>
        <w:gridCol w:w="2276"/>
      </w:tblGrid>
      <w:tr w:rsidR="00000000" w14:paraId="408391F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EB3D216" w14:textId="77777777" w:rsidR="00202328" w:rsidRDefault="00202328">
            <w:pPr>
              <w:rPr>
                <w:rFonts w:ascii="Segoe UI" w:hAnsi="Segoe UI" w:cs="Segoe UI"/>
                <w:color w:val="1F2933"/>
                <w:sz w:val="21"/>
                <w:szCs w:val="21"/>
                <w:lang w:val="en"/>
              </w:rPr>
            </w:pP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38F57DB"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Option 1 — SaaS / Cloud</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D2A396F"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Option 2 — On-Premises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7EA3F1B"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Option 3 — Hybrid</w:t>
            </w:r>
          </w:p>
        </w:tc>
      </w:tr>
      <w:tr w:rsidR="00000000" w14:paraId="71EFD4F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82F863"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Hosted by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7FB10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B722D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infrastructure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BFC4D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Split between Altanfith and client infrastructure</w:t>
            </w:r>
          </w:p>
        </w:tc>
      </w:tr>
      <w:tr w:rsidR="00000000" w14:paraId="7196AAA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8CA8FB5"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Includes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F7C33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 hosting, server &amp; database management, backups, security updates, monitoring, maintenance, technical support, version upgrades, AI usage allowance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099C4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Application deployment, backend installation, database configuration, environment setup, initial cybersecurity configuration, documentation, training, knowledge transfer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BD349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Application components hosted by Altanfith; sensitive data/database remain in the client environment</w:t>
            </w:r>
          </w:p>
        </w:tc>
      </w:tr>
      <w:tr w:rsidR="00000000" w14:paraId="2A6B9FD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1D3B1B"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Commercials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71597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subscription; lower initial investment; fastest implementation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812DB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Project fee; optional source-code handover; optional annual maintenance contract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C30A3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final design</w:t>
            </w:r>
          </w:p>
        </w:tc>
      </w:tr>
      <w:tr w:rsidR="00000000" w14:paraId="183C378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DF0BD5"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provides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D5F4B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Browser access only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19367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Hardware, OS, internal networking, data-center requirements (unless in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4C53E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final design</w:t>
            </w:r>
          </w:p>
        </w:tc>
      </w:tr>
    </w:tbl>
    <w:p w14:paraId="592B629A" w14:textId="77777777" w:rsidR="00202328" w:rsidRDefault="00202328">
      <w:pPr>
        <w:pStyle w:val="Heading2"/>
        <w:rPr>
          <w:rFonts w:ascii="Segoe UI" w:eastAsia="Times New Roman" w:hAnsi="Segoe UI" w:cs="Segoe UI"/>
          <w:lang w:val="en"/>
        </w:rPr>
      </w:pPr>
      <w:bookmarkStart w:id="33" w:name="_Toc235449791"/>
      <w:r>
        <w:rPr>
          <w:rFonts w:ascii="Segoe UI" w:eastAsia="Times New Roman" w:hAnsi="Segoe UI" w:cs="Segoe UI"/>
          <w:lang w:val="en"/>
        </w:rPr>
        <w:t>19.1 Cloud / SaaS</w:t>
      </w:r>
      <w:bookmarkEnd w:id="33"/>
    </w:p>
    <w:p w14:paraId="707293FF"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hosts and manages the full application and database layer, so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requires only browser access. Hosting, backups, monitoring, security updates, and version upgrades are managed by Altanfith as part of the subscription (Section 33, Model A).</w:t>
      </w:r>
    </w:p>
    <w:p w14:paraId="76A4869C" w14:textId="77777777" w:rsidR="00202328" w:rsidRDefault="00202328">
      <w:pPr>
        <w:pStyle w:val="Heading2"/>
        <w:rPr>
          <w:rFonts w:ascii="Segoe UI" w:eastAsia="Times New Roman" w:hAnsi="Segoe UI" w:cs="Segoe UI"/>
          <w:lang w:val="en"/>
        </w:rPr>
      </w:pPr>
      <w:bookmarkStart w:id="34" w:name="_Toc235449792"/>
      <w:r>
        <w:rPr>
          <w:rFonts w:ascii="Segoe UI" w:eastAsia="Times New Roman" w:hAnsi="Segoe UI" w:cs="Segoe UI"/>
          <w:lang w:val="en"/>
        </w:rPr>
        <w:t>19.2 On-Premises</w:t>
      </w:r>
      <w:bookmarkEnd w:id="34"/>
    </w:p>
    <w:p w14:paraId="20CCFAF2"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The Express.js backend runs on the client's own internal servers or private cloud — a public cloud environment is not required. The platform's backend has been built to run within a range of internal environments, including:</w:t>
      </w:r>
    </w:p>
    <w:tbl>
      <w:tblPr>
        <w:tblW w:w="5000" w:type="pct"/>
        <w:tblCellMar>
          <w:top w:w="15" w:type="dxa"/>
          <w:left w:w="15" w:type="dxa"/>
          <w:bottom w:w="15" w:type="dxa"/>
          <w:right w:w="15" w:type="dxa"/>
        </w:tblCellMar>
        <w:tblLook w:val="04A0" w:firstRow="1" w:lastRow="0" w:firstColumn="1" w:lastColumn="0" w:noHBand="0" w:noVBand="1"/>
      </w:tblPr>
      <w:tblGrid>
        <w:gridCol w:w="2811"/>
        <w:gridCol w:w="6808"/>
      </w:tblGrid>
      <w:tr w:rsidR="00000000" w14:paraId="5EC973B4" w14:textId="77777777">
        <w:tc>
          <w:tcPr>
            <w:tcW w:w="0" w:type="auto"/>
            <w:gridSpan w:val="2"/>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2C3DB85"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Supported Environment</w:t>
            </w:r>
          </w:p>
        </w:tc>
      </w:tr>
      <w:tr w:rsidR="00000000" w14:paraId="1ABE8CC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6899E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data center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E61B9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servers</w:t>
            </w:r>
          </w:p>
        </w:tc>
      </w:tr>
      <w:tr w:rsidR="00000000" w14:paraId="608FA66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2BD5A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Private cloud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B16C2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Virtual machines</w:t>
            </w:r>
          </w:p>
        </w:tc>
      </w:tr>
      <w:tr w:rsidR="00000000" w14:paraId="5B2E74A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EFB62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Docker containers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2ADB5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Kubernetes</w:t>
            </w:r>
          </w:p>
        </w:tc>
      </w:tr>
      <w:tr w:rsidR="00000000" w14:paraId="6F201EF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3DEA6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Linux servers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576DE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Windows Server (subject to technical validation)</w:t>
            </w:r>
          </w:p>
        </w:tc>
      </w:tr>
      <w:tr w:rsidR="00000000" w14:paraId="65619D7F" w14:textId="77777777">
        <w:tc>
          <w:tcPr>
            <w:tcW w:w="0" w:type="auto"/>
            <w:gridSpan w:val="2"/>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51DB9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Hybrid combinations of the above infrastructure types</w:t>
            </w:r>
          </w:p>
        </w:tc>
      </w:tr>
    </w:tbl>
    <w:p w14:paraId="6CE3FE14" w14:textId="77777777" w:rsidR="00202328" w:rsidRDefault="00202328">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On-premises deployment is </w:t>
      </w:r>
      <w:r>
        <w:rPr>
          <w:rStyle w:val="Strong"/>
          <w:rFonts w:ascii="Segoe UI" w:hAnsi="Segoe UI" w:cs="Segoe UI"/>
          <w:color w:val="1F2933"/>
          <w:sz w:val="21"/>
          <w:szCs w:val="21"/>
          <w:lang w:val="en"/>
        </w:rPr>
        <w:t>subject to infrastructure assessment</w:t>
      </w:r>
      <w:r>
        <w:rPr>
          <w:rFonts w:ascii="Segoe UI" w:hAnsi="Segoe UI" w:cs="Segoe UI"/>
          <w:color w:val="1F2933"/>
          <w:sz w:val="21"/>
          <w:szCs w:val="21"/>
          <w:lang w:val="en"/>
        </w:rPr>
        <w:t xml:space="preserve">. Network policies, database selection, internal DNS, SSL certificates, firewall configuration, backup procedures, and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cybersecurity requirements are all confirmed during this assessment before deployment proceeds. Altanfith does not promise universal compatibility with every client environment in advance of this assessment.</w:t>
      </w:r>
    </w:p>
    <w:p w14:paraId="01974985" w14:textId="77777777" w:rsidR="00202328" w:rsidRDefault="00202328">
      <w:pPr>
        <w:pStyle w:val="Heading2"/>
        <w:rPr>
          <w:rFonts w:ascii="Segoe UI" w:eastAsia="Times New Roman" w:hAnsi="Segoe UI" w:cs="Segoe UI"/>
          <w:lang w:val="en"/>
        </w:rPr>
      </w:pPr>
      <w:bookmarkStart w:id="35" w:name="_Toc235449793"/>
      <w:r>
        <w:rPr>
          <w:rFonts w:ascii="Segoe UI" w:eastAsia="Times New Roman" w:hAnsi="Segoe UI" w:cs="Segoe UI"/>
          <w:lang w:val="en"/>
        </w:rPr>
        <w:t>19.3 Hybrid</w:t>
      </w:r>
      <w:bookmarkEnd w:id="35"/>
    </w:p>
    <w:p w14:paraId="23EC175C"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 hybrid deployment splits the platform between Altanfith-hosted application components and client-hosted, sensitive data storage. The final design of a hybrid deployment depends on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specific security and integration requirements, and is agreed during discovery and infrastructure assessment rather than fixed in advance.</w:t>
      </w:r>
    </w:p>
    <w:p w14:paraId="3348E610" w14:textId="77777777" w:rsidR="00202328" w:rsidRDefault="00202328">
      <w:pPr>
        <w:pStyle w:val="Heading1"/>
        <w:rPr>
          <w:rFonts w:ascii="Segoe UI" w:eastAsia="Times New Roman" w:hAnsi="Segoe UI" w:cs="Segoe UI"/>
          <w:lang w:val="en"/>
        </w:rPr>
      </w:pPr>
      <w:bookmarkStart w:id="36" w:name="_Toc235449794"/>
      <w:r>
        <w:rPr>
          <w:rFonts w:ascii="Segoe UI" w:eastAsia="Times New Roman" w:hAnsi="Segoe UI" w:cs="Segoe UI"/>
          <w:lang w:val="en"/>
        </w:rPr>
        <w:t>20. Cybersecurity</w:t>
      </w:r>
      <w:bookmarkEnd w:id="36"/>
    </w:p>
    <w:p w14:paraId="0EAEB74A"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is designed with cybersecurity as a foundational concern rather than an add-on, and its controls are developed with awareness of the OWASP Top 10. At the same time, we are deliberate about how we describe our security posture: the statements in this section describe how the platform is designed and configured, not a formal certification, and final acceptance of the security architecture remains subject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own cybersecurity assessment.</w:t>
      </w:r>
    </w:p>
    <w:tbl>
      <w:tblPr>
        <w:tblW w:w="5000" w:type="pct"/>
        <w:tblCellMar>
          <w:top w:w="15" w:type="dxa"/>
          <w:left w:w="15" w:type="dxa"/>
          <w:bottom w:w="15" w:type="dxa"/>
          <w:right w:w="15" w:type="dxa"/>
        </w:tblCellMar>
        <w:tblLook w:val="04A0" w:firstRow="1" w:lastRow="0" w:firstColumn="1" w:lastColumn="0" w:noHBand="0" w:noVBand="1"/>
      </w:tblPr>
      <w:tblGrid>
        <w:gridCol w:w="1718"/>
        <w:gridCol w:w="7901"/>
      </w:tblGrid>
      <w:tr w:rsidR="00000000" w14:paraId="6C6B335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FBA47F1"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Domain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866D7A3"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Controls</w:t>
            </w:r>
          </w:p>
        </w:tc>
      </w:tr>
      <w:tr w:rsidR="00000000" w14:paraId="4BB6C76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9EB55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Encryption &amp; transport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9F2E0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HTTPS/TLS; encryption in transit; encryption at rest where applicable; backup encryption</w:t>
            </w:r>
          </w:p>
        </w:tc>
      </w:tr>
      <w:tr w:rsidR="00000000" w14:paraId="1A6232C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E0D492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Identity &amp; access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BB817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Secure (bcrypt) password hashing; role-based access control (RBAC); least-privilege access; strong password policy; multi-factor authentication (</w:t>
            </w:r>
            <w:r>
              <w:rPr>
                <w:rStyle w:val="badge-opt1"/>
                <w:rFonts w:ascii="Segoe UI" w:eastAsia="Times New Roman" w:hAnsi="Segoe UI" w:cs="Segoe UI"/>
                <w:sz w:val="19"/>
                <w:szCs w:val="19"/>
              </w:rPr>
              <w:t>Optional</w:t>
            </w:r>
            <w:r>
              <w:rPr>
                <w:rFonts w:ascii="Segoe UI" w:eastAsia="Times New Roman" w:hAnsi="Segoe UI" w:cs="Segoe UI"/>
                <w:color w:val="1F2933"/>
                <w:sz w:val="19"/>
                <w:szCs w:val="19"/>
              </w:rPr>
              <w:t>); session management; token expiration; secure API authentication; user account deactivation; regular access reviews; role-validated host-only operations</w:t>
            </w:r>
          </w:p>
        </w:tc>
      </w:tr>
      <w:tr w:rsidR="00000000" w14:paraId="4708964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41FA5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Application security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2EC35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 rate limiting; input validation; output encoding; protection against common web vulnerabilities; secure development practices; developed with awareness of the OWASP Top 10; secure API configuration</w:t>
            </w:r>
          </w:p>
        </w:tc>
      </w:tr>
      <w:tr w:rsidR="00000000" w14:paraId="55FC9DE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F79178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4. Audit &amp; monitoring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89513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Audit logs of administrative actions; login logs; failed-login monitoring; data-access logging; monitoring &amp; alerting; log retention (</w:t>
            </w:r>
            <w:r>
              <w:rPr>
                <w:rStyle w:val="Strong"/>
                <w:rFonts w:ascii="Segoe UI" w:eastAsia="Times New Roman" w:hAnsi="Segoe UI" w:cs="Segoe UI"/>
                <w:color w:val="1F2933"/>
                <w:sz w:val="19"/>
                <w:szCs w:val="19"/>
              </w:rPr>
              <w:t>[Data Retention Period]</w:t>
            </w:r>
            <w:r>
              <w:rPr>
                <w:rFonts w:ascii="Segoe UI" w:eastAsia="Times New Roman" w:hAnsi="Segoe UI" w:cs="Segoe UI"/>
                <w:color w:val="1F2933"/>
                <w:sz w:val="19"/>
                <w:szCs w:val="19"/>
              </w:rPr>
              <w:t>)</w:t>
            </w:r>
          </w:p>
        </w:tc>
      </w:tr>
      <w:tr w:rsidR="00000000" w14:paraId="303D52C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420C8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5. Data lifecycle &amp; resilience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E80CB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Backup policy; backup retention; disaster recovery planning; business continuity planning; data retention rules; data deletion and export procedures — expanded in Section 21</w:t>
            </w:r>
          </w:p>
        </w:tc>
      </w:tr>
      <w:tr w:rsidR="00000000" w14:paraId="1EC844B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9D64E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6. Infrastructure &amp; operations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34A5C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Secure environment configuration; firewall configuration; network segmentation (on-premises); per-tenant, row-level data isolation in PostgreSQL; database access restrictions; secrets management; environment-variable management; secure source-code repository; separated dev/test/prod environments</w:t>
            </w:r>
          </w:p>
        </w:tc>
      </w:tr>
      <w:tr w:rsidR="00000000" w14:paraId="121F2E0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010BA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7. Process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27EF9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Change management; incident response; security incident notification; data-breach escalation; secure release process; security patching; vulnerability assessment; penetration testing (</w:t>
            </w:r>
            <w:r>
              <w:rPr>
                <w:rStyle w:val="badge-opt1"/>
                <w:rFonts w:ascii="Segoe UI" w:eastAsia="Times New Roman" w:hAnsi="Segoe UI" w:cs="Segoe UI"/>
                <w:sz w:val="19"/>
                <w:szCs w:val="19"/>
              </w:rPr>
              <w:t>Optional service</w:t>
            </w:r>
            <w:r>
              <w:rPr>
                <w:rFonts w:ascii="Segoe UI" w:eastAsia="Times New Roman" w:hAnsi="Segoe UI" w:cs="Segoe UI"/>
                <w:color w:val="1F2933"/>
                <w:sz w:val="19"/>
                <w:szCs w:val="19"/>
              </w:rPr>
              <w:t>); client-approved security architecture</w:t>
            </w:r>
          </w:p>
        </w:tc>
      </w:tr>
    </w:tbl>
    <w:p w14:paraId="51348E0A"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These controls are designed to align with recognized good practice and with awareness of the OWASP Top 10 — not represented as certified or compliant. Final acceptance is confirmed through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's own security assessment (Phase 3, Section 25); the security architecture is only finalized once client-approved. Formal penetration testing is available as an </w:t>
      </w:r>
      <w:r>
        <w:rPr>
          <w:rStyle w:val="badge-opt1"/>
          <w:rFonts w:ascii="Segoe UI" w:hAnsi="Segoe UI" w:cs="Segoe UI"/>
          <w:sz w:val="21"/>
          <w:szCs w:val="21"/>
          <w:lang w:val="en"/>
        </w:rPr>
        <w:t>optional service</w:t>
      </w:r>
      <w:r>
        <w:rPr>
          <w:rFonts w:ascii="Segoe UI" w:hAnsi="Segoe UI" w:cs="Segoe UI"/>
          <w:color w:val="1F2933"/>
          <w:sz w:val="21"/>
          <w:szCs w:val="21"/>
          <w:lang w:val="en"/>
        </w:rPr>
        <w:t>, quoted separately (Section 33); it is not included in the base engagement.</w:t>
      </w:r>
    </w:p>
    <w:p w14:paraId="6839FFE1" w14:textId="77777777" w:rsidR="00202328" w:rsidRDefault="00202328">
      <w:pPr>
        <w:pStyle w:val="Heading1"/>
        <w:rPr>
          <w:rFonts w:ascii="Segoe UI" w:eastAsia="Times New Roman" w:hAnsi="Segoe UI" w:cs="Segoe UI"/>
          <w:lang w:val="en"/>
        </w:rPr>
      </w:pPr>
      <w:bookmarkStart w:id="37" w:name="_Toc235449795"/>
      <w:r>
        <w:rPr>
          <w:rFonts w:ascii="Segoe UI" w:eastAsia="Times New Roman" w:hAnsi="Segoe UI" w:cs="Segoe UI"/>
          <w:lang w:val="en"/>
        </w:rPr>
        <w:t>21. Data Protection</w:t>
      </w:r>
      <w:bookmarkEnd w:id="37"/>
    </w:p>
    <w:p w14:paraId="141A4A4F"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Data protection builds on the data lifecycle and resilience controls introduced in Section 20 (Domain 5), and describes, in more detail, how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's data is backed up, retained, deleted, and exported. Availability and data-durability commitments are not presented as absolutes; they are defined in the agreed SLA, and the platform is designed to align with sound backup, retention, and recovery practice within the parameters agreed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1857"/>
        <w:gridCol w:w="7762"/>
      </w:tblGrid>
      <w:tr w:rsidR="00000000" w14:paraId="3632BD4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FA17DEF"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Aspect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1690D60"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Approach</w:t>
            </w:r>
          </w:p>
        </w:tc>
      </w:tr>
      <w:tr w:rsidR="00000000" w14:paraId="1D37E3B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94C08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Backups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AB285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Operated under a defined backup policy; frequency, encryption, and retention arrangements are confirmed as part of the applicable deployment option (Section 19) and the commercial agreement</w:t>
            </w:r>
          </w:p>
        </w:tc>
      </w:tr>
      <w:tr w:rsidR="00000000" w14:paraId="489C3A4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27568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Retention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2EF5E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Session results, audit logs, and participant records are retained for </w:t>
            </w:r>
            <w:r>
              <w:rPr>
                <w:rStyle w:val="Strong"/>
                <w:rFonts w:ascii="Segoe UI" w:eastAsia="Times New Roman" w:hAnsi="Segoe UI" w:cs="Segoe UI"/>
                <w:color w:val="1F2933"/>
                <w:sz w:val="19"/>
                <w:szCs w:val="19"/>
              </w:rPr>
              <w:t>[Data Retention Period]</w:t>
            </w:r>
            <w:r>
              <w:rPr>
                <w:rFonts w:ascii="Segoe UI" w:eastAsia="Times New Roman" w:hAnsi="Segoe UI" w:cs="Segoe UI"/>
                <w:color w:val="1F2933"/>
                <w:sz w:val="19"/>
                <w:szCs w:val="19"/>
              </w:rPr>
              <w:t xml:space="preserve">, configurable to support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's internal data governance or regulatory requirements, subject to confirmation during discovery</w:t>
            </w:r>
          </w:p>
        </w:tc>
      </w:tr>
      <w:tr w:rsidR="00000000" w14:paraId="4F22482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74281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Deletion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327E4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Follows a defined procedure: soft-delete with archive is available at the content level (Section 13.5); permanent deletion procedures, including at contract termination, are defined in the commercial agreement</w:t>
            </w:r>
          </w:p>
        </w:tc>
      </w:tr>
      <w:tr w:rsidR="00000000" w14:paraId="77151F5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37A19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Export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3FF7D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Available on request, and provided as a standard step at contract termination, in an agreed format, so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 xml:space="preserve"> is not dependent on continued platform access to retain its own data</w:t>
            </w:r>
          </w:p>
        </w:tc>
      </w:tr>
      <w:tr w:rsidR="00000000" w14:paraId="01A369C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5F69A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Disaster recovery &amp; business continuity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63FB0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Addressed as part of the deployment design and configured to support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's requirements; specific recovery time/point objectives are confirmed during discovery and infrastructure assessment and depend on the deployment option selected</w:t>
            </w:r>
          </w:p>
        </w:tc>
      </w:tr>
    </w:tbl>
    <w:p w14:paraId="751E0521" w14:textId="77777777" w:rsidR="00202328" w:rsidRDefault="00202328">
      <w:pPr>
        <w:pStyle w:val="Heading1"/>
        <w:rPr>
          <w:rFonts w:ascii="Segoe UI" w:eastAsia="Times New Roman" w:hAnsi="Segoe UI" w:cs="Segoe UI"/>
          <w:lang w:val="en"/>
        </w:rPr>
      </w:pPr>
      <w:bookmarkStart w:id="38" w:name="_Toc235449796"/>
      <w:r>
        <w:rPr>
          <w:rFonts w:ascii="Segoe UI" w:eastAsia="Times New Roman" w:hAnsi="Segoe UI" w:cs="Segoe UI"/>
          <w:lang w:val="en"/>
        </w:rPr>
        <w:t>22. Data Ownership</w:t>
      </w:r>
      <w:bookmarkEnd w:id="38"/>
    </w:p>
    <w:p w14:paraId="1BB7BD46"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Ownership of data and intellectual property is set out clearly,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understands exactly what it owns, what Altanfith owns, and how this is affected by the commercial model selected.</w:t>
      </w:r>
    </w:p>
    <w:p w14:paraId="72E4F63A" w14:textId="77777777" w:rsidR="00202328" w:rsidRDefault="00202328">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Client data remains the property of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 xml:space="preserve"> at all times.</w:t>
      </w:r>
    </w:p>
    <w:p w14:paraId="54C6FA11" w14:textId="77777777" w:rsidR="00202328" w:rsidRDefault="00202328">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Altanfith Aldwaliah SPC claims no ownership of client operational data.</w:t>
      </w:r>
    </w:p>
    <w:p w14:paraId="707446B3" w14:textId="77777777" w:rsidR="00202328" w:rsidRDefault="00202328">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Data export is provided at contract termination, in an agreed format.</w:t>
      </w:r>
    </w:p>
    <w:p w14:paraId="37C929C7" w14:textId="77777777" w:rsidR="00202328" w:rsidRDefault="00202328">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Retention and deletion terms are defined in the commercial agreement.</w:t>
      </w:r>
    </w:p>
    <w:p w14:paraId="3B548EBC" w14:textId="77777777" w:rsidR="00202328" w:rsidRDefault="00202328">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For on-premises deployments, data may remain entirely within </w:t>
      </w:r>
      <w:r>
        <w:rPr>
          <w:rStyle w:val="Strong"/>
          <w:rFonts w:ascii="Segoe UI" w:eastAsia="Times New Roman" w:hAnsi="Segoe UI" w:cs="Segoe UI"/>
          <w:color w:val="1F2933"/>
          <w:sz w:val="21"/>
          <w:szCs w:val="21"/>
          <w:lang w:val="en"/>
        </w:rPr>
        <w:t>[Client Infrastructure]</w:t>
      </w:r>
      <w:r>
        <w:rPr>
          <w:rFonts w:ascii="Segoe UI" w:eastAsia="Times New Roman" w:hAnsi="Segoe UI" w:cs="Segoe UI"/>
          <w:color w:val="1F2933"/>
          <w:sz w:val="21"/>
          <w:szCs w:val="21"/>
          <w:lang w:val="en"/>
        </w:rPr>
        <w:t>.</w:t>
      </w:r>
    </w:p>
    <w:p w14:paraId="35F49B2A" w14:textId="77777777" w:rsidR="00202328" w:rsidRDefault="00202328">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Intellectual property ownership depends on the commercial model selected (see Section 33).</w:t>
      </w:r>
    </w:p>
    <w:p w14:paraId="03F15E12" w14:textId="77777777" w:rsidR="00202328" w:rsidRDefault="00202328">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Standard platform IP remains with Altanfith Aldwaliah SPC unless transferred by separate agreement.</w:t>
      </w:r>
    </w:p>
    <w:p w14:paraId="5DB29AC6" w14:textId="77777777" w:rsidR="00202328" w:rsidRDefault="00202328">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Client-specific content — including questions, participant data, and reports — remains the property of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w:t>
      </w:r>
    </w:p>
    <w:p w14:paraId="27E88DA6" w14:textId="77777777" w:rsidR="00202328" w:rsidRDefault="00202328">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Source-code ownership is not automatically included, and applies only where it is expressly stated in the commercial agreement.</w:t>
      </w:r>
    </w:p>
    <w:p w14:paraId="1F8EEC7A" w14:textId="77777777" w:rsidR="00202328" w:rsidRDefault="00202328">
      <w:pPr>
        <w:pStyle w:val="Heading1"/>
        <w:rPr>
          <w:rFonts w:ascii="Segoe UI" w:eastAsia="Times New Roman" w:hAnsi="Segoe UI" w:cs="Segoe UI"/>
          <w:lang w:val="en"/>
        </w:rPr>
      </w:pPr>
      <w:bookmarkStart w:id="39" w:name="_Toc235449797"/>
      <w:r>
        <w:rPr>
          <w:rFonts w:ascii="Segoe UI" w:eastAsia="Times New Roman" w:hAnsi="Segoe UI" w:cs="Segoe UI"/>
          <w:lang w:val="en"/>
        </w:rPr>
        <w:t>23. Integration Options</w:t>
      </w:r>
      <w:bookmarkEnd w:id="39"/>
    </w:p>
    <w:p w14:paraId="4912CF9F"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exposes REST APIs that support integration into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existing systems. Integrations are delivered as scoped work under the Enterprise Custom Development Partnership commercial model (Model C, see Section 33), rather than assumed as part of the base platform, and their final scope is always subject to the availability and technical constraints of the relevant third-party API.</w:t>
      </w:r>
    </w:p>
    <w:tbl>
      <w:tblPr>
        <w:tblW w:w="5000" w:type="pct"/>
        <w:tblCellMar>
          <w:top w:w="15" w:type="dxa"/>
          <w:left w:w="15" w:type="dxa"/>
          <w:bottom w:w="15" w:type="dxa"/>
          <w:right w:w="15" w:type="dxa"/>
        </w:tblCellMar>
        <w:tblLook w:val="04A0" w:firstRow="1" w:lastRow="0" w:firstColumn="1" w:lastColumn="0" w:noHBand="0" w:noVBand="1"/>
      </w:tblPr>
      <w:tblGrid>
        <w:gridCol w:w="3175"/>
        <w:gridCol w:w="5426"/>
        <w:gridCol w:w="1018"/>
      </w:tblGrid>
      <w:tr w:rsidR="00000000" w14:paraId="0BDDD77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1B3F5A7"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Integration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FE40147"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911D325"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539C326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9F730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Single sign-on (Microsoft Entra ID / Active Directory)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0BBC7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Authentication against the client's existing identity provider, with roles mapped to directory groups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4ADA0E" w14:textId="77777777" w:rsidR="00202328" w:rsidRDefault="00202328">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2E2D8DE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46D29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HR systems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08D82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with the client's HR system, for example for user or organizational-unit synchronization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58EA9E" w14:textId="77777777" w:rsidR="00202328" w:rsidRDefault="00202328">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3ECD0D6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A8F2D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Learning Management System (LMS)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77FBF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with the client's LMS for training-related workflows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0AFE5E" w14:textId="77777777" w:rsidR="00202328" w:rsidRDefault="00202328">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674D156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870E2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37C4E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supporting session distribution or notification via 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8931EC" w14:textId="77777777" w:rsidR="00202328" w:rsidRDefault="00202328">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6A4979B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3C0FF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Power BI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3DBCB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exposing platform data for consumption in Power BI dashboards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7CA819" w14:textId="77777777" w:rsidR="00202328" w:rsidRDefault="00202328">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239BD3A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D00A0D"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[Integration System]</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1E45A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Any additional client system identified during discovery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62E299" w14:textId="77777777" w:rsidR="00202328" w:rsidRDefault="00202328">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2C12D5B4" w14:textId="77777777" w:rsidR="00202328" w:rsidRDefault="00202328">
      <w:pPr>
        <w:pStyle w:val="muted"/>
        <w:spacing w:before="120" w:beforeAutospacing="0" w:after="120" w:afterAutospacing="0"/>
        <w:rPr>
          <w:rFonts w:ascii="Segoe UI" w:hAnsi="Segoe UI" w:cs="Segoe UI"/>
          <w:lang w:val="en"/>
        </w:rPr>
      </w:pPr>
      <w:r>
        <w:rPr>
          <w:rFonts w:ascii="Segoe UI" w:hAnsi="Segoe UI" w:cs="Segoe UI"/>
          <w:lang w:val="en"/>
        </w:rPr>
        <w:t>All integrations listed above are optional and subject to the availability, documentation, and technical constraints of the relevant third-party API; final integration scope is confirmed during discovery (see Section 25, Phase 1) and delivered under Phase 8 (Integration Development) of the implementation methodology.</w:t>
      </w:r>
    </w:p>
    <w:p w14:paraId="699D2AC9" w14:textId="77777777" w:rsidR="00202328" w:rsidRDefault="00202328">
      <w:pPr>
        <w:pStyle w:val="Heading1"/>
        <w:rPr>
          <w:rFonts w:ascii="Segoe UI" w:eastAsia="Times New Roman" w:hAnsi="Segoe UI" w:cs="Segoe UI"/>
          <w:lang w:val="en"/>
        </w:rPr>
      </w:pPr>
      <w:bookmarkStart w:id="40" w:name="_Toc235449798"/>
      <w:r>
        <w:rPr>
          <w:rFonts w:ascii="Segoe UI" w:eastAsia="Times New Roman" w:hAnsi="Segoe UI" w:cs="Segoe UI"/>
          <w:lang w:val="en"/>
        </w:rPr>
        <w:t>24. Performance and Scalability</w:t>
      </w:r>
      <w:bookmarkEnd w:id="40"/>
    </w:p>
    <w:p w14:paraId="4D7F5D66"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Performance and scalability claims for the Live Quiz Platform are grounded in what has actually been observed, rather than presented as an unqualified guarantee.</w:t>
      </w:r>
    </w:p>
    <w:p w14:paraId="2A2EFFFA"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has supported </w:t>
      </w:r>
      <w:r>
        <w:rPr>
          <w:rStyle w:val="Strong"/>
          <w:rFonts w:ascii="Segoe UI" w:hAnsi="Segoe UI" w:cs="Segoe UI"/>
          <w:color w:val="1F2933"/>
          <w:sz w:val="21"/>
          <w:szCs w:val="21"/>
          <w:lang w:val="en"/>
        </w:rPr>
        <w:t>more than 100 participants in a single live session in real production use</w:t>
      </w:r>
      <w:r>
        <w:rPr>
          <w:rFonts w:ascii="Segoe UI" w:hAnsi="Segoe UI" w:cs="Segoe UI"/>
          <w:color w:val="1F2933"/>
          <w:sz w:val="21"/>
          <w:szCs w:val="21"/>
          <w:lang w:val="en"/>
        </w:rPr>
        <w:t xml:space="preserve">, as described in Section 12. In addition to this production track record, internal load exercises have separately validated </w:t>
      </w:r>
      <w:r>
        <w:rPr>
          <w:rStyle w:val="Strong"/>
          <w:rFonts w:ascii="Segoe UI" w:hAnsi="Segoe UI" w:cs="Segoe UI"/>
          <w:color w:val="1F2933"/>
          <w:sz w:val="21"/>
          <w:szCs w:val="21"/>
          <w:lang w:val="en"/>
        </w:rPr>
        <w:t>400 concurrent participant joins</w:t>
      </w:r>
      <w:r>
        <w:rPr>
          <w:rFonts w:ascii="Segoe UI" w:hAnsi="Segoe UI" w:cs="Segoe UI"/>
          <w:color w:val="1F2933"/>
          <w:sz w:val="21"/>
          <w:szCs w:val="21"/>
          <w:lang w:val="en"/>
        </w:rPr>
        <w:t xml:space="preserve"> against the production configuration, giving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 tested reference point beyond day-to-day operational use.</w:t>
      </w:r>
    </w:p>
    <w:p w14:paraId="681EDF34"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Beyond these two reference points, the following considerations apply to any deployment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w:t>
      </w:r>
    </w:p>
    <w:p w14:paraId="0365AF60" w14:textId="77777777" w:rsidR="00202328" w:rsidRDefault="00202328">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Final concurrency targets are confirmed during discovery, based on </w:t>
      </w:r>
      <w:r>
        <w:rPr>
          <w:rStyle w:val="Strong"/>
          <w:rFonts w:ascii="Segoe UI" w:eastAsia="Times New Roman" w:hAnsi="Segoe UI" w:cs="Segoe UI"/>
          <w:color w:val="1F2933"/>
          <w:sz w:val="21"/>
          <w:szCs w:val="21"/>
          <w:lang w:val="en"/>
        </w:rPr>
        <w:t>[Concurrent Participants]</w:t>
      </w:r>
      <w:r>
        <w:rPr>
          <w:rFonts w:ascii="Segoe UI" w:eastAsia="Times New Roman" w:hAnsi="Segoe UI" w:cs="Segoe UI"/>
          <w:color w:val="1F2933"/>
          <w:sz w:val="21"/>
          <w:szCs w:val="21"/>
          <w:lang w:val="en"/>
        </w:rPr>
        <w:t>.</w:t>
      </w:r>
    </w:p>
    <w:p w14:paraId="6F05B569" w14:textId="77777777" w:rsidR="00202328" w:rsidRDefault="00202328">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Load testing is recommended ahead of any enterprise deployment with a large expected audience.</w:t>
      </w:r>
    </w:p>
    <w:p w14:paraId="490D7E8C" w14:textId="77777777" w:rsidR="00202328" w:rsidRDefault="00202328">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Cloud scaling and infrastructure sizing are based on the expected usage profile agreed with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w:t>
      </w:r>
    </w:p>
    <w:p w14:paraId="25BC8F03" w14:textId="77777777" w:rsidR="00202328" w:rsidRDefault="00202328">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For on-premises deployments, real-time performance depends on the client's own infrastructure and network configuration.</w:t>
      </w:r>
    </w:p>
    <w:p w14:paraId="4DC72AE0" w14:textId="77777777" w:rsidR="00202328" w:rsidRDefault="00202328">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Real-time functionality requires proper network and server configuration to perform as designed.</w:t>
      </w:r>
    </w:p>
    <w:p w14:paraId="6CC4A379" w14:textId="77777777" w:rsidR="00202328" w:rsidRDefault="00202328">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Performance monitoring may be included as part of the applicable support and maintenance package (see Section 31).</w:t>
      </w:r>
    </w:p>
    <w:p w14:paraId="4EC03977"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Scaling beyond the levels referenced above is planned and validated against concurrency targets confirmed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during discovery, rather than presented as an open-ended capability. Performance at higher concurrency levels than those referenced above should be validated through load testing scoped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specific requirements before a large-scale go-live.</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6D18BB1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696246" w14:textId="77777777" w:rsidR="00202328" w:rsidRDefault="00202328">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FOUR</w:t>
            </w:r>
          </w:p>
          <w:p w14:paraId="48EBDB51" w14:textId="77777777" w:rsidR="00202328" w:rsidRDefault="00202328">
            <w:pPr>
              <w:pStyle w:val="NormalWeb"/>
              <w:rPr>
                <w:rFonts w:ascii="Segoe UI" w:hAnsi="Segoe UI" w:cs="Segoe UI"/>
                <w:b/>
                <w:bCs/>
                <w:color w:val="FFFFFF"/>
                <w:sz w:val="44"/>
                <w:szCs w:val="44"/>
              </w:rPr>
            </w:pPr>
            <w:r>
              <w:rPr>
                <w:rFonts w:ascii="Segoe UI" w:hAnsi="Segoe UI" w:cs="Segoe UI"/>
                <w:b/>
                <w:bCs/>
                <w:color w:val="FFFFFF"/>
                <w:sz w:val="44"/>
                <w:szCs w:val="44"/>
              </w:rPr>
              <w:lastRenderedPageBreak/>
              <w:t>Delivery</w:t>
            </w:r>
          </w:p>
          <w:p w14:paraId="1B497BA2" w14:textId="77777777" w:rsidR="00202328" w:rsidRDefault="00202328">
            <w:pPr>
              <w:pStyle w:val="NormalWeb"/>
              <w:rPr>
                <w:rFonts w:ascii="Segoe UI" w:hAnsi="Segoe UI" w:cs="Segoe UI"/>
                <w:color w:val="1F2933"/>
              </w:rPr>
            </w:pPr>
            <w:r>
              <w:rPr>
                <w:rFonts w:ascii="Segoe UI" w:hAnsi="Segoe UI" w:cs="Segoe UI"/>
                <w:color w:val="1F2933"/>
              </w:rPr>
              <w:t>How Altanfith plans, governs, and delivers the engagement</w:t>
            </w:r>
          </w:p>
        </w:tc>
      </w:tr>
    </w:tbl>
    <w:p w14:paraId="68CE0E89" w14:textId="77777777" w:rsidR="00202328" w:rsidRDefault="00202328">
      <w:pPr>
        <w:pStyle w:val="Heading1"/>
        <w:pageBreakBefore/>
        <w:rPr>
          <w:rFonts w:ascii="Segoe UI" w:eastAsia="Times New Roman" w:hAnsi="Segoe UI" w:cs="Segoe UI"/>
          <w:lang w:val="en"/>
        </w:rPr>
      </w:pPr>
      <w:bookmarkStart w:id="41" w:name="_Toc235449799"/>
      <w:r>
        <w:rPr>
          <w:rFonts w:ascii="Segoe UI" w:eastAsia="Times New Roman" w:hAnsi="Segoe UI" w:cs="Segoe UI"/>
          <w:lang w:val="en"/>
        </w:rPr>
        <w:lastRenderedPageBreak/>
        <w:t>25. Implementation Methodology</w:t>
      </w:r>
      <w:bookmarkEnd w:id="41"/>
    </w:p>
    <w:p w14:paraId="44108BFD"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delivers the Live Quiz Platform through a structured, 17-phase methodology, designed to take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from initial requirements through to a supported, live production system with clear exit criteria at each stage.</w:t>
      </w:r>
    </w:p>
    <w:tbl>
      <w:tblPr>
        <w:tblW w:w="5000" w:type="pct"/>
        <w:tblCellMar>
          <w:top w:w="15" w:type="dxa"/>
          <w:left w:w="15" w:type="dxa"/>
          <w:bottom w:w="15" w:type="dxa"/>
          <w:right w:w="15" w:type="dxa"/>
        </w:tblCellMar>
        <w:tblLook w:val="04A0" w:firstRow="1" w:lastRow="0" w:firstColumn="1" w:lastColumn="0" w:noHBand="0" w:noVBand="1"/>
      </w:tblPr>
      <w:tblGrid>
        <w:gridCol w:w="2347"/>
        <w:gridCol w:w="4785"/>
        <w:gridCol w:w="2487"/>
      </w:tblGrid>
      <w:tr w:rsidR="00000000" w14:paraId="3E4A8D6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9D74A2B"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Phase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345249E"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Purpose &amp; Key Activities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E9AA8CC"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Exit Criteria</w:t>
            </w:r>
          </w:p>
        </w:tc>
      </w:tr>
      <w:tr w:rsidR="00000000" w14:paraId="008E16D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20570E"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 Discovery &amp; Requirements Gathering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B8805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Structured workshops and stakeholder interviews establish functional, branding, and organizational requirements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21462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Documented and agreed requirements</w:t>
            </w:r>
          </w:p>
        </w:tc>
      </w:tr>
      <w:tr w:rsidR="00000000" w14:paraId="5B438C3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0E5479"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2. Technical Assessment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CB8C2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Reviews </w:t>
            </w:r>
            <w:r>
              <w:rPr>
                <w:rStyle w:val="Strong"/>
                <w:rFonts w:ascii="Segoe UI" w:eastAsia="Times New Roman" w:hAnsi="Segoe UI" w:cs="Segoe UI"/>
                <w:color w:val="1F2933"/>
                <w:sz w:val="19"/>
                <w:szCs w:val="19"/>
              </w:rPr>
              <w:t>[Client Infrastructure]</w:t>
            </w:r>
            <w:r>
              <w:rPr>
                <w:rFonts w:ascii="Segoe UI" w:eastAsia="Times New Roman" w:hAnsi="Segoe UI" w:cs="Segoe UI"/>
                <w:color w:val="1F2933"/>
                <w:sz w:val="19"/>
                <w:szCs w:val="19"/>
              </w:rPr>
              <w:t>, network, and hosting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CCDCE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Assessment report; confirmed deployment option</w:t>
            </w:r>
          </w:p>
        </w:tc>
      </w:tr>
      <w:tr w:rsidR="00000000" w14:paraId="474E698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671563"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3. Cybersecurity Review</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AC570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Engages the client's security team on the proposed architecture and controls (Section 20)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9355C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Client-approved security architecture</w:t>
            </w:r>
          </w:p>
        </w:tc>
      </w:tr>
      <w:tr w:rsidR="00000000" w14:paraId="0B0E993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33C075"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4. Solution Design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6AFC8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Translates requirements into a detailed solution design, incl. configuration, branding, and custom/integration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65BCF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Approved solution design document</w:t>
            </w:r>
          </w:p>
        </w:tc>
      </w:tr>
      <w:tr w:rsidR="00000000" w14:paraId="07F9D4D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1770EC"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5. UI &amp; Branding Customization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53E73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Applies the client's logo, color palette, themes, and UI text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D964B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Branded environment reviewed by client</w:t>
            </w:r>
          </w:p>
        </w:tc>
      </w:tr>
      <w:tr w:rsidR="00000000" w14:paraId="655F7BC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6716D9"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6. Configuration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E4350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Configures organizations, departments, user roles, and platform settings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D3689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Configured environment ready for build/test</w:t>
            </w:r>
          </w:p>
        </w:tc>
      </w:tr>
      <w:tr w:rsidR="00000000" w14:paraId="3FE6C35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1BAFB3"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7. Custom Development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3020E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Builds agreed custom features, workflows, or reports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6BCEB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development complete and reviewed</w:t>
            </w:r>
          </w:p>
        </w:tc>
      </w:tr>
      <w:tr w:rsidR="00000000" w14:paraId="7A49A52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E08732"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8. Integration Development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AF518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Builds and configures agreed integrations (Section 23)</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D82D2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Integrations functioning against client systems</w:t>
            </w:r>
          </w:p>
        </w:tc>
      </w:tr>
      <w:tr w:rsidR="00000000" w14:paraId="1B4FE91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50F35F"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9. Internal Testing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95849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Functional and regression testing across the configured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0D53A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Test results reviewed; defects triaged</w:t>
            </w:r>
          </w:p>
        </w:tc>
      </w:tr>
      <w:tr w:rsidR="00000000" w14:paraId="157C7A4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AEF2A5"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10. Security Testing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9FA07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Security-focused testing against the Section 20 controls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DC177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Testing complete; remediation applied</w:t>
            </w:r>
          </w:p>
        </w:tc>
      </w:tr>
      <w:tr w:rsidR="00000000" w14:paraId="4608584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6BFE63"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11. User Acceptance Testing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0AFAD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tests the platform against agreed acceptance criteria (Section 30)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4548D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 sign-off (Milestone M5)</w:t>
            </w:r>
          </w:p>
        </w:tc>
      </w:tr>
      <w:tr w:rsidR="00000000" w14:paraId="0010B3B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2FF635"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12. Data Migration (if required)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053B9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Migrates agreed legacy data into the platform, where in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CC4F7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Migrated data validated against source</w:t>
            </w:r>
          </w:p>
        </w:tc>
      </w:tr>
      <w:tr w:rsidR="00000000" w14:paraId="6A401A3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CB2B28"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13. Deployment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434F6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Deploys the platform to the production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4B3BC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Production environment live and verified</w:t>
            </w:r>
          </w:p>
        </w:tc>
      </w:tr>
      <w:tr w:rsidR="00000000" w14:paraId="6E415F2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3A147C"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14.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30997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quiz-creator, and support-team training (Section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7D0BF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completed; materials handed over</w:t>
            </w:r>
          </w:p>
        </w:tc>
      </w:tr>
      <w:tr w:rsidR="00000000" w14:paraId="56A7E5F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ECDD4B"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15. Go-Live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F27D0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Platform goes live for production use, following successful UAT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B28BB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 checklist completed (Milestone M6)</w:t>
            </w:r>
          </w:p>
        </w:tc>
      </w:tr>
      <w:tr w:rsidR="00000000" w14:paraId="37481D0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2D3A4D"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16. Hypercare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22571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Heightened, close-support monitoring immediately following 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73F34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 completed; no unresolved critical issues</w:t>
            </w:r>
          </w:p>
        </w:tc>
      </w:tr>
      <w:tr w:rsidR="00000000" w14:paraId="3A38B0E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8E0DF9"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17. Transition to Support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BAFC6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Hands the platform from the project team to ongoing support (Section 31)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71A0F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handover complete (Milestone M7)</w:t>
            </w:r>
          </w:p>
        </w:tc>
      </w:tr>
    </w:tbl>
    <w:p w14:paraId="2BE80003" w14:textId="77777777" w:rsidR="00202328" w:rsidRDefault="00202328">
      <w:pPr>
        <w:pStyle w:val="Heading1"/>
        <w:rPr>
          <w:rFonts w:ascii="Segoe UI" w:eastAsia="Times New Roman" w:hAnsi="Segoe UI" w:cs="Segoe UI"/>
          <w:lang w:val="en"/>
        </w:rPr>
      </w:pPr>
      <w:bookmarkStart w:id="42" w:name="_Toc235449800"/>
      <w:r>
        <w:rPr>
          <w:rFonts w:ascii="Segoe UI" w:eastAsia="Times New Roman" w:hAnsi="Segoe UI" w:cs="Segoe UI"/>
          <w:lang w:val="en"/>
        </w:rPr>
        <w:t>26. Project Timeline</w:t>
      </w:r>
      <w:bookmarkEnd w:id="42"/>
    </w:p>
    <w:p w14:paraId="7E55485B"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The table below presents a sample timeline of 6–12 weeks, mapped against the phases described in Section 25.</w:t>
      </w:r>
    </w:p>
    <w:tbl>
      <w:tblPr>
        <w:tblW w:w="5000" w:type="pct"/>
        <w:tblCellMar>
          <w:top w:w="15" w:type="dxa"/>
          <w:left w:w="15" w:type="dxa"/>
          <w:bottom w:w="15" w:type="dxa"/>
          <w:right w:w="15" w:type="dxa"/>
        </w:tblCellMar>
        <w:tblLook w:val="04A0" w:firstRow="1" w:lastRow="0" w:firstColumn="1" w:lastColumn="0" w:noHBand="0" w:noVBand="1"/>
      </w:tblPr>
      <w:tblGrid>
        <w:gridCol w:w="1105"/>
        <w:gridCol w:w="8514"/>
      </w:tblGrid>
      <w:tr w:rsidR="00000000" w14:paraId="38EF6FC0"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8C5C006"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Weeks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5646E7C"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Phases</w:t>
            </w:r>
          </w:p>
        </w:tc>
      </w:tr>
      <w:tr w:rsidR="00000000" w14:paraId="22FDF97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9EF76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85543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Discovery &amp; </w:t>
            </w:r>
            <w:r>
              <w:rPr>
                <w:rFonts w:ascii="Segoe UI" w:eastAsia="Times New Roman" w:hAnsi="Segoe UI" w:cs="Segoe UI"/>
                <w:color w:val="1F2933"/>
                <w:sz w:val="19"/>
                <w:szCs w:val="19"/>
              </w:rPr>
              <w:t>Requirements Gathering; Technical Assessment; Cybersecurity Review</w:t>
            </w:r>
          </w:p>
        </w:tc>
      </w:tr>
      <w:tr w:rsidR="00000000" w14:paraId="302292B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56FD9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W2–4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84BD47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Solution Design; UI &amp; Branding Customization</w:t>
            </w:r>
          </w:p>
        </w:tc>
      </w:tr>
      <w:tr w:rsidR="00000000" w14:paraId="41CF735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62C31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W3–7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E2BF3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Configuration; Custom Development; Integration Development</w:t>
            </w:r>
          </w:p>
        </w:tc>
      </w:tr>
      <w:tr w:rsidR="00000000" w14:paraId="3E0AE24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894EF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W7–9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A80D1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Testing; Security Testing; User Acceptance Testing</w:t>
            </w:r>
          </w:p>
        </w:tc>
      </w:tr>
      <w:tr w:rsidR="00000000" w14:paraId="47BF671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979D1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W9–10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72CA1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Deployment; Training</w:t>
            </w:r>
          </w:p>
        </w:tc>
      </w:tr>
      <w:tr w:rsidR="00000000" w14:paraId="2E53622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E2A09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W10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36B1E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w:t>
            </w:r>
          </w:p>
        </w:tc>
      </w:tr>
      <w:tr w:rsidR="00000000" w14:paraId="7F21588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E9425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W10–12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A2EB1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 Transition to Support</w:t>
            </w:r>
          </w:p>
        </w:tc>
      </w:tr>
    </w:tbl>
    <w:p w14:paraId="3D4EDD7C" w14:textId="77777777" w:rsidR="00202328" w:rsidRDefault="00202328">
      <w:pPr>
        <w:pStyle w:val="Heading2"/>
        <w:rPr>
          <w:rFonts w:ascii="Segoe UI" w:eastAsia="Times New Roman" w:hAnsi="Segoe UI" w:cs="Segoe UI"/>
          <w:lang w:val="en"/>
        </w:rPr>
      </w:pPr>
      <w:bookmarkStart w:id="43" w:name="_Toc235449801"/>
      <w:r>
        <w:rPr>
          <w:rFonts w:ascii="Segoe UI" w:eastAsia="Times New Roman" w:hAnsi="Segoe UI" w:cs="Segoe UI"/>
          <w:lang w:val="en"/>
        </w:rPr>
        <w:t>26.1 Milestones</w:t>
      </w:r>
      <w:bookmarkEnd w:id="43"/>
    </w:p>
    <w:tbl>
      <w:tblPr>
        <w:tblW w:w="5000" w:type="pct"/>
        <w:tblCellMar>
          <w:top w:w="15" w:type="dxa"/>
          <w:left w:w="15" w:type="dxa"/>
          <w:bottom w:w="15" w:type="dxa"/>
          <w:right w:w="15" w:type="dxa"/>
        </w:tblCellMar>
        <w:tblLook w:val="04A0" w:firstRow="1" w:lastRow="0" w:firstColumn="1" w:lastColumn="0" w:noHBand="0" w:noVBand="1"/>
      </w:tblPr>
      <w:tblGrid>
        <w:gridCol w:w="1125"/>
        <w:gridCol w:w="3063"/>
        <w:gridCol w:w="1932"/>
        <w:gridCol w:w="3499"/>
      </w:tblGrid>
      <w:tr w:rsidR="00000000" w14:paraId="72684D2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593A3CF"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Milestone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BFFF3CB"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538AA69"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Indicative Completion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9EE34B1"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Sign-off by</w:t>
            </w:r>
          </w:p>
        </w:tc>
      </w:tr>
      <w:tr w:rsidR="00000000" w14:paraId="44ED779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63DB3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DE442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Requirements sign-off</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EA086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50342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w:t>
            </w:r>
          </w:p>
        </w:tc>
      </w:tr>
      <w:tr w:rsidR="00000000" w14:paraId="4CACF09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1190E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M2</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F0DED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Solution design approval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A1875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D104A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w:t>
            </w:r>
          </w:p>
        </w:tc>
      </w:tr>
      <w:tr w:rsidR="00000000" w14:paraId="7EA5BE3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9663A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M3</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7A3AF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Configured &amp; branded environment ready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33DC4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96A0D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Project Manager</w:t>
            </w:r>
          </w:p>
        </w:tc>
      </w:tr>
      <w:tr w:rsidR="00000000" w14:paraId="43D6CB6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7EF07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DCC15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Integrations complete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F280A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W7</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3E29C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Technical Lead</w:t>
            </w:r>
          </w:p>
        </w:tc>
      </w:tr>
      <w:tr w:rsidR="00000000" w14:paraId="6318671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4538A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M5</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9A640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 sign-off</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FB93A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W9</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5CD30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w:t>
            </w:r>
          </w:p>
        </w:tc>
      </w:tr>
      <w:tr w:rsidR="00000000" w14:paraId="1967438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37DC5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M6</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0D8AB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8E76E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74442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Project Sponsor</w:t>
            </w:r>
          </w:p>
        </w:tc>
      </w:tr>
      <w:tr w:rsidR="00000000" w14:paraId="109AA3E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96E7E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4AD8B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 exit / support handover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69AC5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06669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 &amp; Altanfith Project Manager</w:t>
            </w:r>
          </w:p>
        </w:tc>
      </w:tr>
    </w:tbl>
    <w:p w14:paraId="178E5765" w14:textId="77777777" w:rsidR="00202328" w:rsidRDefault="00202328">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This timeline is indicative only. The actual project timeline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depends on the final agreed scope, the number and complexity of integrations, and the timeliness of client approvals at each milestone.</w:t>
      </w:r>
    </w:p>
    <w:p w14:paraId="4ABB7E99" w14:textId="77777777" w:rsidR="00202328" w:rsidRDefault="00202328">
      <w:pPr>
        <w:pStyle w:val="Heading1"/>
        <w:rPr>
          <w:rFonts w:ascii="Segoe UI" w:eastAsia="Times New Roman" w:hAnsi="Segoe UI" w:cs="Segoe UI"/>
          <w:lang w:val="en"/>
        </w:rPr>
      </w:pPr>
      <w:bookmarkStart w:id="44" w:name="_Toc235449802"/>
      <w:r>
        <w:rPr>
          <w:rFonts w:ascii="Segoe UI" w:eastAsia="Times New Roman" w:hAnsi="Segoe UI" w:cs="Segoe UI"/>
          <w:lang w:val="en"/>
        </w:rPr>
        <w:t>27. Project Governance</w:t>
      </w:r>
      <w:bookmarkEnd w:id="44"/>
    </w:p>
    <w:p w14:paraId="15F4911D"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The engagement is governed through a clearly defined set of roles and a regular reporting cadence, so that progress, issues, and decisions are visible to both parties throughout delivery.</w:t>
      </w:r>
    </w:p>
    <w:tbl>
      <w:tblPr>
        <w:tblW w:w="5000" w:type="pct"/>
        <w:tblCellMar>
          <w:top w:w="15" w:type="dxa"/>
          <w:left w:w="15" w:type="dxa"/>
          <w:bottom w:w="15" w:type="dxa"/>
          <w:right w:w="15" w:type="dxa"/>
        </w:tblCellMar>
        <w:tblLook w:val="04A0" w:firstRow="1" w:lastRow="0" w:firstColumn="1" w:lastColumn="0" w:noHBand="0" w:noVBand="1"/>
      </w:tblPr>
      <w:tblGrid>
        <w:gridCol w:w="3026"/>
        <w:gridCol w:w="6593"/>
      </w:tblGrid>
      <w:tr w:rsidR="00000000" w14:paraId="1951323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26FCB84"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Role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5DF79D1"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Responsibility</w:t>
            </w:r>
          </w:p>
        </w:tc>
      </w:tr>
      <w:tr w:rsidR="00000000" w14:paraId="685CFEA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0092B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Project Sponsor (client)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0A5B4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Owns the business case and provides executive-level decisions and escalation support</w:t>
            </w:r>
          </w:p>
        </w:tc>
      </w:tr>
      <w:tr w:rsidR="00000000" w14:paraId="4B155F6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A2EFB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Client Project Manager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D21FA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Coordinates client-side stakeholders, approvals, and resourcing</w:t>
            </w:r>
          </w:p>
        </w:tc>
      </w:tr>
      <w:tr w:rsidR="00000000" w14:paraId="78A8CF2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F8BC9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Project Manager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66E69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Coordinates delivery, reporting, and issue/risk management on behalf of Altanfith</w:t>
            </w:r>
          </w:p>
        </w:tc>
      </w:tr>
      <w:tr w:rsidR="00000000" w14:paraId="5E109B2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1FC9A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Technical Lead (Altanfith)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881EC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Owns technical design, development, and integration decisions</w:t>
            </w:r>
          </w:p>
        </w:tc>
      </w:tr>
      <w:tr w:rsidR="00000000" w14:paraId="7BE4D62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1D9E4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Cybersecurity Representative (client)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4E176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Reviews and approves the security architecture and controls</w:t>
            </w:r>
          </w:p>
        </w:tc>
      </w:tr>
      <w:tr w:rsidR="00000000" w14:paraId="70E6A7E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F8B38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Business Owner (client)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0BB9E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Confirms functional requirements and acceptance criteria on behalf of the business</w:t>
            </w:r>
          </w:p>
        </w:tc>
      </w:tr>
    </w:tbl>
    <w:p w14:paraId="5BC54255"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Governance is supported by a consistent set of cadence and mechanics: weekly status meetings; regular progress reporting; a maintained issue log and risk log; a formal change-request management process for scope changes; an escalation process running from project manager to project sponsors; and a documented sign-off process at each milestone described in Section 26.</w:t>
      </w:r>
    </w:p>
    <w:p w14:paraId="398E8DDF" w14:textId="77777777" w:rsidR="00202328" w:rsidRDefault="00202328">
      <w:pPr>
        <w:pStyle w:val="Heading1"/>
        <w:rPr>
          <w:rFonts w:ascii="Segoe UI" w:eastAsia="Times New Roman" w:hAnsi="Segoe UI" w:cs="Segoe UI"/>
          <w:lang w:val="en"/>
        </w:rPr>
      </w:pPr>
      <w:bookmarkStart w:id="45" w:name="_Toc235449803"/>
      <w:r>
        <w:rPr>
          <w:rFonts w:ascii="Segoe UI" w:eastAsia="Times New Roman" w:hAnsi="Segoe UI" w:cs="Segoe UI"/>
          <w:lang w:val="en"/>
        </w:rPr>
        <w:t>28. Deliverables</w:t>
      </w:r>
      <w:bookmarkEnd w:id="45"/>
    </w:p>
    <w:p w14:paraId="2CE5796E"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The table below lists the deliverables produced over the course of the engagement.</w:t>
      </w:r>
    </w:p>
    <w:tbl>
      <w:tblPr>
        <w:tblW w:w="5000" w:type="pct"/>
        <w:tblCellMar>
          <w:top w:w="15" w:type="dxa"/>
          <w:left w:w="15" w:type="dxa"/>
          <w:bottom w:w="15" w:type="dxa"/>
          <w:right w:w="15" w:type="dxa"/>
        </w:tblCellMar>
        <w:tblLook w:val="04A0" w:firstRow="1" w:lastRow="0" w:firstColumn="1" w:lastColumn="0" w:noHBand="0" w:noVBand="1"/>
      </w:tblPr>
      <w:tblGrid>
        <w:gridCol w:w="2186"/>
        <w:gridCol w:w="4719"/>
        <w:gridCol w:w="2714"/>
      </w:tblGrid>
      <w:tr w:rsidR="00000000" w14:paraId="2E86E0A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A704D7E"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Deliverable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159E77D"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112850C"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Included?</w:t>
            </w:r>
          </w:p>
        </w:tc>
      </w:tr>
      <w:tr w:rsidR="00000000" w14:paraId="66BC6A4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64F82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Requirements document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8FC9D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Documented, agreed functional and non-functional requirements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3E9A90"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098B2C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45988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Solution design document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F96D7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Detailed design of the configured and/or customized solution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E9B385"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14FAD8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0E943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Configured platform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58F6B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platform configured per the agreed solution design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FDCA88"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84E973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C00F7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Customized UI</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1F489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Branding and UI customization applied per Section 25, Phase 5</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3181D5"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06F9B2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0B830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Deployed frontend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AE74E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React frontend deployed to the agreed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C818E3"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EC47F4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A0D79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Deployed Express backend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7C091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Express.js API and WebSocket server deployed to the agreed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75582D"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8D3347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52B05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Database setup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43B74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Database configured and provisioned per the solution design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DABEB5"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34B649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91A0A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Security configuration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CD59E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Security controls configured per the client-approved security architecture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FE929D"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6820049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5E6FE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roles configured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F817E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 configured per the agreed role model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BB00F1"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F56E47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F5C725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account setup</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9A4B0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Initial administrator accounts provisioned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3CBE22"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B9363B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88437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91CF1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and analytics configured per Section 16</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C2F73C"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C5FF5C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65D9D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material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63164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Materials used in the training described in Section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5B51DA"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E17775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64CE7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manual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51E97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End-user reference documentation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76A7FD"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145B8F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4B1E8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manual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DFD30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reference documentation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EB06CAB"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9557D4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D56AD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Deployment guide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7194A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Documentation of the deployed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608184"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7768BE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B4860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Backup guide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85B37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Documentation of backup procedures for the deployed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420995"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8C882E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E29AB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handover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55A74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Formal handover to the ongoing support team (Phase 17)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FE6DD6"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CADFD3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53DCA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 plan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448D4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Agreed User Acceptance Testing plan and criteria (Section 30)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EC560C"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ED51EB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D85F0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Test report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C1876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Summary of internal, security, and acceptance testing outcomes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742C52"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925AFA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08B6B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 checklist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56489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Checklist confirming readiness for production 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2BDF62" w14:textId="77777777" w:rsidR="00202328" w:rsidRDefault="00202328">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D68D56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D09FF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Source code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94A73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Provided only where included in the selected commercial model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DF811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Only if included in the commercial model</w:t>
            </w:r>
          </w:p>
        </w:tc>
      </w:tr>
      <w:tr w:rsidR="00000000" w14:paraId="29FE547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CECBA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 documentation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6757E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Provided where included in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A30B8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If included</w:t>
            </w:r>
          </w:p>
        </w:tc>
      </w:tr>
    </w:tbl>
    <w:p w14:paraId="1CFB674C" w14:textId="77777777" w:rsidR="00202328" w:rsidRDefault="00202328">
      <w:pPr>
        <w:pStyle w:val="Heading1"/>
        <w:rPr>
          <w:rFonts w:ascii="Segoe UI" w:eastAsia="Times New Roman" w:hAnsi="Segoe UI" w:cs="Segoe UI"/>
          <w:lang w:val="en"/>
        </w:rPr>
      </w:pPr>
      <w:bookmarkStart w:id="46" w:name="_Toc235449804"/>
      <w:r>
        <w:rPr>
          <w:rFonts w:ascii="Segoe UI" w:eastAsia="Times New Roman" w:hAnsi="Segoe UI" w:cs="Segoe UI"/>
          <w:lang w:val="en"/>
        </w:rPr>
        <w:t>29. Training and Knowledge Transfer</w:t>
      </w:r>
      <w:bookmarkEnd w:id="46"/>
    </w:p>
    <w:p w14:paraId="73B69111"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Training is provided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own team can operate, administer, and support the platform confidently after go-live.</w:t>
      </w:r>
    </w:p>
    <w:tbl>
      <w:tblPr>
        <w:tblW w:w="5000" w:type="pct"/>
        <w:tblCellMar>
          <w:top w:w="15" w:type="dxa"/>
          <w:left w:w="15" w:type="dxa"/>
          <w:bottom w:w="15" w:type="dxa"/>
          <w:right w:w="15" w:type="dxa"/>
        </w:tblCellMar>
        <w:tblLook w:val="04A0" w:firstRow="1" w:lastRow="0" w:firstColumn="1" w:lastColumn="0" w:noHBand="0" w:noVBand="1"/>
      </w:tblPr>
      <w:tblGrid>
        <w:gridCol w:w="2984"/>
        <w:gridCol w:w="5617"/>
        <w:gridCol w:w="1018"/>
      </w:tblGrid>
      <w:tr w:rsidR="00000000" w14:paraId="6EA0723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DE83DCD"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Training Item</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197A86F"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2255E54"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40AF927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4B711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training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3D811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for administrators on platform configuration and management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8E99CF"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3E3F0E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9280E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Quiz-creator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66DA3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for staff authoring quizzes and question banks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CDEC02"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8C1EDF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9CADC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Support-team training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C43E9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for the client's internal support or IT team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A19AF1"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E5E66D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D2CB1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manuals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C6DBB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Reference documentation for end users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E806EB"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AD1AE0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9C67E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Quick-start guide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49DC6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Condensed getting-started reference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9A62EC" w14:textId="77777777" w:rsidR="00202328" w:rsidRDefault="00202328">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F03C7F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0F436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Recorded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98901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Recorded training sessions for later reference or onboarding new staff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DDAB5C" w14:textId="77777777" w:rsidR="00202328" w:rsidRDefault="00202328">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127B1CA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1ACC4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Train-the-trainer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1ADA0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Enables client-side trainers to deliver ongoing internal training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2B9836" w14:textId="77777777" w:rsidR="00202328" w:rsidRDefault="00202328">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383F5E1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806B54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Arabic and English training material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65BF6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Bilingual training material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6DE036" w14:textId="77777777" w:rsidR="00202328" w:rsidRDefault="00202328">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720A9151" w14:textId="77777777" w:rsidR="00202328" w:rsidRDefault="00202328">
      <w:pPr>
        <w:pStyle w:val="Heading1"/>
        <w:rPr>
          <w:rFonts w:ascii="Segoe UI" w:eastAsia="Times New Roman" w:hAnsi="Segoe UI" w:cs="Segoe UI"/>
          <w:lang w:val="en"/>
        </w:rPr>
      </w:pPr>
      <w:bookmarkStart w:id="47" w:name="_Toc235449805"/>
      <w:r>
        <w:rPr>
          <w:rFonts w:ascii="Segoe UI" w:eastAsia="Times New Roman" w:hAnsi="Segoe UI" w:cs="Segoe UI"/>
          <w:lang w:val="en"/>
        </w:rPr>
        <w:t>30. Testing and Acceptance</w:t>
      </w:r>
      <w:bookmarkEnd w:id="47"/>
    </w:p>
    <w:p w14:paraId="1A75CA43"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passes through three layers of testing before it is accepted for production go-live. Altanfith performs internal functional and regression testing (Phase 9) across the configured environment, followed by security-focused testing (Phase 10) against the controls described in Section 20, ahead of client security review and sign-off. User Acceptance Testing (Phase 11) is then carried out </w:t>
      </w:r>
      <w:r>
        <w:rPr>
          <w:rFonts w:ascii="Segoe UI" w:hAnsi="Segoe UI" w:cs="Segoe UI"/>
          <w:color w:val="1F2933"/>
          <w:sz w:val="21"/>
          <w:szCs w:val="21"/>
          <w:lang w:val="en"/>
        </w:rPr>
        <w:lastRenderedPageBreak/>
        <w:t xml:space="preserve">against a client-approved UAT plan and agreed acceptance criteria,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 not Altanfith alone — confirms that the configured platform meets its requirements before go-live.</w:t>
      </w:r>
    </w:p>
    <w:p w14:paraId="33DD2D4E"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Any defects identified during internal, security, or acceptance testing are triaged using the same four-level severity model used for support (Section 32): Critical, High, Medium, and Low. UAT sign-off is Milestone M5 in the project timeline (Section 26), and it gates go-live: production rollout depends on successful UAT.</w:t>
      </w:r>
    </w:p>
    <w:p w14:paraId="471FCF52" w14:textId="77777777" w:rsidR="00202328" w:rsidRDefault="00202328">
      <w:pPr>
        <w:pStyle w:val="Heading1"/>
        <w:rPr>
          <w:rFonts w:ascii="Segoe UI" w:eastAsia="Times New Roman" w:hAnsi="Segoe UI" w:cs="Segoe UI"/>
          <w:lang w:val="en"/>
        </w:rPr>
      </w:pPr>
      <w:bookmarkStart w:id="48" w:name="_Toc235449806"/>
      <w:r>
        <w:rPr>
          <w:rFonts w:ascii="Segoe UI" w:eastAsia="Times New Roman" w:hAnsi="Segoe UI" w:cs="Segoe UI"/>
          <w:lang w:val="en"/>
        </w:rPr>
        <w:t>31. Support and Maintenance</w:t>
      </w:r>
      <w:bookmarkEnd w:id="48"/>
    </w:p>
    <w:p w14:paraId="2A61494B"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Ongoing support is delivered under one of three packages,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select the level of coverage and responsiveness that matches its operational needs.</w:t>
      </w:r>
    </w:p>
    <w:tbl>
      <w:tblPr>
        <w:tblW w:w="5000" w:type="pct"/>
        <w:tblCellMar>
          <w:top w:w="15" w:type="dxa"/>
          <w:left w:w="15" w:type="dxa"/>
          <w:bottom w:w="15" w:type="dxa"/>
          <w:right w:w="15" w:type="dxa"/>
        </w:tblCellMar>
        <w:tblLook w:val="04A0" w:firstRow="1" w:lastRow="0" w:firstColumn="1" w:lastColumn="0" w:noHBand="0" w:noVBand="1"/>
      </w:tblPr>
      <w:tblGrid>
        <w:gridCol w:w="980"/>
        <w:gridCol w:w="8639"/>
      </w:tblGrid>
      <w:tr w:rsidR="00000000" w14:paraId="5D64F0B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145872D"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Package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35FCDC0"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Includes</w:t>
            </w:r>
          </w:p>
        </w:tc>
      </w:tr>
      <w:tr w:rsidR="00000000" w14:paraId="223B02A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73EF55"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Bronze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B1489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Oman business-hours support; email support; bug fixes; standard updates; best-effort response</w:t>
            </w:r>
          </w:p>
        </w:tc>
      </w:tr>
      <w:tr w:rsidR="00000000" w14:paraId="4200CCD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E292AB"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Silver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21929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Everything in Bronze, plus: priority support; faster response times; monthly system health review; performance optimization; minor improvements; remote assistance</w:t>
            </w:r>
          </w:p>
        </w:tc>
      </w:tr>
      <w:tr w:rsidR="00000000" w14:paraId="690D117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BE6FB4"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Gold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D016F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Everything in Silver, plus: critical incident support; dedicated support contact; priority issue resolution; proactive monitoring; security monitoring; quarterly service review; emergency support; 24/7 support (</w:t>
            </w:r>
            <w:r>
              <w:rPr>
                <w:rStyle w:val="badge-opt1"/>
                <w:rFonts w:ascii="Segoe UI" w:eastAsia="Times New Roman" w:hAnsi="Segoe UI" w:cs="Segoe UI"/>
                <w:sz w:val="19"/>
                <w:szCs w:val="19"/>
              </w:rPr>
              <w:t>Optional</w:t>
            </w:r>
            <w:r>
              <w:rPr>
                <w:rFonts w:ascii="Segoe UI" w:eastAsia="Times New Roman" w:hAnsi="Segoe UI" w:cs="Segoe UI"/>
                <w:color w:val="1F2933"/>
                <w:sz w:val="19"/>
                <w:szCs w:val="19"/>
              </w:rPr>
              <w:t>); dedicated development allocation (</w:t>
            </w:r>
            <w:r>
              <w:rPr>
                <w:rStyle w:val="badge-opt1"/>
                <w:rFonts w:ascii="Segoe UI" w:eastAsia="Times New Roman" w:hAnsi="Segoe UI" w:cs="Segoe UI"/>
                <w:sz w:val="19"/>
                <w:szCs w:val="19"/>
              </w:rPr>
              <w:t>Optional</w:t>
            </w:r>
            <w:r>
              <w:rPr>
                <w:rFonts w:ascii="Segoe UI" w:eastAsia="Times New Roman" w:hAnsi="Segoe UI" w:cs="Segoe UI"/>
                <w:color w:val="1F2933"/>
                <w:sz w:val="19"/>
                <w:szCs w:val="19"/>
              </w:rPr>
              <w:t>)</w:t>
            </w:r>
          </w:p>
        </w:tc>
      </w:tr>
    </w:tbl>
    <w:p w14:paraId="3564BE81" w14:textId="77777777" w:rsidR="00202328" w:rsidRDefault="00202328">
      <w:pPr>
        <w:pStyle w:val="Heading1"/>
        <w:rPr>
          <w:rFonts w:ascii="Segoe UI" w:eastAsia="Times New Roman" w:hAnsi="Segoe UI" w:cs="Segoe UI"/>
          <w:lang w:val="en"/>
        </w:rPr>
      </w:pPr>
      <w:bookmarkStart w:id="49" w:name="_Toc235449807"/>
      <w:r>
        <w:rPr>
          <w:rFonts w:ascii="Segoe UI" w:eastAsia="Times New Roman" w:hAnsi="Segoe UI" w:cs="Segoe UI"/>
          <w:lang w:val="en"/>
        </w:rPr>
        <w:t>32. SLA</w:t>
      </w:r>
      <w:bookmarkEnd w:id="49"/>
    </w:p>
    <w:p w14:paraId="74ED2963"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Service levels are defined by severity, with response time and target resolution time tracked as two separate measures — response confirms that an issue has been received and is being actioned; resolution is the target time to resolve it, and is not a guarantee.</w:t>
      </w:r>
    </w:p>
    <w:tbl>
      <w:tblPr>
        <w:tblW w:w="5000" w:type="pct"/>
        <w:tblCellMar>
          <w:top w:w="15" w:type="dxa"/>
          <w:left w:w="15" w:type="dxa"/>
          <w:bottom w:w="15" w:type="dxa"/>
          <w:right w:w="15" w:type="dxa"/>
        </w:tblCellMar>
        <w:tblLook w:val="04A0" w:firstRow="1" w:lastRow="0" w:firstColumn="1" w:lastColumn="0" w:noHBand="0" w:noVBand="1"/>
      </w:tblPr>
      <w:tblGrid>
        <w:gridCol w:w="1330"/>
        <w:gridCol w:w="4271"/>
        <w:gridCol w:w="1711"/>
        <w:gridCol w:w="2307"/>
      </w:tblGrid>
      <w:tr w:rsidR="00000000" w14:paraId="24FCC8F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959A297"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Severity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EBF5CCA"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Definition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E57745E"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Response Time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C1822D2"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Target Resolution Time</w:t>
            </w:r>
          </w:p>
        </w:tc>
      </w:tr>
      <w:tr w:rsidR="00000000" w14:paraId="6AE82A8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B6EDD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 Critical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D04FB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Platform down / live session blocked for all users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8DFE4F"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6201B4"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r w:rsidR="00000000" w14:paraId="2512B32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B4A2E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 High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DB8AA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Major function degraded, no workaround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633515"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F84F9A"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r w:rsidR="00000000" w14:paraId="792A732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6F510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 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8386E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Limited impact, workaround exists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DB2934"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C88F34"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r w:rsidR="00000000" w14:paraId="5F41411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90F1B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4 — Low</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95E33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Cosmetic / question / minor request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3A271F"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FB92F3"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bl>
    <w:p w14:paraId="656A7D12" w14:textId="77777777" w:rsidR="00202328" w:rsidRDefault="00202328">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Response and target resolution times are separate measures: response time confirms an issue has been received and triaged; target resolution time is a goal, dependent on the agreed SLA, and is not a guaranteed outcome. Actual values depend on the support package selected (Section 31) and the SLA agreed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24/7 coverage applies only where the Gold 24/7 option has been purchased.</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0311D51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4D0F74" w14:textId="77777777" w:rsidR="00202328" w:rsidRDefault="00202328">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FIVE</w:t>
            </w:r>
          </w:p>
          <w:p w14:paraId="4456AEE8" w14:textId="77777777" w:rsidR="00202328" w:rsidRDefault="00202328">
            <w:pPr>
              <w:pStyle w:val="NormalWeb"/>
              <w:rPr>
                <w:rFonts w:ascii="Segoe UI" w:hAnsi="Segoe UI" w:cs="Segoe UI"/>
                <w:b/>
                <w:bCs/>
                <w:color w:val="FFFFFF"/>
                <w:sz w:val="44"/>
                <w:szCs w:val="44"/>
              </w:rPr>
            </w:pPr>
            <w:r>
              <w:rPr>
                <w:rFonts w:ascii="Segoe UI" w:hAnsi="Segoe UI" w:cs="Segoe UI"/>
                <w:b/>
                <w:bCs/>
                <w:color w:val="FFFFFF"/>
                <w:sz w:val="44"/>
                <w:szCs w:val="44"/>
              </w:rPr>
              <w:t>Commercial &amp; Legal Terms</w:t>
            </w:r>
          </w:p>
          <w:p w14:paraId="4C80C4FC" w14:textId="77777777" w:rsidR="00202328" w:rsidRDefault="00202328">
            <w:pPr>
              <w:pStyle w:val="NormalWeb"/>
              <w:rPr>
                <w:rFonts w:ascii="Segoe UI" w:hAnsi="Segoe UI" w:cs="Segoe UI"/>
                <w:color w:val="1F2933"/>
              </w:rPr>
            </w:pPr>
            <w:r>
              <w:rPr>
                <w:rFonts w:ascii="Segoe UI" w:hAnsi="Segoe UI" w:cs="Segoe UI"/>
                <w:color w:val="1F2933"/>
              </w:rPr>
              <w:t xml:space="preserve">Pricing models, terms, and the path to a signed agreement with </w:t>
            </w:r>
            <w:r>
              <w:rPr>
                <w:rStyle w:val="Strong"/>
                <w:rFonts w:ascii="Segoe UI" w:hAnsi="Segoe UI" w:cs="Segoe UI"/>
                <w:color w:val="1F2933"/>
              </w:rPr>
              <w:t>[Client Name]</w:t>
            </w:r>
          </w:p>
        </w:tc>
      </w:tr>
    </w:tbl>
    <w:p w14:paraId="5E276E4C" w14:textId="77777777" w:rsidR="00202328" w:rsidRDefault="00202328">
      <w:pPr>
        <w:pStyle w:val="Heading1"/>
        <w:pageBreakBefore/>
        <w:rPr>
          <w:rFonts w:ascii="Segoe UI" w:eastAsia="Times New Roman" w:hAnsi="Segoe UI" w:cs="Segoe UI"/>
          <w:lang w:val="en"/>
        </w:rPr>
      </w:pPr>
      <w:bookmarkStart w:id="50" w:name="_Toc235449808"/>
      <w:r>
        <w:rPr>
          <w:rFonts w:ascii="Segoe UI" w:eastAsia="Times New Roman" w:hAnsi="Segoe UI" w:cs="Segoe UI"/>
          <w:lang w:val="en"/>
        </w:rPr>
        <w:lastRenderedPageBreak/>
        <w:t>33. Commercial Models</w:t>
      </w:r>
      <w:bookmarkEnd w:id="50"/>
    </w:p>
    <w:p w14:paraId="29BF4F40"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is offered under three distinct commercial models,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select the ownership, cost, and delivery structure that best fits its procurement approach. All figures shown in this and the following section are editable placeholders; final pricing is confirmed after the discovery phase described in Section 25.</w:t>
      </w:r>
    </w:p>
    <w:p w14:paraId="2B501B79" w14:textId="77777777" w:rsidR="00202328" w:rsidRDefault="00202328">
      <w:pPr>
        <w:pStyle w:val="Heading2"/>
        <w:rPr>
          <w:rFonts w:ascii="Segoe UI" w:eastAsia="Times New Roman" w:hAnsi="Segoe UI" w:cs="Segoe UI"/>
          <w:lang w:val="en"/>
        </w:rPr>
      </w:pPr>
      <w:bookmarkStart w:id="51" w:name="_Toc235449809"/>
      <w:r>
        <w:rPr>
          <w:rFonts w:ascii="Segoe UI" w:eastAsia="Times New Roman" w:hAnsi="Segoe UI" w:cs="Segoe UI"/>
          <w:lang w:val="en"/>
        </w:rPr>
        <w:t>33.1 Model A — Annual SaaS Subscription</w:t>
      </w:r>
      <w:bookmarkEnd w:id="51"/>
    </w:p>
    <w:p w14:paraId="3B3AC6E7"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An annual, subscription-based model in which Altanfith hosts and operates the platform on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behalf. Includes: annual license; cloud hosting; maintenance; security updates; backup; monitoring; support; standard upgrades; an agreed number of users and sessions; an AI usage allowance, with optional overage pricing; customization priced separately from the base subscription.</w:t>
      </w:r>
    </w:p>
    <w:p w14:paraId="58ED4C81" w14:textId="77777777" w:rsidR="00202328" w:rsidRDefault="00202328">
      <w:pPr>
        <w:pStyle w:val="Heading2"/>
        <w:rPr>
          <w:rFonts w:ascii="Segoe UI" w:eastAsia="Times New Roman" w:hAnsi="Segoe UI" w:cs="Segoe UI"/>
          <w:lang w:val="en"/>
        </w:rPr>
      </w:pPr>
      <w:bookmarkStart w:id="52" w:name="_Toc235449810"/>
      <w:r>
        <w:rPr>
          <w:rFonts w:ascii="Segoe UI" w:eastAsia="Times New Roman" w:hAnsi="Segoe UI" w:cs="Segoe UI"/>
          <w:lang w:val="en"/>
        </w:rPr>
        <w:t>33.2 Model B — Perpetual License / One-Time Purchase</w:t>
      </w:r>
      <w:bookmarkEnd w:id="52"/>
    </w:p>
    <w:p w14:paraId="229CE0BC"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 one-time purchase model suited to organizations that prefer to own the software outright. Includes: one-time software license; deployment; initial configuration; training; documentation; an optional source-code license; optional source-code ownership; optional annual maintenance, recommended at </w:t>
      </w:r>
      <w:r>
        <w:rPr>
          <w:rStyle w:val="Strong"/>
          <w:rFonts w:ascii="Segoe UI" w:hAnsi="Segoe UI" w:cs="Segoe UI"/>
          <w:color w:val="1F2933"/>
          <w:sz w:val="21"/>
          <w:szCs w:val="21"/>
          <w:lang w:val="en"/>
        </w:rPr>
        <w:t>[TBC]%</w:t>
      </w:r>
      <w:r>
        <w:rPr>
          <w:rFonts w:ascii="Segoe UI" w:hAnsi="Segoe UI" w:cs="Segoe UI"/>
          <w:color w:val="1F2933"/>
          <w:sz w:val="21"/>
          <w:szCs w:val="21"/>
          <w:lang w:val="en"/>
        </w:rPr>
        <w:t xml:space="preserve"> of software value, payable annually in advance. Major new features are excluded unless separately agreed, and infrastructure costs are excluded unless explicitly listed in the quotation.</w:t>
      </w:r>
    </w:p>
    <w:p w14:paraId="7766470A" w14:textId="77777777" w:rsidR="00202328" w:rsidRDefault="00202328">
      <w:pPr>
        <w:pStyle w:val="Heading2"/>
        <w:rPr>
          <w:rFonts w:ascii="Segoe UI" w:eastAsia="Times New Roman" w:hAnsi="Segoe UI" w:cs="Segoe UI"/>
          <w:lang w:val="en"/>
        </w:rPr>
      </w:pPr>
      <w:bookmarkStart w:id="53" w:name="_Toc235449811"/>
      <w:r>
        <w:rPr>
          <w:rFonts w:ascii="Segoe UI" w:eastAsia="Times New Roman" w:hAnsi="Segoe UI" w:cs="Segoe UI"/>
          <w:lang w:val="en"/>
        </w:rPr>
        <w:t>33.3 Model C — Enterprise Custom Development Partnership</w:t>
      </w:r>
      <w:bookmarkEnd w:id="53"/>
    </w:p>
    <w:p w14:paraId="29C0340F"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An ongoing partnership model for organizations requiring deep customization and integration work. Includes: a discovery workshop; customized workflows; custom reports; system integrations (single sign-on, Microsoft Entra ID / Active Directory, HR systems, LMS, Microsoft Teams, Power BI); dedicated support; phased delivery; change requests handled and quoted separately (Section 38); and dedicated development hours or a retainer arrangement.</w:t>
      </w:r>
    </w:p>
    <w:p w14:paraId="4D99ECCE" w14:textId="77777777" w:rsidR="00202328" w:rsidRDefault="00202328">
      <w:pPr>
        <w:pStyle w:val="Heading2"/>
        <w:rPr>
          <w:rFonts w:ascii="Segoe UI" w:eastAsia="Times New Roman" w:hAnsi="Segoe UI" w:cs="Segoe UI"/>
          <w:lang w:val="en"/>
        </w:rPr>
      </w:pPr>
      <w:bookmarkStart w:id="54" w:name="_Toc235449812"/>
      <w:r>
        <w:rPr>
          <w:rFonts w:ascii="Segoe UI" w:eastAsia="Times New Roman" w:hAnsi="Segoe UI" w:cs="Segoe UI"/>
          <w:lang w:val="en"/>
        </w:rPr>
        <w:t>33.4 Model Comparison</w:t>
      </w:r>
      <w:bookmarkEnd w:id="54"/>
    </w:p>
    <w:tbl>
      <w:tblPr>
        <w:tblW w:w="5000" w:type="pct"/>
        <w:tblCellMar>
          <w:top w:w="15" w:type="dxa"/>
          <w:left w:w="15" w:type="dxa"/>
          <w:bottom w:w="15" w:type="dxa"/>
          <w:right w:w="15" w:type="dxa"/>
        </w:tblCellMar>
        <w:tblLook w:val="04A0" w:firstRow="1" w:lastRow="0" w:firstColumn="1" w:lastColumn="0" w:noHBand="0" w:noVBand="1"/>
      </w:tblPr>
      <w:tblGrid>
        <w:gridCol w:w="1257"/>
        <w:gridCol w:w="2731"/>
        <w:gridCol w:w="2567"/>
        <w:gridCol w:w="3064"/>
      </w:tblGrid>
      <w:tr w:rsidR="00000000" w14:paraId="05584B1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51E6E02" w14:textId="77777777" w:rsidR="00202328" w:rsidRDefault="00202328">
            <w:pPr>
              <w:rPr>
                <w:rFonts w:ascii="Segoe UI" w:eastAsia="Times New Roman" w:hAnsi="Segoe UI" w:cs="Segoe UI"/>
                <w:lang w:val="en"/>
              </w:rPr>
            </w:pP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B6F0E08"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Model A — SaaS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E7A1171"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Model B — Perpetual License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BFBC8EE"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Model C — Enterprise Partnership</w:t>
            </w:r>
          </w:p>
        </w:tc>
      </w:tr>
      <w:tr w:rsidR="00000000" w14:paraId="034A9D9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45C2A5"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Ownership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48EF2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Altanfith-hosted; no source-code ownership by default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0AD83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Client-owned license; source code optional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15D9A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agreed scope; typically Altanfith-hosted with client-owned outputs</w:t>
            </w:r>
          </w:p>
        </w:tc>
      </w:tr>
      <w:tr w:rsidR="00000000" w14:paraId="0E2DE83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8BF10F"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Upfront cost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ABB26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Low — annual subscription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E8F89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Higher — one-time license fee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9639A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Variable — scoped by engagement</w:t>
            </w:r>
          </w:p>
        </w:tc>
      </w:tr>
      <w:tr w:rsidR="00000000" w14:paraId="30B153C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31B908"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Hosting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942CD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89122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Client-managed, on-premises or client-selected cloud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89C75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final design (Section 19)</w:t>
            </w:r>
          </w:p>
        </w:tc>
      </w:tr>
      <w:tr w:rsidR="00000000" w14:paraId="69E9D3F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E71CAF"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Upgrades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442BE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Included, standard upgrades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5638C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Major features excluded unless agreed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CE0D8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Delivered as part of the ongoing partnership</w:t>
            </w:r>
          </w:p>
        </w:tc>
      </w:tr>
      <w:tr w:rsidR="00000000" w14:paraId="57F8B2A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74FE4C"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Best for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4C8E7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Fastest implementation; lowest initial investment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02317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Organizations preferring outright ownership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2F771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Organizations needing deep customization and integration</w:t>
            </w:r>
          </w:p>
        </w:tc>
      </w:tr>
    </w:tbl>
    <w:p w14:paraId="7AEA8FD3" w14:textId="77777777" w:rsidR="00202328" w:rsidRDefault="00202328">
      <w:pPr>
        <w:pStyle w:val="Heading1"/>
        <w:rPr>
          <w:rFonts w:ascii="Segoe UI" w:eastAsia="Times New Roman" w:hAnsi="Segoe UI" w:cs="Segoe UI"/>
          <w:lang w:val="en"/>
        </w:rPr>
      </w:pPr>
      <w:bookmarkStart w:id="55" w:name="_Toc235449813"/>
      <w:r>
        <w:rPr>
          <w:rFonts w:ascii="Segoe UI" w:eastAsia="Times New Roman" w:hAnsi="Segoe UI" w:cs="Segoe UI"/>
          <w:lang w:val="en"/>
        </w:rPr>
        <w:t>34. Pricing Tables</w:t>
      </w:r>
      <w:bookmarkEnd w:id="55"/>
    </w:p>
    <w:p w14:paraId="139C85B8"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tables below set out the pricing structure for each commercial model. All amounts are shown as </w:t>
      </w:r>
      <w:r>
        <w:rPr>
          <w:rStyle w:val="Strong"/>
          <w:rFonts w:ascii="Segoe UI" w:hAnsi="Segoe UI" w:cs="Segoe UI"/>
          <w:color w:val="1F2933"/>
          <w:sz w:val="21"/>
          <w:szCs w:val="21"/>
          <w:lang w:val="en"/>
        </w:rPr>
        <w:t>OMR [TBC]</w:t>
      </w:r>
      <w:r>
        <w:rPr>
          <w:rFonts w:ascii="Segoe UI" w:hAnsi="Segoe UI" w:cs="Segoe UI"/>
          <w:color w:val="1F2933"/>
          <w:sz w:val="21"/>
          <w:szCs w:val="21"/>
          <w:lang w:val="en"/>
        </w:rPr>
        <w:t xml:space="preserve"> or </w:t>
      </w:r>
      <w:r>
        <w:rPr>
          <w:rStyle w:val="Strong"/>
          <w:rFonts w:ascii="Segoe UI" w:hAnsi="Segoe UI" w:cs="Segoe UI"/>
          <w:color w:val="1F2933"/>
          <w:sz w:val="21"/>
          <w:szCs w:val="21"/>
          <w:lang w:val="en"/>
        </w:rPr>
        <w:t>[TBC]%</w:t>
      </w:r>
      <w:r>
        <w:rPr>
          <w:rFonts w:ascii="Segoe UI" w:hAnsi="Segoe UI" w:cs="Segoe UI"/>
          <w:color w:val="1F2933"/>
          <w:sz w:val="21"/>
          <w:szCs w:val="21"/>
          <w:lang w:val="en"/>
        </w:rPr>
        <w:t xml:space="preserve"> placeholders; they are editable and are provided to illustrate the pricing structure only. Final pricing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is confirmed after the discovery phase (Section 25, Phase 1), once the factors listed in Section 34.4 are known.</w:t>
      </w:r>
    </w:p>
    <w:tbl>
      <w:tblPr>
        <w:tblW w:w="5000" w:type="pct"/>
        <w:tblCellMar>
          <w:top w:w="15" w:type="dxa"/>
          <w:left w:w="15" w:type="dxa"/>
          <w:bottom w:w="15" w:type="dxa"/>
          <w:right w:w="15" w:type="dxa"/>
        </w:tblCellMar>
        <w:tblLook w:val="04A0" w:firstRow="1" w:lastRow="0" w:firstColumn="1" w:lastColumn="0" w:noHBand="0" w:noVBand="1"/>
      </w:tblPr>
      <w:tblGrid>
        <w:gridCol w:w="3436"/>
        <w:gridCol w:w="4829"/>
        <w:gridCol w:w="1354"/>
      </w:tblGrid>
      <w:tr w:rsidR="00000000" w14:paraId="243A85E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6C2A541"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Model</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44A9E69"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Item</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DABD5EB"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Price</w:t>
            </w:r>
          </w:p>
        </w:tc>
      </w:tr>
      <w:tr w:rsidR="00000000" w14:paraId="78FC88E7"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305146"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A — Annual SaaS Subscription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AAE08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Subscription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740BF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308DE884"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0B1CF544" w14:textId="77777777" w:rsidR="00202328" w:rsidRDefault="00202328">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F9E22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Additional User Pack</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66EC8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4959724C"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4F1DDD21" w14:textId="77777777" w:rsidR="00202328" w:rsidRDefault="00202328">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B9184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Consumption Allowance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E514B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r>
      <w:tr w:rsidR="00000000" w14:paraId="6DB0D80D"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0782AD12" w14:textId="77777777" w:rsidR="00202328" w:rsidRDefault="00202328">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364EC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Overage (beyond agreed usage)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77F2F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47F8E401"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5D6143"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 — Perpetual License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69089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One-Time License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7BDDC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159E21D1"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324FCEBC" w14:textId="77777777" w:rsidR="00202328" w:rsidRDefault="00202328">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BACA0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Implementation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E45BA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23833228"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6E840F36" w14:textId="77777777" w:rsidR="00202328" w:rsidRDefault="00202328">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4884F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Maintenance (optional, recommended)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22362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r>
      <w:tr w:rsidR="00000000" w14:paraId="45E6AD5A"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7B27FBC6" w14:textId="77777777" w:rsidR="00202328" w:rsidRDefault="00202328">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F2D39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Source-Code License (optional)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AB263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76DCC4C7"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954291"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 — Enterprise Partnership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278B9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Discovery Workshop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2314A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0E2C5702"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0E75EC46" w14:textId="77777777" w:rsidR="00202328" w:rsidRDefault="00202328">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F5F52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Development Day Rate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CA83B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67C63BE4"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5612926F" w14:textId="77777777" w:rsidR="00202328" w:rsidRDefault="00202328">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889AB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Monthly Retainer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A3677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4731ECAB"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3AF481FB" w14:textId="77777777" w:rsidR="00202328" w:rsidRDefault="00202328">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2B401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Package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469E4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bl>
    <w:p w14:paraId="615139C8" w14:textId="77777777" w:rsidR="00202328" w:rsidRDefault="00202328">
      <w:pPr>
        <w:pStyle w:val="Heading2"/>
        <w:rPr>
          <w:rFonts w:ascii="Segoe UI" w:eastAsia="Times New Roman" w:hAnsi="Segoe UI" w:cs="Segoe UI"/>
          <w:lang w:val="en"/>
        </w:rPr>
      </w:pPr>
      <w:bookmarkStart w:id="56" w:name="_Toc235449814"/>
      <w:r>
        <w:rPr>
          <w:rFonts w:ascii="Segoe UI" w:eastAsia="Times New Roman" w:hAnsi="Segoe UI" w:cs="Segoe UI"/>
          <w:lang w:val="en"/>
        </w:rPr>
        <w:t>34.4 Pricing Methodology</w:t>
      </w:r>
      <w:bookmarkEnd w:id="56"/>
    </w:p>
    <w:p w14:paraId="0422A073"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Final pricing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depends on a defined set of factors, confirmed during discovery: number of users · number of administrators · number of organizations/departments · expected concurrent users · number of live sessions · hosting model · data residency · AI usage · level of customization · system integrations · support SLA · cybersecurity requirements · source-code requirements · reporting requirements · language requirements · training requirements · project duration.</w:t>
      </w:r>
    </w:p>
    <w:p w14:paraId="3F7219BE" w14:textId="77777777" w:rsidR="00202328" w:rsidRDefault="00202328">
      <w:pPr>
        <w:pStyle w:val="Heading1"/>
        <w:rPr>
          <w:rFonts w:ascii="Segoe UI" w:eastAsia="Times New Roman" w:hAnsi="Segoe UI" w:cs="Segoe UI"/>
          <w:lang w:val="en"/>
        </w:rPr>
      </w:pPr>
      <w:bookmarkStart w:id="57" w:name="_Toc235449815"/>
      <w:r>
        <w:rPr>
          <w:rFonts w:ascii="Segoe UI" w:eastAsia="Times New Roman" w:hAnsi="Segoe UI" w:cs="Segoe UI"/>
          <w:lang w:val="en"/>
        </w:rPr>
        <w:t>35. Assumptions</w:t>
      </w:r>
      <w:bookmarkEnd w:id="57"/>
    </w:p>
    <w:p w14:paraId="1752702F"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proposal, and the pricing in Section 34, are prepared on the basis of the following assumptions. Where an assumption does not hold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scope and pricing are revisited during discovery.</w:t>
      </w:r>
    </w:p>
    <w:p w14:paraId="50A66C9A"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1.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 xml:space="preserve">provides timely access to relevant stakeholders throughout the engagement. 2.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provides branding material (logo, color palette, style guidance) required for UI customization. 3.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provides infrastructure for an on-premises deployment, where selected. 4.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reviews and approves security and network configurations as they are proposed. 5. Third-party software licenses are excluded from pricing unless explicitly listed in the commercial agreement. 6. AI API costs beyond the </w:t>
      </w:r>
      <w:r>
        <w:rPr>
          <w:rFonts w:ascii="Segoe UI" w:hAnsi="Segoe UI" w:cs="Segoe UI"/>
          <w:color w:val="1F2933"/>
          <w:sz w:val="21"/>
          <w:szCs w:val="21"/>
          <w:lang w:val="en"/>
        </w:rPr>
        <w:t xml:space="preserve">agreed allowance may be billed separately. 7. Internet connectivity is required to use cloud-based AI generation features. 8. On-premises AI deployment, if pursued, may require separate, dedicated infrastructure. 9. Requirements identified outside the agreed scope are handled through the change-request process (Section 38). 10. Final integration scope depends on the availability of the relevant third-party APIs. 11.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is responsible for the accuracy of its own content, unless an AI content-revie</w:t>
      </w:r>
      <w:r>
        <w:rPr>
          <w:rFonts w:ascii="Segoe UI" w:hAnsi="Segoe UI" w:cs="Segoe UI"/>
          <w:color w:val="1F2933"/>
          <w:sz w:val="21"/>
          <w:szCs w:val="21"/>
          <w:lang w:val="en"/>
        </w:rPr>
        <w:t xml:space="preserve">w service is separately included in scope. 12. AI-generated content should be reviewed by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before it is used in a live or published context. 13. Production rollout depends on successful completion of User Acceptance Testing (Section 30).</w:t>
      </w:r>
    </w:p>
    <w:p w14:paraId="1BA12C42" w14:textId="77777777" w:rsidR="00202328" w:rsidRDefault="00202328">
      <w:pPr>
        <w:pStyle w:val="Heading1"/>
        <w:rPr>
          <w:rFonts w:ascii="Segoe UI" w:eastAsia="Times New Roman" w:hAnsi="Segoe UI" w:cs="Segoe UI"/>
          <w:lang w:val="en"/>
        </w:rPr>
      </w:pPr>
      <w:bookmarkStart w:id="58" w:name="_Toc235449816"/>
      <w:r>
        <w:rPr>
          <w:rFonts w:ascii="Segoe UI" w:eastAsia="Times New Roman" w:hAnsi="Segoe UI" w:cs="Segoe UI"/>
          <w:lang w:val="en"/>
        </w:rPr>
        <w:t>36. Exclusions</w:t>
      </w:r>
      <w:bookmarkEnd w:id="58"/>
    </w:p>
    <w:p w14:paraId="112BB16D"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The following items are excluded from this proposal and, unless separately listed in the commercial agreement, are not included in the pricing set out in Section 34.</w:t>
      </w:r>
    </w:p>
    <w:p w14:paraId="54426715"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1. Hardware procurement. 2.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data-center costs. 3. Third-party software licenses. 4. Microsoft licenses. 5. SMS charges. 6. Email service charges. 7. AI API overage charges beyond the agreed allowance. 8. External penetration testing (available as an optional service, Section 20). 9. Data migration from unknown or undocumented legacy systems. 10. Unsupported third-party integrations. 11. Major scope changes (handled via the change-request process, Section 38). 12. Custom mobile applications, unless explicitly included i</w:t>
      </w:r>
      <w:r>
        <w:rPr>
          <w:rFonts w:ascii="Segoe UI" w:hAnsi="Segoe UI" w:cs="Segoe UI"/>
          <w:color w:val="1F2933"/>
          <w:sz w:val="21"/>
          <w:szCs w:val="21"/>
          <w:lang w:val="en"/>
        </w:rPr>
        <w:t>n scope. 13. 24/7 support, unless purchased as part of the Gold package (Section 31). 14. Legal or regulatory certification. 15. Cybersecurity certification. 16. Formal compliance accreditation. 17. Travel outside Muscat, unless separately agreed.</w:t>
      </w:r>
    </w:p>
    <w:p w14:paraId="12796B38" w14:textId="77777777" w:rsidR="00202328" w:rsidRDefault="00202328">
      <w:pPr>
        <w:pStyle w:val="Heading1"/>
        <w:rPr>
          <w:rFonts w:ascii="Segoe UI" w:eastAsia="Times New Roman" w:hAnsi="Segoe UI" w:cs="Segoe UI"/>
          <w:lang w:val="en"/>
        </w:rPr>
      </w:pPr>
      <w:bookmarkStart w:id="59" w:name="_Toc235449817"/>
      <w:r>
        <w:rPr>
          <w:rFonts w:ascii="Segoe UI" w:eastAsia="Times New Roman" w:hAnsi="Segoe UI" w:cs="Segoe UI"/>
          <w:lang w:val="en"/>
        </w:rPr>
        <w:lastRenderedPageBreak/>
        <w:t>37. Risk and Mitigation</w:t>
      </w:r>
      <w:bookmarkEnd w:id="59"/>
    </w:p>
    <w:p w14:paraId="57130DF9"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table below sets out the risks Altanfith Aldwaliah SPC typically manages on an engagement of this type, and how each is mitigated. Likelihood is confirmed jointly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during discovery.</w:t>
      </w:r>
    </w:p>
    <w:tbl>
      <w:tblPr>
        <w:tblW w:w="5000" w:type="pct"/>
        <w:tblCellMar>
          <w:top w:w="15" w:type="dxa"/>
          <w:left w:w="15" w:type="dxa"/>
          <w:bottom w:w="15" w:type="dxa"/>
          <w:right w:w="15" w:type="dxa"/>
        </w:tblCellMar>
        <w:tblLook w:val="04A0" w:firstRow="1" w:lastRow="0" w:firstColumn="1" w:lastColumn="0" w:noHBand="0" w:noVBand="1"/>
      </w:tblPr>
      <w:tblGrid>
        <w:gridCol w:w="2849"/>
        <w:gridCol w:w="1173"/>
        <w:gridCol w:w="940"/>
        <w:gridCol w:w="4657"/>
      </w:tblGrid>
      <w:tr w:rsidR="00000000" w14:paraId="5F576F8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10BE001"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Risk</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F9D31FA"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Likelihood</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C92EC5C"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Impact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B82432A"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Mitigation</w:t>
            </w:r>
          </w:p>
        </w:tc>
      </w:tr>
      <w:tr w:rsidR="00000000" w14:paraId="0F5E4BD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5DB27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Infrastructure readiness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94F3D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5C8E0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C1581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Early technical assessment (Phase 2); readiness checklist confirmed before deployment</w:t>
            </w:r>
          </w:p>
        </w:tc>
      </w:tr>
      <w:tr w:rsidR="00000000" w14:paraId="567962E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F915CB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Cybersecurity approval delays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9F975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7F1A1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19951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security team engaged from Phase 3; architecture submitted early for review</w:t>
            </w:r>
          </w:p>
        </w:tc>
      </w:tr>
      <w:tr w:rsidR="00000000" w14:paraId="4338F64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D51A8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Scope changes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68881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3A81C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9250F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Formal change-request process (Section 38); milestone-based sign-offs</w:t>
            </w:r>
          </w:p>
        </w:tc>
      </w:tr>
      <w:tr w:rsidR="00000000" w14:paraId="2447197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4C3CC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Third-party API limitations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C4B9B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14B10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8D7A7A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APIs validated during discovery; fallback approaches designed where needed</w:t>
            </w:r>
          </w:p>
        </w:tc>
      </w:tr>
      <w:tr w:rsidR="00000000" w14:paraId="626DCCC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A8D0B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service availability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5C825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01B08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Low</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DE123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features degrade gracefully; the core platform operates independently of AI services</w:t>
            </w:r>
          </w:p>
        </w:tc>
      </w:tr>
      <w:tr w:rsidR="00000000" w14:paraId="53ECACD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54DCD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adoption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A9B39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5AC51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4840D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Structured training, bilingual materials, and a hypercare period after go-live</w:t>
            </w:r>
          </w:p>
        </w:tc>
      </w:tr>
      <w:tr w:rsidR="00000000" w14:paraId="4C588F8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AF45B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Poor venue/participant internet connectivity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124B4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DDEB4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980DD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Automatic session reconnection; venue network checklist ahead of live events</w:t>
            </w:r>
          </w:p>
        </w:tc>
      </w:tr>
      <w:tr w:rsidR="00000000" w14:paraId="6C9CC36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88243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 concurrent usage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E2EFF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1D567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E8AC46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Load testing before go-live; sizing based on </w:t>
            </w:r>
            <w:r>
              <w:rPr>
                <w:rStyle w:val="Strong"/>
                <w:rFonts w:ascii="Segoe UI" w:eastAsia="Times New Roman" w:hAnsi="Segoe UI" w:cs="Segoe UI"/>
                <w:color w:val="1F2933"/>
                <w:sz w:val="19"/>
                <w:szCs w:val="19"/>
              </w:rPr>
              <w:t>[Concurrent Participants]</w:t>
            </w:r>
          </w:p>
        </w:tc>
      </w:tr>
      <w:tr w:rsidR="00000000" w14:paraId="1FF1DB8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025F6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Delayed client feedback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11CF0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3F06C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F3904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Weekly governance cadence; agreed review SLAs built into the project plan</w:t>
            </w:r>
          </w:p>
        </w:tc>
      </w:tr>
      <w:tr w:rsidR="00000000" w14:paraId="639FBD2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80136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 migration complexity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74265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EF90A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8C2CC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Migration treated as a scoped, optional phase with its own assessment (Phase 12)</w:t>
            </w:r>
          </w:p>
        </w:tc>
      </w:tr>
      <w:tr w:rsidR="00000000" w14:paraId="141145E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27F3E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delays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C4DF5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B951E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8792A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Integrations phased separately (Phase 8); core go-live is not blocked by integration work</w:t>
            </w:r>
          </w:p>
        </w:tc>
      </w:tr>
      <w:tr w:rsidR="00000000" w14:paraId="2AEC35C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B30B0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Security testing findings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BAE52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F612A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36C33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Remediation window built into the plan; retest before go-live (Phase 10)</w:t>
            </w:r>
          </w:p>
        </w:tc>
      </w:tr>
      <w:tr w:rsidR="00000000" w14:paraId="5432A5B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D7E57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change management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8BD03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BFA5B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4578A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Sponsor-led communication plan; departmental change champions</w:t>
            </w:r>
          </w:p>
        </w:tc>
      </w:tr>
    </w:tbl>
    <w:p w14:paraId="360B36EA" w14:textId="77777777" w:rsidR="00202328" w:rsidRDefault="00202328">
      <w:pPr>
        <w:pStyle w:val="Heading1"/>
        <w:rPr>
          <w:rFonts w:ascii="Segoe UI" w:eastAsia="Times New Roman" w:hAnsi="Segoe UI" w:cs="Segoe UI"/>
          <w:lang w:val="en"/>
        </w:rPr>
      </w:pPr>
      <w:bookmarkStart w:id="60" w:name="_Toc235449818"/>
      <w:r>
        <w:rPr>
          <w:rFonts w:ascii="Segoe UI" w:eastAsia="Times New Roman" w:hAnsi="Segoe UI" w:cs="Segoe UI"/>
          <w:lang w:val="en"/>
        </w:rPr>
        <w:t>38. Change Request Process</w:t>
      </w:r>
      <w:bookmarkEnd w:id="60"/>
    </w:p>
    <w:p w14:paraId="67469103"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Any requirement outside the agreed scope is handled through a formal change-request process, so that scope, cost, and schedule remain visible and agreed by both parties at every step: a change is requested by either party; Altanfith assesses its impact on scope, cost, and schedule; a written quotation is provided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the change proceeds only after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written approval; and, once approved, delivery is scheduled into the project plan. No change work is carried out without prior written approval.</w:t>
      </w:r>
    </w:p>
    <w:p w14:paraId="19361069" w14:textId="77777777" w:rsidR="00202328" w:rsidRDefault="00202328">
      <w:pPr>
        <w:pStyle w:val="Heading1"/>
        <w:rPr>
          <w:rFonts w:ascii="Segoe UI" w:eastAsia="Times New Roman" w:hAnsi="Segoe UI" w:cs="Segoe UI"/>
          <w:lang w:val="en"/>
        </w:rPr>
      </w:pPr>
      <w:bookmarkStart w:id="61" w:name="_Toc235449819"/>
      <w:r>
        <w:rPr>
          <w:rFonts w:ascii="Segoe UI" w:eastAsia="Times New Roman" w:hAnsi="Segoe UI" w:cs="Segoe UI"/>
          <w:lang w:val="en"/>
        </w:rPr>
        <w:t>39. Intellectual Property</w:t>
      </w:r>
      <w:bookmarkEnd w:id="61"/>
    </w:p>
    <w:p w14:paraId="4A204A56"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Intellectual property ownership is set out clearly and is linked to the commercial model selected (Section 33).</w:t>
      </w:r>
    </w:p>
    <w:p w14:paraId="53D095F0" w14:textId="77777777" w:rsidR="00202328" w:rsidRDefault="00202328">
      <w:pPr>
        <w:numPr>
          <w:ilvl w:val="0"/>
          <w:numId w:val="3"/>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Standard platform intellectual property remains with Altanfith Aldwaliah SPC unless expressly transferred by separate agreement.</w:t>
      </w:r>
    </w:p>
    <w:p w14:paraId="04150A15" w14:textId="77777777" w:rsidR="00202328" w:rsidRDefault="00202328">
      <w:pPr>
        <w:numPr>
          <w:ilvl w:val="0"/>
          <w:numId w:val="3"/>
        </w:numPr>
        <w:spacing w:before="100" w:beforeAutospacing="1" w:after="100" w:afterAutospacing="1"/>
        <w:rPr>
          <w:rFonts w:ascii="Segoe UI" w:eastAsia="Times New Roman" w:hAnsi="Segoe UI" w:cs="Segoe UI"/>
          <w:color w:val="1F2933"/>
          <w:sz w:val="21"/>
          <w:szCs w:val="21"/>
          <w:lang w:val="en"/>
        </w:rPr>
      </w:pP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 xml:space="preserve">'s content and data — including quiz content, participant data, and reports — remain the property of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 xml:space="preserve"> at all times (see also Section 22).</w:t>
      </w:r>
    </w:p>
    <w:p w14:paraId="36307EB4" w14:textId="77777777" w:rsidR="00202328" w:rsidRDefault="00202328">
      <w:pPr>
        <w:numPr>
          <w:ilvl w:val="0"/>
          <w:numId w:val="3"/>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Source-code ownership is not included by default under any commercial model; it applies only where expressly stated in the signed commercial agreement (see Model B, Section 33.2).</w:t>
      </w:r>
    </w:p>
    <w:p w14:paraId="7D798645" w14:textId="77777777" w:rsidR="00202328" w:rsidRDefault="00202328">
      <w:pPr>
        <w:pStyle w:val="Heading1"/>
        <w:rPr>
          <w:rFonts w:ascii="Segoe UI" w:eastAsia="Times New Roman" w:hAnsi="Segoe UI" w:cs="Segoe UI"/>
          <w:lang w:val="en"/>
        </w:rPr>
      </w:pPr>
      <w:bookmarkStart w:id="62" w:name="_Toc235449820"/>
      <w:r>
        <w:rPr>
          <w:rFonts w:ascii="Segoe UI" w:eastAsia="Times New Roman" w:hAnsi="Segoe UI" w:cs="Segoe UI"/>
          <w:lang w:val="en"/>
        </w:rPr>
        <w:t>40. Confidentiality</w:t>
      </w:r>
      <w:bookmarkEnd w:id="62"/>
    </w:p>
    <w:p w14:paraId="3A20FED3"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Both parties agree to treat information shared during this engagement — including this proposal, technical designs, and commercial terms — as confidential, and to use it only for the purposes of evaluating and, if agreed, delivering this engagement. This obligation is mutual: it applies equally to Altanfith Aldwaliah SPC and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A separate non-disclosure agreement is available on request, ahead of, or alongside, more detailed technical or commercial discussions.</w:t>
      </w:r>
    </w:p>
    <w:p w14:paraId="1EDCC4F0" w14:textId="77777777" w:rsidR="00202328" w:rsidRDefault="00202328">
      <w:pPr>
        <w:pStyle w:val="Heading1"/>
        <w:rPr>
          <w:rFonts w:ascii="Segoe UI" w:eastAsia="Times New Roman" w:hAnsi="Segoe UI" w:cs="Segoe UI"/>
          <w:lang w:val="en"/>
        </w:rPr>
      </w:pPr>
      <w:bookmarkStart w:id="63" w:name="_Toc235449821"/>
      <w:r>
        <w:rPr>
          <w:rFonts w:ascii="Segoe UI" w:eastAsia="Times New Roman" w:hAnsi="Segoe UI" w:cs="Segoe UI"/>
          <w:lang w:val="en"/>
        </w:rPr>
        <w:t>41. Proposal Validity</w:t>
      </w:r>
      <w:bookmarkEnd w:id="63"/>
    </w:p>
    <w:p w14:paraId="167BEE53"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proposal, including the commercial terms set out in Sections 33, 34, and 42, is valid for a period of </w:t>
      </w:r>
      <w:r>
        <w:rPr>
          <w:rStyle w:val="Strong"/>
          <w:rFonts w:ascii="Segoe UI" w:hAnsi="Segoe UI" w:cs="Segoe UI"/>
          <w:color w:val="1F2933"/>
          <w:sz w:val="21"/>
          <w:szCs w:val="21"/>
          <w:lang w:val="en"/>
        </w:rPr>
        <w:t>30 days</w:t>
      </w:r>
      <w:r>
        <w:rPr>
          <w:rFonts w:ascii="Segoe UI" w:hAnsi="Segoe UI" w:cs="Segoe UI"/>
          <w:color w:val="1F2933"/>
          <w:sz w:val="21"/>
          <w:szCs w:val="21"/>
          <w:lang w:val="en"/>
        </w:rPr>
        <w:t xml:space="preserve"> from </w:t>
      </w:r>
      <w:r>
        <w:rPr>
          <w:rStyle w:val="Strong"/>
          <w:rFonts w:ascii="Segoe UI" w:hAnsi="Segoe UI" w:cs="Segoe UI"/>
          <w:color w:val="1F2933"/>
          <w:sz w:val="21"/>
          <w:szCs w:val="21"/>
          <w:lang w:val="en"/>
        </w:rPr>
        <w:t>[Date]</w:t>
      </w:r>
      <w:r>
        <w:rPr>
          <w:rFonts w:ascii="Segoe UI" w:hAnsi="Segoe UI" w:cs="Segoe UI"/>
          <w:color w:val="1F2933"/>
          <w:sz w:val="21"/>
          <w:szCs w:val="21"/>
          <w:lang w:val="en"/>
        </w:rPr>
        <w:t>. Beyond this period, pricing and availability are subject to reconfirmation by Altanfith Aldwaliah SPC.</w:t>
      </w:r>
    </w:p>
    <w:p w14:paraId="2B72B667" w14:textId="77777777" w:rsidR="00202328" w:rsidRDefault="00202328">
      <w:pPr>
        <w:pStyle w:val="Heading1"/>
        <w:rPr>
          <w:rFonts w:ascii="Segoe UI" w:eastAsia="Times New Roman" w:hAnsi="Segoe UI" w:cs="Segoe UI"/>
          <w:lang w:val="en"/>
        </w:rPr>
      </w:pPr>
      <w:bookmarkStart w:id="64" w:name="_Toc235449822"/>
      <w:r>
        <w:rPr>
          <w:rFonts w:ascii="Segoe UI" w:eastAsia="Times New Roman" w:hAnsi="Segoe UI" w:cs="Segoe UI"/>
          <w:lang w:val="en"/>
        </w:rPr>
        <w:lastRenderedPageBreak/>
        <w:t>42. Payment Terms</w:t>
      </w:r>
      <w:bookmarkEnd w:id="64"/>
    </w:p>
    <w:p w14:paraId="6ACC557F" w14:textId="77777777" w:rsidR="00202328" w:rsidRDefault="00202328">
      <w:pPr>
        <w:pStyle w:val="notice"/>
        <w:spacing w:before="120" w:beforeAutospacing="0" w:after="120" w:afterAutospacing="0"/>
        <w:rPr>
          <w:rFonts w:ascii="Segoe UI" w:hAnsi="Segoe UI" w:cs="Segoe UI"/>
          <w:color w:val="1F2933"/>
          <w:sz w:val="21"/>
          <w:szCs w:val="21"/>
          <w:lang w:val="en"/>
        </w:rPr>
      </w:pPr>
      <w:r>
        <w:rPr>
          <w:rStyle w:val="Strong"/>
          <w:rFonts w:ascii="Segoe UI" w:hAnsi="Segoe UI" w:cs="Segoe UI"/>
          <w:color w:val="1F2933"/>
          <w:sz w:val="21"/>
          <w:szCs w:val="21"/>
          <w:lang w:val="en"/>
        </w:rPr>
        <w:t>Proposed terms — subject to negotiation.</w:t>
      </w:r>
      <w:r>
        <w:rPr>
          <w:rFonts w:ascii="Segoe UI" w:hAnsi="Segoe UI" w:cs="Segoe UI"/>
          <w:color w:val="1F2933"/>
          <w:sz w:val="21"/>
          <w:szCs w:val="21"/>
          <w:lang w:val="en"/>
        </w:rPr>
        <w:t xml:space="preserve"> The terms below illustrate the structure Altanfith Aldwaliah SPC typically proposes; final payment terms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are agreed in the signed commercial agreement.</w:t>
      </w:r>
    </w:p>
    <w:p w14:paraId="3BF8DF4D" w14:textId="77777777" w:rsidR="00202328" w:rsidRDefault="00202328">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Currency: Omani Rial (OMR). Amounts are exclusive of applicable taxes unless otherwise stated.</w:t>
      </w:r>
    </w:p>
    <w:p w14:paraId="559B51AE" w14:textId="77777777" w:rsidR="00202328" w:rsidRDefault="00202328">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Example milestone payment structure for project-based engagements: </w:t>
      </w:r>
      <w:r>
        <w:rPr>
          <w:rStyle w:val="Strong"/>
          <w:rFonts w:ascii="Segoe UI" w:eastAsia="Times New Roman" w:hAnsi="Segoe UI" w:cs="Segoe UI"/>
          <w:color w:val="1F2933"/>
          <w:sz w:val="21"/>
          <w:szCs w:val="21"/>
          <w:lang w:val="en"/>
        </w:rPr>
        <w:t>30%</w:t>
      </w:r>
      <w:r>
        <w:rPr>
          <w:rFonts w:ascii="Segoe UI" w:eastAsia="Times New Roman" w:hAnsi="Segoe UI" w:cs="Segoe UI"/>
          <w:color w:val="1F2933"/>
          <w:sz w:val="21"/>
          <w:szCs w:val="21"/>
          <w:lang w:val="en"/>
        </w:rPr>
        <w:t xml:space="preserve"> upon purchase order, </w:t>
      </w:r>
      <w:r>
        <w:rPr>
          <w:rStyle w:val="Strong"/>
          <w:rFonts w:ascii="Segoe UI" w:eastAsia="Times New Roman" w:hAnsi="Segoe UI" w:cs="Segoe UI"/>
          <w:color w:val="1F2933"/>
          <w:sz w:val="21"/>
          <w:szCs w:val="21"/>
          <w:lang w:val="en"/>
        </w:rPr>
        <w:t>30%</w:t>
      </w:r>
      <w:r>
        <w:rPr>
          <w:rFonts w:ascii="Segoe UI" w:eastAsia="Times New Roman" w:hAnsi="Segoe UI" w:cs="Segoe UI"/>
          <w:color w:val="1F2933"/>
          <w:sz w:val="21"/>
          <w:szCs w:val="21"/>
          <w:lang w:val="en"/>
        </w:rPr>
        <w:t xml:space="preserve"> after design approval, </w:t>
      </w:r>
      <w:r>
        <w:rPr>
          <w:rStyle w:val="Strong"/>
          <w:rFonts w:ascii="Segoe UI" w:eastAsia="Times New Roman" w:hAnsi="Segoe UI" w:cs="Segoe UI"/>
          <w:color w:val="1F2933"/>
          <w:sz w:val="21"/>
          <w:szCs w:val="21"/>
          <w:lang w:val="en"/>
        </w:rPr>
        <w:t>30%</w:t>
      </w:r>
      <w:r>
        <w:rPr>
          <w:rFonts w:ascii="Segoe UI" w:eastAsia="Times New Roman" w:hAnsi="Segoe UI" w:cs="Segoe UI"/>
          <w:color w:val="1F2933"/>
          <w:sz w:val="21"/>
          <w:szCs w:val="21"/>
          <w:lang w:val="en"/>
        </w:rPr>
        <w:t xml:space="preserve"> after UAT sign-off, </w:t>
      </w:r>
      <w:r>
        <w:rPr>
          <w:rStyle w:val="Strong"/>
          <w:rFonts w:ascii="Segoe UI" w:eastAsia="Times New Roman" w:hAnsi="Segoe UI" w:cs="Segoe UI"/>
          <w:color w:val="1F2933"/>
          <w:sz w:val="21"/>
          <w:szCs w:val="21"/>
          <w:lang w:val="en"/>
        </w:rPr>
        <w:t>10%</w:t>
      </w:r>
      <w:r>
        <w:rPr>
          <w:rFonts w:ascii="Segoe UI" w:eastAsia="Times New Roman" w:hAnsi="Segoe UI" w:cs="Segoe UI"/>
          <w:color w:val="1F2933"/>
          <w:sz w:val="21"/>
          <w:szCs w:val="21"/>
          <w:lang w:val="en"/>
        </w:rPr>
        <w:t xml:space="preserve"> after go-live.</w:t>
      </w:r>
    </w:p>
    <w:p w14:paraId="42996FB4" w14:textId="77777777" w:rsidR="00202328" w:rsidRDefault="00202328">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SaaS subscription (Model A): annual payment in advance.</w:t>
      </w:r>
    </w:p>
    <w:p w14:paraId="135F3106" w14:textId="77777777" w:rsidR="00202328" w:rsidRDefault="00202328">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Maintenance (Model B, optional): annual payment in advance.</w:t>
      </w:r>
    </w:p>
    <w:p w14:paraId="45E8647C" w14:textId="77777777" w:rsidR="00202328" w:rsidRDefault="00202328">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Change requests (Section 38): quoted and invoiced separately.</w:t>
      </w:r>
    </w:p>
    <w:p w14:paraId="7F63B073" w14:textId="77777777" w:rsidR="00202328" w:rsidRDefault="00202328">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Travel outside Muscat: charged separately, where required and agreed in advance.</w:t>
      </w:r>
    </w:p>
    <w:p w14:paraId="2E752FF4" w14:textId="77777777" w:rsidR="00202328" w:rsidRDefault="00202328">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Third-party services: charged at cost, plus an agreed administration fee where applicable.</w:t>
      </w:r>
    </w:p>
    <w:p w14:paraId="60BD6700" w14:textId="77777777" w:rsidR="00202328" w:rsidRDefault="00202328">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Payment schedule: </w:t>
      </w:r>
      <w:r>
        <w:rPr>
          <w:rStyle w:val="Strong"/>
          <w:rFonts w:ascii="Segoe UI" w:eastAsia="Times New Roman" w:hAnsi="Segoe UI" w:cs="Segoe UI"/>
          <w:color w:val="1F2933"/>
          <w:sz w:val="21"/>
          <w:szCs w:val="21"/>
          <w:lang w:val="en"/>
        </w:rPr>
        <w:t>[Payment Terms]</w:t>
      </w:r>
      <w:r>
        <w:rPr>
          <w:rFonts w:ascii="Segoe UI" w:eastAsia="Times New Roman" w:hAnsi="Segoe UI" w:cs="Segoe UI"/>
          <w:color w:val="1F2933"/>
          <w:sz w:val="21"/>
          <w:szCs w:val="21"/>
          <w:lang w:val="en"/>
        </w:rPr>
        <w:t>.</w:t>
      </w:r>
    </w:p>
    <w:p w14:paraId="5D255027" w14:textId="77777777" w:rsidR="00202328" w:rsidRDefault="00202328">
      <w:pPr>
        <w:pStyle w:val="Heading1"/>
        <w:rPr>
          <w:rFonts w:ascii="Segoe UI" w:eastAsia="Times New Roman" w:hAnsi="Segoe UI" w:cs="Segoe UI"/>
          <w:lang w:val="en"/>
        </w:rPr>
      </w:pPr>
      <w:bookmarkStart w:id="65" w:name="_Toc235449823"/>
      <w:r>
        <w:rPr>
          <w:rFonts w:ascii="Segoe UI" w:eastAsia="Times New Roman" w:hAnsi="Segoe UI" w:cs="Segoe UI"/>
          <w:lang w:val="en"/>
        </w:rPr>
        <w:t>43. Termination and Exit</w:t>
      </w:r>
      <w:bookmarkEnd w:id="65"/>
    </w:p>
    <w:p w14:paraId="7B80CA3F"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Either party may terminate the agreement on the notice period set out in the signed contract. On termination, Altanfith Aldwaliah SPC provides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with an export of its data in an agreed format, carries out an orderly handover of the platform and any outstanding documentation, and deletes client data in line with the retention terms agreed in the contract. For on-premises deployments,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data never leaves its own environment at any point, including at termination, since it was never hosted outside client control.</w:t>
      </w:r>
    </w:p>
    <w:p w14:paraId="16DBCA2D" w14:textId="77777777" w:rsidR="00202328" w:rsidRDefault="00202328">
      <w:pPr>
        <w:pStyle w:val="Heading1"/>
        <w:rPr>
          <w:rFonts w:ascii="Segoe UI" w:eastAsia="Times New Roman" w:hAnsi="Segoe UI" w:cs="Segoe UI"/>
          <w:lang w:val="en"/>
        </w:rPr>
      </w:pPr>
      <w:bookmarkStart w:id="66" w:name="_Toc235449824"/>
      <w:r>
        <w:rPr>
          <w:rFonts w:ascii="Segoe UI" w:eastAsia="Times New Roman" w:hAnsi="Segoe UI" w:cs="Segoe UI"/>
          <w:lang w:val="en"/>
        </w:rPr>
        <w:t>44. Future Roadmap</w:t>
      </w:r>
      <w:bookmarkEnd w:id="66"/>
    </w:p>
    <w:p w14:paraId="08E7DA6C"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items below represent Altanfith Aldwaliah SPC's future development direction for the Live Quiz Platform. All roadmap items are </w:t>
      </w:r>
      <w:r>
        <w:rPr>
          <w:rStyle w:val="badge-fut1"/>
          <w:rFonts w:ascii="Segoe UI" w:hAnsi="Segoe UI" w:cs="Segoe UI"/>
          <w:sz w:val="21"/>
          <w:szCs w:val="21"/>
          <w:lang w:val="en"/>
        </w:rPr>
        <w:t>Future enhancement</w:t>
      </w:r>
      <w:r>
        <w:rPr>
          <w:rFonts w:ascii="Segoe UI" w:hAnsi="Segoe UI" w:cs="Segoe UI"/>
          <w:color w:val="1F2933"/>
          <w:sz w:val="21"/>
          <w:szCs w:val="21"/>
          <w:lang w:val="en"/>
        </w:rPr>
        <w:t xml:space="preserve"> or </w:t>
      </w:r>
      <w:r>
        <w:rPr>
          <w:rStyle w:val="badge-opt1"/>
          <w:rFonts w:ascii="Segoe UI" w:hAnsi="Segoe UI" w:cs="Segoe UI"/>
          <w:sz w:val="21"/>
          <w:szCs w:val="21"/>
          <w:lang w:val="en"/>
        </w:rPr>
        <w:t>Optional</w:t>
      </w:r>
      <w:r>
        <w:rPr>
          <w:rFonts w:ascii="Segoe UI" w:hAnsi="Segoe UI" w:cs="Segoe UI"/>
          <w:color w:val="1F2933"/>
          <w:sz w:val="21"/>
          <w:szCs w:val="21"/>
          <w:lang w:val="en"/>
        </w:rPr>
        <w:t xml:space="preserve">, are not part of the current platform, and their delivery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is subject to a separate agreement.</w:t>
      </w:r>
    </w:p>
    <w:p w14:paraId="41B30BF2" w14:textId="77777777" w:rsidR="00202328" w:rsidRDefault="00202328">
      <w:pPr>
        <w:pStyle w:val="Heading2"/>
        <w:rPr>
          <w:rFonts w:ascii="Segoe UI" w:eastAsia="Times New Roman" w:hAnsi="Segoe UI" w:cs="Segoe UI"/>
          <w:lang w:val="en"/>
        </w:rPr>
      </w:pPr>
      <w:bookmarkStart w:id="67" w:name="_Toc235449825"/>
      <w:r>
        <w:rPr>
          <w:rFonts w:ascii="Segoe UI" w:eastAsia="Times New Roman" w:hAnsi="Segoe UI" w:cs="Segoe UI"/>
          <w:lang w:val="en"/>
        </w:rPr>
        <w:t>44.1 Learning &amp; Assessment</w:t>
      </w:r>
      <w:bookmarkEnd w:id="67"/>
    </w:p>
    <w:p w14:paraId="0CDE0AEC"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LMS module · employee certification · training course management · interview assessment module · recruitment assessment · HSE compliance assessments · employee performance evaluation · employee learning profiles · automated certificate generation · gamification, badges &amp; achievements. </w:t>
      </w:r>
      <w:r>
        <w:rPr>
          <w:rStyle w:val="badge-fut1"/>
          <w:rFonts w:ascii="Segoe UI" w:hAnsi="Segoe UI" w:cs="Segoe UI"/>
          <w:sz w:val="21"/>
          <w:szCs w:val="21"/>
          <w:lang w:val="en"/>
        </w:rPr>
        <w:t>Future enhancement</w:t>
      </w:r>
    </w:p>
    <w:p w14:paraId="3D55C891" w14:textId="77777777" w:rsidR="00202328" w:rsidRDefault="00202328">
      <w:pPr>
        <w:pStyle w:val="Heading2"/>
        <w:rPr>
          <w:rFonts w:ascii="Segoe UI" w:eastAsia="Times New Roman" w:hAnsi="Segoe UI" w:cs="Segoe UI"/>
          <w:lang w:val="en"/>
        </w:rPr>
      </w:pPr>
      <w:bookmarkStart w:id="68" w:name="_Toc235449826"/>
      <w:r>
        <w:rPr>
          <w:rFonts w:ascii="Segoe UI" w:eastAsia="Times New Roman" w:hAnsi="Segoe UI" w:cs="Segoe UI"/>
          <w:lang w:val="en"/>
        </w:rPr>
        <w:t>44.2 AI</w:t>
      </w:r>
      <w:bookmarkEnd w:id="68"/>
    </w:p>
    <w:p w14:paraId="1EFC2B6F"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AI-generated reports · AI recommendations · chatbot assistant · private, on-premises AI deployment. </w:t>
      </w:r>
      <w:r>
        <w:rPr>
          <w:rStyle w:val="badge-fut1"/>
          <w:rFonts w:ascii="Segoe UI" w:hAnsi="Segoe UI" w:cs="Segoe UI"/>
          <w:sz w:val="21"/>
          <w:szCs w:val="21"/>
          <w:lang w:val="en"/>
        </w:rPr>
        <w:t>Future enhancement</w:t>
      </w:r>
    </w:p>
    <w:p w14:paraId="4B1B031C" w14:textId="77777777" w:rsidR="00202328" w:rsidRDefault="00202328">
      <w:pPr>
        <w:pStyle w:val="Heading2"/>
        <w:rPr>
          <w:rFonts w:ascii="Segoe UI" w:eastAsia="Times New Roman" w:hAnsi="Segoe UI" w:cs="Segoe UI"/>
          <w:lang w:val="en"/>
        </w:rPr>
      </w:pPr>
      <w:bookmarkStart w:id="69" w:name="_Toc235449827"/>
      <w:r>
        <w:rPr>
          <w:rFonts w:ascii="Segoe UI" w:eastAsia="Times New Roman" w:hAnsi="Segoe UI" w:cs="Segoe UI"/>
          <w:lang w:val="en"/>
        </w:rPr>
        <w:t>44.3 Integrations</w:t>
      </w:r>
      <w:bookmarkEnd w:id="69"/>
    </w:p>
    <w:p w14:paraId="66533571"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Microsoft Teams · Outlook · Microsoft Entra ID SSO · Active Directory · HR systems · Power BI. </w:t>
      </w:r>
      <w:r>
        <w:rPr>
          <w:rStyle w:val="badge-opt1"/>
          <w:rFonts w:ascii="Segoe UI" w:hAnsi="Segoe UI" w:cs="Segoe UI"/>
          <w:sz w:val="21"/>
          <w:szCs w:val="21"/>
          <w:lang w:val="en"/>
        </w:rPr>
        <w:t>Optional</w:t>
      </w:r>
      <w:r>
        <w:rPr>
          <w:rFonts w:ascii="Segoe UI" w:hAnsi="Segoe UI" w:cs="Segoe UI"/>
          <w:color w:val="1F2933"/>
          <w:sz w:val="21"/>
          <w:szCs w:val="21"/>
          <w:lang w:val="en"/>
        </w:rPr>
        <w:t xml:space="preserve"> (scoped under Model C, Section 33.3)</w:t>
      </w:r>
    </w:p>
    <w:p w14:paraId="21361BF3" w14:textId="77777777" w:rsidR="00202328" w:rsidRDefault="00202328">
      <w:pPr>
        <w:pStyle w:val="Heading2"/>
        <w:rPr>
          <w:rFonts w:ascii="Segoe UI" w:eastAsia="Times New Roman" w:hAnsi="Segoe UI" w:cs="Segoe UI"/>
          <w:lang w:val="en"/>
        </w:rPr>
      </w:pPr>
      <w:bookmarkStart w:id="70" w:name="_Toc235449828"/>
      <w:r>
        <w:rPr>
          <w:rFonts w:ascii="Segoe UI" w:eastAsia="Times New Roman" w:hAnsi="Segoe UI" w:cs="Segoe UI"/>
          <w:lang w:val="en"/>
        </w:rPr>
        <w:lastRenderedPageBreak/>
        <w:t>44.4 Platform</w:t>
      </w:r>
      <w:bookmarkEnd w:id="70"/>
    </w:p>
    <w:p w14:paraId="33DB0255"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Mobile application · offline mode · advanced multilingual support · Oman-based hosting. </w:t>
      </w:r>
      <w:r>
        <w:rPr>
          <w:rStyle w:val="badge-fut1"/>
          <w:rFonts w:ascii="Segoe UI" w:hAnsi="Segoe UI" w:cs="Segoe UI"/>
          <w:sz w:val="21"/>
          <w:szCs w:val="21"/>
          <w:lang w:val="en"/>
        </w:rPr>
        <w:t>Future enhancement</w:t>
      </w:r>
    </w:p>
    <w:p w14:paraId="73F55489" w14:textId="77777777" w:rsidR="00202328" w:rsidRDefault="00202328">
      <w:pPr>
        <w:pStyle w:val="Heading1"/>
        <w:rPr>
          <w:rFonts w:ascii="Segoe UI" w:eastAsia="Times New Roman" w:hAnsi="Segoe UI" w:cs="Segoe UI"/>
          <w:lang w:val="en"/>
        </w:rPr>
      </w:pPr>
      <w:bookmarkStart w:id="71" w:name="_Toc235449829"/>
      <w:r>
        <w:rPr>
          <w:rFonts w:ascii="Segoe UI" w:eastAsia="Times New Roman" w:hAnsi="Segoe UI" w:cs="Segoe UI"/>
          <w:lang w:val="en"/>
        </w:rPr>
        <w:t>45. Why Altanfith Aldwaliah SPC</w:t>
      </w:r>
      <w:bookmarkEnd w:id="71"/>
    </w:p>
    <w:p w14:paraId="25B90DEC"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Selecting a delivery partner for a platform of this kind is as much about the partner as it is about the software. The reasons set out below are ordered by the value they bring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with our local presence as the foundation that supports the offer, not the offer itself.</w:t>
      </w:r>
    </w:p>
    <w:p w14:paraId="4757DDD7"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An enterprise engagement and assessment platform, already proven in real operational use (Section 12) — not a concept or a demonstration environment. Deep customization across branding, workflows, reporting, and integrations, rather than a fixed, one-size-fits-all product. In-house AI development capability, already reflected in the platform's current AI-assisted generation (Section 14). Flexible commercial models — SaaS, perpetual license, and enterprise partnership (Section 33). Cloud, on-premises, and hy</w:t>
      </w:r>
      <w:r>
        <w:rPr>
          <w:rFonts w:ascii="Segoe UI" w:hAnsi="Segoe UI" w:cs="Segoe UI"/>
          <w:color w:val="1F2933"/>
          <w:sz w:val="21"/>
          <w:szCs w:val="21"/>
          <w:lang w:val="en"/>
        </w:rPr>
        <w:t>brid deployment options (Section 19). A structured support and maintenance model (Section 31). A continuous improvement roadmap (Section 44). A long-term partnership approach to delivery and support. And, underpinning all of it: an Omani company, with local understanding, direct technical support, and fast communication in Arabic and English, without offshore handover delays.</w:t>
      </w:r>
    </w:p>
    <w:p w14:paraId="10E66969" w14:textId="77777777" w:rsidR="00202328" w:rsidRDefault="00202328">
      <w:pPr>
        <w:pStyle w:val="Heading1"/>
        <w:rPr>
          <w:rFonts w:ascii="Segoe UI" w:eastAsia="Times New Roman" w:hAnsi="Segoe UI" w:cs="Segoe UI"/>
          <w:lang w:val="en"/>
        </w:rPr>
      </w:pPr>
      <w:bookmarkStart w:id="72" w:name="_Toc235449830"/>
      <w:r>
        <w:rPr>
          <w:rFonts w:ascii="Segoe UI" w:eastAsia="Times New Roman" w:hAnsi="Segoe UI" w:cs="Segoe UI"/>
          <w:lang w:val="en"/>
        </w:rPr>
        <w:t>46. Next Steps</w:t>
      </w:r>
      <w:bookmarkEnd w:id="72"/>
    </w:p>
    <w:p w14:paraId="72668EA0"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We propose the following steps to move from this proposal to a signed agreement and, ultimately, a live platform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2536"/>
        <w:gridCol w:w="7083"/>
      </w:tblGrid>
      <w:tr w:rsidR="00000000" w14:paraId="21840A3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37A73C7"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Step</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BB8899C"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r>
      <w:tr w:rsidR="00000000" w14:paraId="0E8631F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8923E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Proposal review meeting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33C7D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Review this proposal together, answer questions, and clarify any assumptions</w:t>
            </w:r>
          </w:p>
        </w:tc>
      </w:tr>
      <w:tr w:rsidR="00000000" w14:paraId="25C447F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368BD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Discovery workshop</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9EC3A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Confirm detailed requirements, infrastructure, and integration scope (Section 25, Phase 1)</w:t>
            </w:r>
          </w:p>
        </w:tc>
      </w:tr>
      <w:tr w:rsidR="00000000" w14:paraId="6BA9E33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08A87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Confirmed scope &amp; pricing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33B4B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Finalize scope and issue confirmed pricing based on the factors in Section 34.4</w:t>
            </w:r>
          </w:p>
        </w:tc>
      </w:tr>
      <w:tr w:rsidR="00000000" w14:paraId="3C00ADC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7EC16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4. Contract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CE28D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Execute the signed commercial agreement, including final terms (Sections 33, 42)</w:t>
            </w:r>
          </w:p>
        </w:tc>
      </w:tr>
      <w:tr w:rsidR="00000000" w14:paraId="4F9B381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17424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5. Project kickoff</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572E6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Begin delivery under the methodology set out in Section 25</w:t>
            </w:r>
          </w:p>
        </w:tc>
      </w:tr>
    </w:tbl>
    <w:p w14:paraId="10C3FC03" w14:textId="77777777" w:rsidR="00202328" w:rsidRDefault="00202328">
      <w:pPr>
        <w:pStyle w:val="Heading1"/>
        <w:rPr>
          <w:rFonts w:ascii="Segoe UI" w:eastAsia="Times New Roman" w:hAnsi="Segoe UI" w:cs="Segoe UI"/>
          <w:lang w:val="en"/>
        </w:rPr>
      </w:pPr>
      <w:bookmarkStart w:id="73" w:name="_Toc235449831"/>
      <w:r>
        <w:rPr>
          <w:rFonts w:ascii="Segoe UI" w:eastAsia="Times New Roman" w:hAnsi="Segoe UI" w:cs="Segoe UI"/>
          <w:lang w:val="en"/>
        </w:rPr>
        <w:lastRenderedPageBreak/>
        <w:t>47. Acceptance Page</w:t>
      </w:r>
      <w:bookmarkEnd w:id="73"/>
    </w:p>
    <w:p w14:paraId="49A7CC44"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This proposal is accepted and agreed by the signatories below on behalf of their respective organizations.</w:t>
      </w:r>
    </w:p>
    <w:tbl>
      <w:tblPr>
        <w:tblW w:w="5000" w:type="pct"/>
        <w:tblCellMar>
          <w:top w:w="15" w:type="dxa"/>
          <w:left w:w="15" w:type="dxa"/>
          <w:bottom w:w="15" w:type="dxa"/>
          <w:right w:w="15" w:type="dxa"/>
        </w:tblCellMar>
        <w:tblLook w:val="04A0" w:firstRow="1" w:lastRow="0" w:firstColumn="1" w:lastColumn="0" w:noHBand="0" w:noVBand="1"/>
      </w:tblPr>
      <w:tblGrid>
        <w:gridCol w:w="4809"/>
        <w:gridCol w:w="4810"/>
      </w:tblGrid>
      <w:tr w:rsidR="00000000" w14:paraId="2EB775FC"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55429FD"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 xml:space="preserve">For </w:t>
            </w:r>
            <w:r>
              <w:rPr>
                <w:rStyle w:val="Strong"/>
                <w:rFonts w:ascii="Segoe UI" w:eastAsia="Times New Roman" w:hAnsi="Segoe UI" w:cs="Segoe UI"/>
                <w:color w:val="FFFFFF"/>
                <w:sz w:val="19"/>
                <w:szCs w:val="19"/>
              </w:rPr>
              <w:t>[Client Name]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8DBAE38"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For Altanfith Aldwaliah SPC</w:t>
            </w:r>
          </w:p>
        </w:tc>
      </w:tr>
      <w:tr w:rsidR="00000000" w14:paraId="586BBD6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35FDA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Name: ____________________________</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50662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Name: ____________________________</w:t>
            </w:r>
          </w:p>
        </w:tc>
      </w:tr>
      <w:tr w:rsidR="00000000" w14:paraId="2480948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4D42E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Title: ____________________________</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0D4E4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Title: ____________________________</w:t>
            </w:r>
          </w:p>
        </w:tc>
      </w:tr>
      <w:tr w:rsidR="00000000" w14:paraId="5F8E231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CF6C6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Signature: ____________________________</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7F0921"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Signature: ____________________________</w:t>
            </w:r>
          </w:p>
        </w:tc>
      </w:tr>
      <w:tr w:rsidR="00000000" w14:paraId="12D80B4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AE5C73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 ____________________________</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18148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 ____________________________</w:t>
            </w:r>
          </w:p>
        </w:tc>
      </w:tr>
    </w:tbl>
    <w:p w14:paraId="0534ADC2" w14:textId="77777777" w:rsidR="00202328" w:rsidRDefault="00202328">
      <w:pPr>
        <w:pStyle w:val="Heading1"/>
        <w:rPr>
          <w:rFonts w:ascii="Segoe UI" w:eastAsia="Times New Roman" w:hAnsi="Segoe UI" w:cs="Segoe UI"/>
          <w:lang w:val="en"/>
        </w:rPr>
      </w:pPr>
      <w:bookmarkStart w:id="74" w:name="_Toc235449832"/>
      <w:r>
        <w:rPr>
          <w:rFonts w:ascii="Segoe UI" w:eastAsia="Times New Roman" w:hAnsi="Segoe UI" w:cs="Segoe UI"/>
          <w:lang w:val="en"/>
        </w:rPr>
        <w:t>48. Contact Details</w:t>
      </w:r>
      <w:bookmarkEnd w:id="74"/>
    </w:p>
    <w:tbl>
      <w:tblPr>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79103AEC" w14:textId="77777777">
        <w:tc>
          <w:tcPr>
            <w:tcW w:w="1600" w:type="pct"/>
            <w:tcBorders>
              <w:top w:val="nil"/>
              <w:left w:val="nil"/>
              <w:bottom w:val="nil"/>
              <w:right w:val="nil"/>
            </w:tcBorders>
            <w:tcMar>
              <w:top w:w="40" w:type="dxa"/>
              <w:left w:w="120" w:type="dxa"/>
              <w:bottom w:w="40" w:type="dxa"/>
              <w:right w:w="120" w:type="dxa"/>
            </w:tcMar>
            <w:hideMark/>
          </w:tcPr>
          <w:p w14:paraId="50FAA997"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Company</w:t>
            </w:r>
          </w:p>
        </w:tc>
        <w:tc>
          <w:tcPr>
            <w:tcW w:w="0" w:type="auto"/>
            <w:tcBorders>
              <w:top w:val="nil"/>
              <w:left w:val="nil"/>
              <w:bottom w:val="nil"/>
              <w:right w:val="nil"/>
            </w:tcBorders>
            <w:tcMar>
              <w:top w:w="40" w:type="dxa"/>
              <w:left w:w="120" w:type="dxa"/>
              <w:bottom w:w="40" w:type="dxa"/>
              <w:right w:w="120" w:type="dxa"/>
            </w:tcMar>
            <w:hideMark/>
          </w:tcPr>
          <w:p w14:paraId="3B48F5F3"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Aldwaliah SPC</w:t>
            </w:r>
          </w:p>
        </w:tc>
      </w:tr>
      <w:tr w:rsidR="00000000" w14:paraId="08B3296E" w14:textId="77777777">
        <w:tc>
          <w:tcPr>
            <w:tcW w:w="0" w:type="auto"/>
            <w:tcBorders>
              <w:top w:val="nil"/>
              <w:left w:val="nil"/>
              <w:bottom w:val="nil"/>
              <w:right w:val="nil"/>
            </w:tcBorders>
            <w:tcMar>
              <w:top w:w="40" w:type="dxa"/>
              <w:left w:w="120" w:type="dxa"/>
              <w:bottom w:w="40" w:type="dxa"/>
              <w:right w:w="120" w:type="dxa"/>
            </w:tcMar>
            <w:hideMark/>
          </w:tcPr>
          <w:p w14:paraId="7EB17328"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Solution</w:t>
            </w:r>
          </w:p>
        </w:tc>
        <w:tc>
          <w:tcPr>
            <w:tcW w:w="0" w:type="auto"/>
            <w:tcBorders>
              <w:top w:val="nil"/>
              <w:left w:val="nil"/>
              <w:bottom w:val="nil"/>
              <w:right w:val="nil"/>
            </w:tcBorders>
            <w:tcMar>
              <w:top w:w="40" w:type="dxa"/>
              <w:left w:w="120" w:type="dxa"/>
              <w:bottom w:w="40" w:type="dxa"/>
              <w:right w:w="120" w:type="dxa"/>
            </w:tcMar>
            <w:hideMark/>
          </w:tcPr>
          <w:p w14:paraId="789BB67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Platform</w:t>
            </w:r>
          </w:p>
        </w:tc>
      </w:tr>
      <w:tr w:rsidR="00000000" w14:paraId="22F67C01" w14:textId="77777777">
        <w:tc>
          <w:tcPr>
            <w:tcW w:w="0" w:type="auto"/>
            <w:tcBorders>
              <w:top w:val="nil"/>
              <w:left w:val="nil"/>
              <w:bottom w:val="nil"/>
              <w:right w:val="nil"/>
            </w:tcBorders>
            <w:tcMar>
              <w:top w:w="40" w:type="dxa"/>
              <w:left w:w="120" w:type="dxa"/>
              <w:bottom w:w="40" w:type="dxa"/>
              <w:right w:w="120" w:type="dxa"/>
            </w:tcMar>
            <w:hideMark/>
          </w:tcPr>
          <w:p w14:paraId="5C4917BB"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Prepared by</w:t>
            </w:r>
          </w:p>
        </w:tc>
        <w:tc>
          <w:tcPr>
            <w:tcW w:w="0" w:type="auto"/>
            <w:tcBorders>
              <w:top w:val="nil"/>
              <w:left w:val="nil"/>
              <w:bottom w:val="nil"/>
              <w:right w:val="nil"/>
            </w:tcBorders>
            <w:tcMar>
              <w:top w:w="40" w:type="dxa"/>
              <w:left w:w="120" w:type="dxa"/>
              <w:bottom w:w="40" w:type="dxa"/>
              <w:right w:w="120" w:type="dxa"/>
            </w:tcMar>
            <w:hideMark/>
          </w:tcPr>
          <w:p w14:paraId="7B2058A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 Al Lamki</w:t>
            </w:r>
          </w:p>
        </w:tc>
      </w:tr>
      <w:tr w:rsidR="00000000" w14:paraId="2C000A78" w14:textId="77777777">
        <w:tc>
          <w:tcPr>
            <w:tcW w:w="0" w:type="auto"/>
            <w:tcBorders>
              <w:top w:val="nil"/>
              <w:left w:val="nil"/>
              <w:bottom w:val="nil"/>
              <w:right w:val="nil"/>
            </w:tcBorders>
            <w:tcMar>
              <w:top w:w="40" w:type="dxa"/>
              <w:left w:w="120" w:type="dxa"/>
              <w:bottom w:w="40" w:type="dxa"/>
              <w:right w:w="120" w:type="dxa"/>
            </w:tcMar>
            <w:hideMark/>
          </w:tcPr>
          <w:p w14:paraId="64FFEAC8"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Email</w:t>
            </w:r>
          </w:p>
        </w:tc>
        <w:tc>
          <w:tcPr>
            <w:tcW w:w="0" w:type="auto"/>
            <w:tcBorders>
              <w:top w:val="nil"/>
              <w:left w:val="nil"/>
              <w:bottom w:val="nil"/>
              <w:right w:val="nil"/>
            </w:tcBorders>
            <w:tcMar>
              <w:top w:w="40" w:type="dxa"/>
              <w:left w:w="120" w:type="dxa"/>
              <w:bottom w:w="40" w:type="dxa"/>
              <w:right w:w="120" w:type="dxa"/>
            </w:tcMar>
            <w:hideMark/>
          </w:tcPr>
          <w:p w14:paraId="48DEF23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haitham@altanfith.com</w:t>
            </w:r>
          </w:p>
        </w:tc>
      </w:tr>
      <w:tr w:rsidR="00000000" w14:paraId="448CE0DF" w14:textId="77777777">
        <w:tc>
          <w:tcPr>
            <w:tcW w:w="0" w:type="auto"/>
            <w:tcBorders>
              <w:top w:val="nil"/>
              <w:left w:val="nil"/>
              <w:bottom w:val="nil"/>
              <w:right w:val="nil"/>
            </w:tcBorders>
            <w:tcMar>
              <w:top w:w="40" w:type="dxa"/>
              <w:left w:w="120" w:type="dxa"/>
              <w:bottom w:w="40" w:type="dxa"/>
              <w:right w:w="120" w:type="dxa"/>
            </w:tcMar>
            <w:hideMark/>
          </w:tcPr>
          <w:p w14:paraId="189E5E2F"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Phone</w:t>
            </w:r>
          </w:p>
        </w:tc>
        <w:tc>
          <w:tcPr>
            <w:tcW w:w="0" w:type="auto"/>
            <w:tcBorders>
              <w:top w:val="nil"/>
              <w:left w:val="nil"/>
              <w:bottom w:val="nil"/>
              <w:right w:val="nil"/>
            </w:tcBorders>
            <w:tcMar>
              <w:top w:w="40" w:type="dxa"/>
              <w:left w:w="120" w:type="dxa"/>
              <w:bottom w:w="40" w:type="dxa"/>
              <w:right w:w="120" w:type="dxa"/>
            </w:tcMar>
            <w:hideMark/>
          </w:tcPr>
          <w:p w14:paraId="0E8FFA9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+968 9937 1775</w:t>
            </w:r>
          </w:p>
        </w:tc>
      </w:tr>
      <w:tr w:rsidR="00000000" w14:paraId="1599F773" w14:textId="77777777">
        <w:tc>
          <w:tcPr>
            <w:tcW w:w="0" w:type="auto"/>
            <w:tcBorders>
              <w:top w:val="nil"/>
              <w:left w:val="nil"/>
              <w:bottom w:val="nil"/>
              <w:right w:val="nil"/>
            </w:tcBorders>
            <w:tcMar>
              <w:top w:w="40" w:type="dxa"/>
              <w:left w:w="120" w:type="dxa"/>
              <w:bottom w:w="40" w:type="dxa"/>
              <w:right w:w="120" w:type="dxa"/>
            </w:tcMar>
            <w:hideMark/>
          </w:tcPr>
          <w:p w14:paraId="6B9BB46F" w14:textId="77777777" w:rsidR="00202328" w:rsidRDefault="00202328">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Country</w:t>
            </w:r>
          </w:p>
        </w:tc>
        <w:tc>
          <w:tcPr>
            <w:tcW w:w="0" w:type="auto"/>
            <w:tcBorders>
              <w:top w:val="nil"/>
              <w:left w:val="nil"/>
              <w:bottom w:val="nil"/>
              <w:right w:val="nil"/>
            </w:tcBorders>
            <w:tcMar>
              <w:top w:w="40" w:type="dxa"/>
              <w:left w:w="120" w:type="dxa"/>
              <w:bottom w:w="40" w:type="dxa"/>
              <w:right w:w="120" w:type="dxa"/>
            </w:tcMar>
            <w:hideMark/>
          </w:tcPr>
          <w:p w14:paraId="4F65F5F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Sultanate of Oman</w:t>
            </w:r>
          </w:p>
        </w:tc>
      </w:tr>
    </w:tbl>
    <w:p w14:paraId="4EB6ADC6" w14:textId="77777777" w:rsidR="00202328" w:rsidRDefault="00202328">
      <w:pPr>
        <w:pStyle w:val="Heading1"/>
        <w:rPr>
          <w:rFonts w:ascii="Segoe UI" w:eastAsia="Times New Roman" w:hAnsi="Segoe UI" w:cs="Segoe UI"/>
          <w:lang w:val="en"/>
        </w:rPr>
      </w:pPr>
      <w:bookmarkStart w:id="75" w:name="_Toc235449833"/>
      <w:r>
        <w:rPr>
          <w:rFonts w:ascii="Segoe UI" w:eastAsia="Times New Roman" w:hAnsi="Segoe UI" w:cs="Segoe UI"/>
          <w:lang w:val="en"/>
        </w:rPr>
        <w:t>49. Appendices</w:t>
      </w:r>
      <w:bookmarkEnd w:id="75"/>
    </w:p>
    <w:p w14:paraId="51356B35" w14:textId="77777777" w:rsidR="00202328" w:rsidRDefault="00202328">
      <w:pPr>
        <w:pStyle w:val="Heading2"/>
        <w:rPr>
          <w:rFonts w:ascii="Segoe UI" w:eastAsia="Times New Roman" w:hAnsi="Segoe UI" w:cs="Segoe UI"/>
          <w:lang w:val="en"/>
        </w:rPr>
      </w:pPr>
      <w:bookmarkStart w:id="76" w:name="_Toc235449834"/>
      <w:r>
        <w:rPr>
          <w:rFonts w:ascii="Segoe UI" w:eastAsia="Times New Roman" w:hAnsi="Segoe UI" w:cs="Segoe UI"/>
          <w:lang w:val="en"/>
        </w:rPr>
        <w:t>49.1 Appendix A — Glossary</w:t>
      </w:r>
      <w:bookmarkEnd w:id="76"/>
    </w:p>
    <w:tbl>
      <w:tblPr>
        <w:tblW w:w="5000" w:type="pct"/>
        <w:tblCellMar>
          <w:top w:w="15" w:type="dxa"/>
          <w:left w:w="15" w:type="dxa"/>
          <w:bottom w:w="15" w:type="dxa"/>
          <w:right w:w="15" w:type="dxa"/>
        </w:tblCellMar>
        <w:tblLook w:val="04A0" w:firstRow="1" w:lastRow="0" w:firstColumn="1" w:lastColumn="0" w:noHBand="0" w:noVBand="1"/>
      </w:tblPr>
      <w:tblGrid>
        <w:gridCol w:w="1187"/>
        <w:gridCol w:w="8432"/>
      </w:tblGrid>
      <w:tr w:rsidR="00000000" w14:paraId="1A1CFF1C"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95EA7C6"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Term</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F571067" w14:textId="77777777" w:rsidR="00202328" w:rsidRDefault="00202328">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Meaning</w:t>
            </w:r>
          </w:p>
        </w:tc>
      </w:tr>
      <w:tr w:rsidR="00000000" w14:paraId="7ED6F31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7397C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92BFDB"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Application Programming Interface — the interface through which systems exchange data</w:t>
            </w:r>
          </w:p>
        </w:tc>
      </w:tr>
      <w:tr w:rsidR="00000000" w14:paraId="4935E98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39DFC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Hypercare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4B98E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period of heightened, close-support monitoring immediately following go-live (Section 25, Phase 16)</w:t>
            </w:r>
          </w:p>
        </w:tc>
      </w:tr>
      <w:tr w:rsidR="00000000" w14:paraId="1944C6B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4CB37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8CAFE4"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JSON Web Token — a common secure, token-based authentication format</w:t>
            </w:r>
          </w:p>
        </w:tc>
      </w:tr>
      <w:tr w:rsidR="00000000" w14:paraId="766DF35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887BA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FC845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Learning Management System</w:t>
            </w:r>
          </w:p>
        </w:tc>
      </w:tr>
      <w:tr w:rsidR="00000000" w14:paraId="2C83CC1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1C51F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MFA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81BED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Multi-Factor Authentication</w:t>
            </w:r>
          </w:p>
        </w:tc>
      </w:tr>
      <w:tr w:rsidR="00000000" w14:paraId="2C88EAC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38B9AF"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RBAC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386509"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 Control — access permissions governed by assigned roles</w:t>
            </w:r>
          </w:p>
        </w:tc>
      </w:tr>
      <w:tr w:rsidR="00000000" w14:paraId="1FAB723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A3AC5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RLS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172320"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Row-Level Security — database-enforced, per-record data isolation</w:t>
            </w:r>
          </w:p>
        </w:tc>
      </w:tr>
      <w:tr w:rsidR="00000000" w14:paraId="4991469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48AD7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RTL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33D57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Right-to-Left — the text layout direction required for Arabic</w:t>
            </w:r>
          </w:p>
        </w:tc>
      </w:tr>
      <w:tr w:rsidR="00000000" w14:paraId="00B1197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4EF622"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SLA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45754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Service Level Agreement — defined response and resolution targets for support</w:t>
            </w:r>
          </w:p>
        </w:tc>
      </w:tr>
      <w:tr w:rsidR="00000000" w14:paraId="34CEF8D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2A703A"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SSO</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2028ED"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Single Sign-On — authentication against a shared identity provider</w:t>
            </w:r>
          </w:p>
        </w:tc>
      </w:tr>
      <w:tr w:rsidR="00000000" w14:paraId="104D1F8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2DC92C"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Tenant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8B47C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 isolated organization or department within the multi-tenant platform</w:t>
            </w:r>
          </w:p>
        </w:tc>
      </w:tr>
      <w:tr w:rsidR="00000000" w14:paraId="24BFDEB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BFF335"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E21EA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Transport Layer Security — encryption protocol used to secure data in transit</w:t>
            </w:r>
          </w:p>
        </w:tc>
      </w:tr>
      <w:tr w:rsidR="00000000" w14:paraId="7D06628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D0D738"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DD6206"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Acceptance Testing — client-led testing against agreed acceptance criteria before go-live</w:t>
            </w:r>
          </w:p>
        </w:tc>
      </w:tr>
      <w:tr w:rsidR="00000000" w14:paraId="23BB9CE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FFF4BE"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WebSocket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5D1357" w14:textId="77777777" w:rsidR="00202328" w:rsidRDefault="00202328">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persistent connection protocol used for the platform's real-time features</w:t>
            </w:r>
          </w:p>
        </w:tc>
      </w:tr>
    </w:tbl>
    <w:p w14:paraId="6F7E97B7" w14:textId="77777777" w:rsidR="00202328" w:rsidRDefault="00202328">
      <w:pPr>
        <w:pStyle w:val="Heading2"/>
        <w:rPr>
          <w:rFonts w:ascii="Segoe UI" w:eastAsia="Times New Roman" w:hAnsi="Segoe UI" w:cs="Segoe UI"/>
          <w:lang w:val="en"/>
        </w:rPr>
      </w:pPr>
      <w:bookmarkStart w:id="77" w:name="_Toc235449835"/>
      <w:r>
        <w:rPr>
          <w:rFonts w:ascii="Segoe UI" w:eastAsia="Times New Roman" w:hAnsi="Segoe UI" w:cs="Segoe UI"/>
          <w:lang w:val="en"/>
        </w:rPr>
        <w:t>49.2 Appendix B — Placeholder Index</w:t>
      </w:r>
      <w:bookmarkEnd w:id="77"/>
    </w:p>
    <w:p w14:paraId="668F2CDB" w14:textId="77777777" w:rsidR="00202328" w:rsidRDefault="00202328">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following placeholders appear throughout this proposal and should be completed by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and Altanfith Aldwaliah SPC jointly before the document is finalized: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[Proposal Reference]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[Date]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[Number of Users]</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[Concurrent Participants]</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[Hosting Provider]</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[Data Retention Period]</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[Response Time]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[Pricing]</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[Payment Terms]</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[Client Infrastructure]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[Compliance Requirement]</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[Integration System]</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OMR [TBC]</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[TBC]%</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[TBC]</w:t>
      </w:r>
      <w:r>
        <w:rPr>
          <w:rFonts w:ascii="Segoe UI" w:hAnsi="Segoe UI" w:cs="Segoe UI"/>
          <w:color w:val="1F2933"/>
          <w:sz w:val="21"/>
          <w:szCs w:val="21"/>
          <w:lang w:val="en"/>
        </w:rPr>
        <w:t>.</w:t>
      </w:r>
    </w:p>
    <w:p w14:paraId="1DB8C49F" w14:textId="77777777" w:rsidR="00202328" w:rsidRDefault="00202328">
      <w:pPr>
        <w:pStyle w:val="Heading2"/>
        <w:rPr>
          <w:rFonts w:ascii="Segoe UI" w:eastAsia="Times New Roman" w:hAnsi="Segoe UI" w:cs="Segoe UI"/>
          <w:lang w:val="en"/>
        </w:rPr>
      </w:pPr>
      <w:bookmarkStart w:id="78" w:name="_Toc235449836"/>
      <w:r>
        <w:rPr>
          <w:rFonts w:ascii="Segoe UI" w:eastAsia="Times New Roman" w:hAnsi="Segoe UI" w:cs="Segoe UI"/>
          <w:lang w:val="en"/>
        </w:rPr>
        <w:t>49.3 Appendix C — Referenced Documents</w:t>
      </w:r>
      <w:bookmarkEnd w:id="78"/>
    </w:p>
    <w:p w14:paraId="545BD34A" w14:textId="77777777" w:rsidR="00202328" w:rsidRDefault="00202328">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[Referenced Documents]</w:t>
      </w:r>
      <w:r>
        <w:rPr>
          <w:rFonts w:ascii="Segoe UI" w:hAnsi="Segoe UI" w:cs="Segoe UI"/>
          <w:color w:val="1F2933"/>
          <w:sz w:val="21"/>
          <w:szCs w:val="21"/>
          <w:lang w:val="en"/>
        </w:rPr>
        <w:t xml:space="preserve"> — any client-supplied requirements documents, security policies, or architecture standards referenced during discovery will be listed here.</w:t>
      </w:r>
    </w:p>
    <w:sectPr w:rsidR="00202328" w:rsidSect="006D25F0">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EBEC8" w14:textId="77777777" w:rsidR="00202328" w:rsidRDefault="00202328" w:rsidP="006D25F0">
      <w:r>
        <w:separator/>
      </w:r>
    </w:p>
  </w:endnote>
  <w:endnote w:type="continuationSeparator" w:id="0">
    <w:p w14:paraId="6D01F7A0" w14:textId="77777777" w:rsidR="00202328" w:rsidRDefault="00202328" w:rsidP="006D25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D849" w14:textId="77777777" w:rsidR="006D25F0" w:rsidRDefault="006D25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77821" w14:textId="6ED728E6" w:rsidR="006D25F0" w:rsidRPr="006D25F0" w:rsidRDefault="006D25F0" w:rsidP="006D25F0">
    <w:pPr>
      <w:pStyle w:val="Footer"/>
      <w:jc w:val="center"/>
      <w:rPr>
        <w:color w:val="5A6B7A"/>
        <w:sz w:val="16"/>
      </w:rPr>
    </w:pPr>
    <w:r w:rsidRPr="006D25F0">
      <w:rPr>
        <w:color w:val="5A6B7A"/>
        <w:sz w:val="16"/>
      </w:rPr>
      <w:t xml:space="preserve">Altanfith Aldwaliah SPC  |  Confidential  |  Page </w:t>
    </w:r>
    <w:r w:rsidRPr="006D25F0">
      <w:rPr>
        <w:color w:val="5A6B7A"/>
        <w:sz w:val="16"/>
      </w:rPr>
      <w:fldChar w:fldCharType="begin"/>
    </w:r>
    <w:r w:rsidRPr="006D25F0">
      <w:rPr>
        <w:color w:val="5A6B7A"/>
        <w:sz w:val="16"/>
      </w:rPr>
      <w:instrText xml:space="preserve"> PAGE  \* MERGEFORMAT </w:instrText>
    </w:r>
    <w:r w:rsidRPr="006D25F0">
      <w:rPr>
        <w:color w:val="5A6B7A"/>
        <w:sz w:val="16"/>
      </w:rPr>
      <w:fldChar w:fldCharType="separate"/>
    </w:r>
    <w:r w:rsidRPr="006D25F0">
      <w:rPr>
        <w:noProof/>
        <w:color w:val="5A6B7A"/>
        <w:sz w:val="16"/>
      </w:rPr>
      <w:t>1</w:t>
    </w:r>
    <w:r w:rsidRPr="006D25F0">
      <w:rPr>
        <w:color w:val="5A6B7A"/>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C7F38" w14:textId="77777777" w:rsidR="006D25F0" w:rsidRDefault="006D25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21049" w14:textId="77777777" w:rsidR="00202328" w:rsidRDefault="00202328" w:rsidP="006D25F0">
      <w:r>
        <w:separator/>
      </w:r>
    </w:p>
  </w:footnote>
  <w:footnote w:type="continuationSeparator" w:id="0">
    <w:p w14:paraId="5FAA3F75" w14:textId="77777777" w:rsidR="00202328" w:rsidRDefault="00202328" w:rsidP="006D25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069" w14:textId="77777777" w:rsidR="006D25F0" w:rsidRDefault="006D25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45136" w14:textId="77777777" w:rsidR="006D25F0" w:rsidRDefault="006D25F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D94D2" w14:textId="77777777" w:rsidR="006D25F0" w:rsidRDefault="006D25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56A0"/>
    <w:multiLevelType w:val="multilevel"/>
    <w:tmpl w:val="0FF0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DA72CE"/>
    <w:multiLevelType w:val="multilevel"/>
    <w:tmpl w:val="45ECF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217A57"/>
    <w:multiLevelType w:val="multilevel"/>
    <w:tmpl w:val="D1AE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D55354"/>
    <w:multiLevelType w:val="multilevel"/>
    <w:tmpl w:val="1FEE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7531136">
    <w:abstractNumId w:val="2"/>
  </w:num>
  <w:num w:numId="2" w16cid:durableId="1686327863">
    <w:abstractNumId w:val="1"/>
  </w:num>
  <w:num w:numId="3" w16cid:durableId="1662192179">
    <w:abstractNumId w:val="0"/>
  </w:num>
  <w:num w:numId="4" w16cid:durableId="15435145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D25F0"/>
    <w:rsid w:val="00202328"/>
    <w:rsid w:val="00375E57"/>
    <w:rsid w:val="006D25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5BC405"/>
  <w15:chartTrackingRefBased/>
  <w15:docId w15:val="{BF139B20-4F8F-4148-AB58-EE435B4AD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8" w:space="4" w:color="0FA3A3"/>
      </w:pBdr>
      <w:spacing w:before="400" w:after="100" w:afterAutospacing="1"/>
      <w:outlineLvl w:val="0"/>
    </w:pPr>
    <w:rPr>
      <w:b/>
      <w:bCs/>
      <w:color w:val="0B2239"/>
      <w:kern w:val="36"/>
      <w:sz w:val="36"/>
      <w:szCs w:val="36"/>
    </w:rPr>
  </w:style>
  <w:style w:type="paragraph" w:styleId="Heading2">
    <w:name w:val="heading 2"/>
    <w:basedOn w:val="Normal"/>
    <w:link w:val="Heading2Char"/>
    <w:uiPriority w:val="9"/>
    <w:qFormat/>
    <w:pPr>
      <w:spacing w:before="280" w:after="100" w:afterAutospacing="1"/>
      <w:outlineLvl w:val="1"/>
    </w:pPr>
    <w:rPr>
      <w:b/>
      <w:bCs/>
      <w:color w:val="0B2239"/>
      <w:sz w:val="26"/>
      <w:szCs w:val="26"/>
    </w:rPr>
  </w:style>
  <w:style w:type="paragraph" w:styleId="Heading3">
    <w:name w:val="heading 3"/>
    <w:basedOn w:val="Normal"/>
    <w:link w:val="Heading3Char"/>
    <w:uiPriority w:val="9"/>
    <w:qFormat/>
    <w:pPr>
      <w:spacing w:before="100" w:beforeAutospacing="1" w:after="100" w:afterAutospacing="1"/>
      <w:outlineLvl w:val="2"/>
    </w:pPr>
    <w:rPr>
      <w:b/>
      <w:bCs/>
      <w:color w:val="155E6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pb">
    <w:name w:val="pb"/>
    <w:basedOn w:val="Normal"/>
    <w:pPr>
      <w:pageBreakBefore/>
      <w:spacing w:before="100" w:beforeAutospacing="1" w:after="100" w:afterAutospacing="1"/>
    </w:pPr>
  </w:style>
  <w:style w:type="paragraph" w:customStyle="1" w:styleId="tag">
    <w:name w:val="tag"/>
    <w:basedOn w:val="Normal"/>
    <w:pPr>
      <w:spacing w:before="100" w:beforeAutospacing="1" w:after="100" w:afterAutospacing="1"/>
    </w:pPr>
    <w:rPr>
      <w:color w:val="0FA3A3"/>
    </w:rPr>
  </w:style>
  <w:style w:type="paragraph" w:customStyle="1" w:styleId="notice">
    <w:name w:val="notice"/>
    <w:basedOn w:val="Normal"/>
    <w:pPr>
      <w:pBdr>
        <w:left w:val="single" w:sz="24" w:space="10" w:color="0FA3A3"/>
      </w:pBdr>
      <w:shd w:val="clear" w:color="auto" w:fill="F2F4F7"/>
      <w:spacing w:before="100" w:beforeAutospacing="1" w:after="100" w:afterAutospacing="1"/>
    </w:pPr>
  </w:style>
  <w:style w:type="paragraph" w:customStyle="1" w:styleId="muted">
    <w:name w:val="muted"/>
    <w:basedOn w:val="Normal"/>
    <w:pPr>
      <w:spacing w:before="100" w:beforeAutospacing="1" w:after="100" w:afterAutospacing="1"/>
    </w:pPr>
    <w:rPr>
      <w:color w:val="5A6B7A"/>
      <w:sz w:val="18"/>
      <w:szCs w:val="18"/>
    </w:rPr>
  </w:style>
  <w:style w:type="paragraph" w:customStyle="1" w:styleId="badge-inc">
    <w:name w:val="badge-inc"/>
    <w:basedOn w:val="Normal"/>
    <w:pPr>
      <w:spacing w:before="100" w:beforeAutospacing="1" w:after="100" w:afterAutospacing="1"/>
    </w:pPr>
    <w:rPr>
      <w:b/>
      <w:bCs/>
      <w:color w:val="155E63"/>
    </w:rPr>
  </w:style>
  <w:style w:type="paragraph" w:customStyle="1" w:styleId="badge-opt">
    <w:name w:val="badge-opt"/>
    <w:basedOn w:val="Normal"/>
    <w:pPr>
      <w:spacing w:before="100" w:beforeAutospacing="1" w:after="100" w:afterAutospacing="1"/>
    </w:pPr>
    <w:rPr>
      <w:b/>
      <w:bCs/>
      <w:color w:val="8A6D1D"/>
    </w:rPr>
  </w:style>
  <w:style w:type="paragraph" w:customStyle="1" w:styleId="badge-fut">
    <w:name w:val="badge-fut"/>
    <w:basedOn w:val="Normal"/>
    <w:pPr>
      <w:spacing w:before="100" w:beforeAutospacing="1" w:after="100" w:afterAutospacing="1"/>
    </w:pPr>
    <w:rPr>
      <w:b/>
      <w:bCs/>
      <w:color w:val="5A6B7A"/>
    </w:rPr>
  </w:style>
  <w:style w:type="paragraph" w:customStyle="1" w:styleId="badge-tbc">
    <w:name w:val="badge-tbc"/>
    <w:basedOn w:val="Normal"/>
    <w:pPr>
      <w:spacing w:before="100" w:beforeAutospacing="1" w:after="100" w:afterAutospacing="1"/>
    </w:pPr>
    <w:rPr>
      <w:b/>
      <w:bCs/>
      <w:color w:val="8C2F2F"/>
    </w:rPr>
  </w:style>
  <w:style w:type="character" w:styleId="Strong">
    <w:name w:val="Strong"/>
    <w:basedOn w:val="DefaultParagraphFont"/>
    <w:uiPriority w:val="22"/>
    <w:qFormat/>
    <w:rPr>
      <w:b/>
      <w:bCs/>
    </w:rPr>
  </w:style>
  <w:style w:type="character" w:customStyle="1" w:styleId="muted1">
    <w:name w:val="muted1"/>
    <w:basedOn w:val="DefaultParagraphFont"/>
    <w:rPr>
      <w:color w:val="5A6B7A"/>
      <w:sz w:val="18"/>
      <w:szCs w:val="18"/>
    </w:rPr>
  </w:style>
  <w:style w:type="character" w:customStyle="1" w:styleId="badge-inc1">
    <w:name w:val="badge-inc1"/>
    <w:basedOn w:val="DefaultParagraphFont"/>
    <w:rPr>
      <w:b/>
      <w:bCs/>
      <w:color w:val="155E63"/>
    </w:rPr>
  </w:style>
  <w:style w:type="character" w:customStyle="1" w:styleId="badge-opt1">
    <w:name w:val="badge-opt1"/>
    <w:basedOn w:val="DefaultParagraphFont"/>
    <w:rPr>
      <w:b/>
      <w:bCs/>
      <w:color w:val="8A6D1D"/>
    </w:rPr>
  </w:style>
  <w:style w:type="character" w:customStyle="1" w:styleId="badge-fut1">
    <w:name w:val="badge-fut1"/>
    <w:basedOn w:val="DefaultParagraphFont"/>
    <w:rPr>
      <w:b/>
      <w:bCs/>
      <w:color w:val="5A6B7A"/>
    </w:rPr>
  </w:style>
  <w:style w:type="paragraph" w:styleId="Header">
    <w:name w:val="header"/>
    <w:basedOn w:val="Normal"/>
    <w:link w:val="HeaderChar"/>
    <w:uiPriority w:val="99"/>
    <w:unhideWhenUsed/>
    <w:rsid w:val="006D25F0"/>
    <w:pPr>
      <w:tabs>
        <w:tab w:val="center" w:pos="4680"/>
        <w:tab w:val="right" w:pos="9360"/>
      </w:tabs>
    </w:pPr>
  </w:style>
  <w:style w:type="character" w:customStyle="1" w:styleId="HeaderChar">
    <w:name w:val="Header Char"/>
    <w:basedOn w:val="DefaultParagraphFont"/>
    <w:link w:val="Header"/>
    <w:uiPriority w:val="99"/>
    <w:rsid w:val="006D25F0"/>
    <w:rPr>
      <w:rFonts w:eastAsiaTheme="minorEastAsia"/>
      <w:sz w:val="24"/>
      <w:szCs w:val="24"/>
    </w:rPr>
  </w:style>
  <w:style w:type="paragraph" w:styleId="Footer">
    <w:name w:val="footer"/>
    <w:basedOn w:val="Normal"/>
    <w:link w:val="FooterChar"/>
    <w:uiPriority w:val="99"/>
    <w:unhideWhenUsed/>
    <w:rsid w:val="006D25F0"/>
    <w:pPr>
      <w:tabs>
        <w:tab w:val="center" w:pos="4680"/>
        <w:tab w:val="right" w:pos="9360"/>
      </w:tabs>
    </w:pPr>
  </w:style>
  <w:style w:type="character" w:customStyle="1" w:styleId="FooterChar">
    <w:name w:val="Footer Char"/>
    <w:basedOn w:val="DefaultParagraphFont"/>
    <w:link w:val="Footer"/>
    <w:uiPriority w:val="99"/>
    <w:rsid w:val="006D25F0"/>
    <w:rPr>
      <w:rFonts w:eastAsiaTheme="minorEastAsia"/>
      <w:sz w:val="24"/>
      <w:szCs w:val="24"/>
    </w:rPr>
  </w:style>
  <w:style w:type="paragraph" w:styleId="TOC1">
    <w:name w:val="toc 1"/>
    <w:basedOn w:val="Normal"/>
    <w:next w:val="Normal"/>
    <w:autoRedefine/>
    <w:uiPriority w:val="39"/>
    <w:unhideWhenUsed/>
    <w:rsid w:val="006D25F0"/>
    <w:pPr>
      <w:spacing w:after="100"/>
    </w:pPr>
  </w:style>
  <w:style w:type="paragraph" w:styleId="TOC2">
    <w:name w:val="toc 2"/>
    <w:basedOn w:val="Normal"/>
    <w:next w:val="Normal"/>
    <w:autoRedefine/>
    <w:uiPriority w:val="39"/>
    <w:unhideWhenUsed/>
    <w:rsid w:val="006D25F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2154319">
      <w:marLeft w:val="0"/>
      <w:marRight w:val="0"/>
      <w:marTop w:val="0"/>
      <w:marBottom w:val="0"/>
      <w:divBdr>
        <w:top w:val="none" w:sz="0" w:space="0" w:color="auto"/>
        <w:left w:val="single" w:sz="24" w:space="10" w:color="0FA3A3"/>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45</Pages>
  <Words>10582</Words>
  <Characters>65330</Characters>
  <Application>Microsoft Office Word</Application>
  <DocSecurity>0</DocSecurity>
  <Lines>1909</Lines>
  <Paragraphs>1255</Paragraphs>
  <ScaleCrop>false</ScaleCrop>
  <Company/>
  <LinksUpToDate>false</LinksUpToDate>
  <CharactersWithSpaces>74758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 Quiz Platform — Technical &amp; Commercial Proposal</dc:title>
  <dc:subject/>
  <dc:creator>Haitham Al Lamki</dc:creator>
  <cp:keywords/>
  <dc:description/>
  <cp:lastModifiedBy>Haitham Al Lamki</cp:lastModifiedBy>
  <cp:revision>2</cp:revision>
  <dcterms:created xsi:type="dcterms:W3CDTF">2026-07-20T10:21:00Z</dcterms:created>
  <dcterms:modified xsi:type="dcterms:W3CDTF">2026-07-20T10:21:00Z</dcterms:modified>
</cp:coreProperties>
</file>