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543D2AD4"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3909250B" w14:textId="77777777" w:rsidR="00B66A6A" w:rsidRDefault="00B66A6A">
            <w:pPr>
              <w:pStyle w:val="NormalWeb"/>
              <w:rPr>
                <w:rFonts w:ascii="Segoe UI" w:hAnsi="Segoe UI" w:cs="Segoe UI"/>
                <w:color w:val="FFFFFF"/>
                <w:spacing w:val="20"/>
              </w:rPr>
            </w:pPr>
            <w:r>
              <w:rPr>
                <w:rFonts w:ascii="Segoe UI" w:hAnsi="Segoe UI" w:cs="Segoe UI"/>
                <w:color w:val="FFFFFF"/>
                <w:spacing w:val="20"/>
              </w:rPr>
              <w:t>AL TANFITH AL DWALIAH SPC</w:t>
            </w:r>
          </w:p>
          <w:p w14:paraId="2EDEEFB6" w14:textId="77777777" w:rsidR="00B66A6A" w:rsidRDefault="00B66A6A">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399EF55B" w14:textId="77777777" w:rsidR="00B66A6A" w:rsidRDefault="00B66A6A">
            <w:pPr>
              <w:pStyle w:val="NormalWeb"/>
              <w:spacing w:before="0"/>
              <w:rPr>
                <w:rFonts w:ascii="Segoe UI" w:hAnsi="Segoe UI" w:cs="Segoe UI"/>
                <w:color w:val="FFFFFF"/>
                <w:sz w:val="30"/>
                <w:szCs w:val="30"/>
              </w:rPr>
            </w:pPr>
            <w:r>
              <w:rPr>
                <w:rFonts w:ascii="Segoe UI" w:hAnsi="Segoe UI" w:cs="Segoe UI"/>
                <w:color w:val="FFFFFF"/>
                <w:sz w:val="30"/>
                <w:szCs w:val="30"/>
              </w:rPr>
              <w:t>Technical &amp; Commercial Proposal</w:t>
            </w:r>
          </w:p>
          <w:p w14:paraId="22376E8A" w14:textId="77777777" w:rsidR="00B66A6A" w:rsidRDefault="00B66A6A">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43986CBD" w14:textId="77777777" w:rsidR="00B66A6A" w:rsidRDefault="00B66A6A">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w:t>
            </w:r>
          </w:p>
          <w:p w14:paraId="499068E0" w14:textId="77777777" w:rsidR="00B66A6A" w:rsidRDefault="00B66A6A">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1.2</w:t>
            </w:r>
          </w:p>
          <w:p w14:paraId="44142786" w14:textId="77777777" w:rsidR="00B66A6A" w:rsidRDefault="00B66A6A">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49A0D71D" w14:textId="77777777" w:rsidR="00B66A6A" w:rsidRDefault="00B66A6A">
      <w:pPr>
        <w:pStyle w:val="Heading1"/>
        <w:pageBreakBefore/>
        <w:rPr>
          <w:rFonts w:ascii="Segoe UI" w:eastAsia="Times New Roman" w:hAnsi="Segoe UI" w:cs="Segoe UI"/>
          <w:lang w:val="en"/>
        </w:rPr>
      </w:pPr>
      <w:bookmarkStart w:id="0" w:name="_Toc236138671"/>
      <w:r>
        <w:rPr>
          <w:rFonts w:ascii="Segoe UI" w:eastAsia="Times New Roman" w:hAnsi="Segoe UI" w:cs="Segoe UI"/>
          <w:lang w:val="en"/>
        </w:rPr>
        <w:lastRenderedPageBreak/>
        <w:t>1. Document Control</w:t>
      </w:r>
      <w:bookmarkEnd w:id="0"/>
    </w:p>
    <w:p w14:paraId="3A69540B" w14:textId="77777777" w:rsidR="00B66A6A" w:rsidRDefault="00B66A6A">
      <w:pPr>
        <w:pStyle w:val="Heading2"/>
        <w:rPr>
          <w:rFonts w:ascii="Segoe UI" w:eastAsia="Times New Roman" w:hAnsi="Segoe UI" w:cs="Segoe UI"/>
          <w:lang w:val="en"/>
        </w:rPr>
      </w:pPr>
      <w:bookmarkStart w:id="1" w:name="_Toc236138672"/>
      <w:r>
        <w:rPr>
          <w:rFonts w:ascii="Segoe UI" w:eastAsia="Times New Roman" w:hAnsi="Segoe UI" w:cs="Segoe UI"/>
          <w:lang w:val="en"/>
        </w:rPr>
        <w:t>1.1 Document Information</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2A56A0AC" w14:textId="77777777">
        <w:tc>
          <w:tcPr>
            <w:tcW w:w="1600" w:type="pct"/>
            <w:tcBorders>
              <w:top w:val="nil"/>
              <w:left w:val="nil"/>
              <w:bottom w:val="nil"/>
              <w:right w:val="nil"/>
            </w:tcBorders>
            <w:tcMar>
              <w:top w:w="40" w:type="dxa"/>
              <w:left w:w="120" w:type="dxa"/>
              <w:bottom w:w="40" w:type="dxa"/>
              <w:right w:w="120" w:type="dxa"/>
            </w:tcMar>
            <w:hideMark/>
          </w:tcPr>
          <w:p w14:paraId="75CA0209"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Title</w:t>
            </w:r>
          </w:p>
        </w:tc>
        <w:tc>
          <w:tcPr>
            <w:tcW w:w="0" w:type="auto"/>
            <w:tcBorders>
              <w:top w:val="nil"/>
              <w:left w:val="nil"/>
              <w:bottom w:val="nil"/>
              <w:right w:val="nil"/>
            </w:tcBorders>
            <w:tcMar>
              <w:top w:w="40" w:type="dxa"/>
              <w:left w:w="120" w:type="dxa"/>
              <w:bottom w:w="40" w:type="dxa"/>
              <w:right w:w="120" w:type="dxa"/>
            </w:tcMar>
            <w:hideMark/>
          </w:tcPr>
          <w:p w14:paraId="61BCFD8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 — Technical &amp; Commercial Proposal</w:t>
            </w:r>
          </w:p>
        </w:tc>
      </w:tr>
      <w:tr w:rsidR="00000000" w14:paraId="72A904C5" w14:textId="77777777">
        <w:tc>
          <w:tcPr>
            <w:tcW w:w="0" w:type="auto"/>
            <w:tcBorders>
              <w:top w:val="nil"/>
              <w:left w:val="nil"/>
              <w:bottom w:val="nil"/>
              <w:right w:val="nil"/>
            </w:tcBorders>
            <w:tcMar>
              <w:top w:w="40" w:type="dxa"/>
              <w:left w:w="120" w:type="dxa"/>
              <w:bottom w:w="40" w:type="dxa"/>
              <w:right w:w="120" w:type="dxa"/>
            </w:tcMar>
            <w:hideMark/>
          </w:tcPr>
          <w:p w14:paraId="585EB9A7"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Reference</w:t>
            </w:r>
          </w:p>
        </w:tc>
        <w:tc>
          <w:tcPr>
            <w:tcW w:w="0" w:type="auto"/>
            <w:tcBorders>
              <w:top w:val="nil"/>
              <w:left w:val="nil"/>
              <w:bottom w:val="nil"/>
              <w:right w:val="nil"/>
            </w:tcBorders>
            <w:tcMar>
              <w:top w:w="40" w:type="dxa"/>
              <w:left w:w="120" w:type="dxa"/>
              <w:bottom w:w="40" w:type="dxa"/>
              <w:right w:w="120" w:type="dxa"/>
            </w:tcMar>
            <w:hideMark/>
          </w:tcPr>
          <w:p w14:paraId="45052D5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ATD-LQP-2026-003</w:t>
            </w:r>
          </w:p>
        </w:tc>
      </w:tr>
      <w:tr w:rsidR="00000000" w14:paraId="6230930A" w14:textId="77777777">
        <w:tc>
          <w:tcPr>
            <w:tcW w:w="0" w:type="auto"/>
            <w:tcBorders>
              <w:top w:val="nil"/>
              <w:left w:val="nil"/>
              <w:bottom w:val="nil"/>
              <w:right w:val="nil"/>
            </w:tcBorders>
            <w:tcMar>
              <w:top w:w="40" w:type="dxa"/>
              <w:left w:w="120" w:type="dxa"/>
              <w:bottom w:w="40" w:type="dxa"/>
              <w:right w:w="120" w:type="dxa"/>
            </w:tcMar>
            <w:hideMark/>
          </w:tcPr>
          <w:p w14:paraId="5928F32C"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Version</w:t>
            </w:r>
          </w:p>
        </w:tc>
        <w:tc>
          <w:tcPr>
            <w:tcW w:w="0" w:type="auto"/>
            <w:tcBorders>
              <w:top w:val="nil"/>
              <w:left w:val="nil"/>
              <w:bottom w:val="nil"/>
              <w:right w:val="nil"/>
            </w:tcBorders>
            <w:tcMar>
              <w:top w:w="40" w:type="dxa"/>
              <w:left w:w="120" w:type="dxa"/>
              <w:bottom w:w="40" w:type="dxa"/>
              <w:right w:w="120" w:type="dxa"/>
            </w:tcMar>
            <w:hideMark/>
          </w:tcPr>
          <w:p w14:paraId="1305D7B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r>
      <w:tr w:rsidR="00000000" w14:paraId="6C17B3FC" w14:textId="77777777">
        <w:tc>
          <w:tcPr>
            <w:tcW w:w="0" w:type="auto"/>
            <w:tcBorders>
              <w:top w:val="nil"/>
              <w:left w:val="nil"/>
              <w:bottom w:val="nil"/>
              <w:right w:val="nil"/>
            </w:tcBorders>
            <w:tcMar>
              <w:top w:w="40" w:type="dxa"/>
              <w:left w:w="120" w:type="dxa"/>
              <w:bottom w:w="40" w:type="dxa"/>
              <w:right w:w="120" w:type="dxa"/>
            </w:tcMar>
            <w:hideMark/>
          </w:tcPr>
          <w:p w14:paraId="7C85DC7E"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Date</w:t>
            </w:r>
          </w:p>
        </w:tc>
        <w:tc>
          <w:tcPr>
            <w:tcW w:w="0" w:type="auto"/>
            <w:tcBorders>
              <w:top w:val="nil"/>
              <w:left w:val="nil"/>
              <w:bottom w:val="nil"/>
              <w:right w:val="nil"/>
            </w:tcBorders>
            <w:tcMar>
              <w:top w:w="40" w:type="dxa"/>
              <w:left w:w="120" w:type="dxa"/>
              <w:bottom w:w="40" w:type="dxa"/>
              <w:right w:w="120" w:type="dxa"/>
            </w:tcMar>
            <w:hideMark/>
          </w:tcPr>
          <w:p w14:paraId="3668C34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28/07/2026</w:t>
            </w:r>
          </w:p>
        </w:tc>
      </w:tr>
      <w:tr w:rsidR="00000000" w14:paraId="2F317FC7" w14:textId="77777777">
        <w:tc>
          <w:tcPr>
            <w:tcW w:w="0" w:type="auto"/>
            <w:tcBorders>
              <w:top w:val="nil"/>
              <w:left w:val="nil"/>
              <w:bottom w:val="nil"/>
              <w:right w:val="nil"/>
            </w:tcBorders>
            <w:tcMar>
              <w:top w:w="40" w:type="dxa"/>
              <w:left w:w="120" w:type="dxa"/>
              <w:bottom w:w="40" w:type="dxa"/>
              <w:right w:w="120" w:type="dxa"/>
            </w:tcMar>
            <w:hideMark/>
          </w:tcPr>
          <w:p w14:paraId="6460B1CC"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6C91C4A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 Al Tanfith Al Dwaliah SPC</w:t>
            </w:r>
          </w:p>
        </w:tc>
      </w:tr>
      <w:tr w:rsidR="00000000" w14:paraId="2B26236E" w14:textId="77777777">
        <w:tc>
          <w:tcPr>
            <w:tcW w:w="0" w:type="auto"/>
            <w:tcBorders>
              <w:top w:val="nil"/>
              <w:left w:val="nil"/>
              <w:bottom w:val="nil"/>
              <w:right w:val="nil"/>
            </w:tcBorders>
            <w:tcMar>
              <w:top w:w="40" w:type="dxa"/>
              <w:left w:w="120" w:type="dxa"/>
              <w:bottom w:w="40" w:type="dxa"/>
              <w:right w:w="120" w:type="dxa"/>
            </w:tcMar>
            <w:hideMark/>
          </w:tcPr>
          <w:p w14:paraId="18FFB1C3"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nil"/>
              <w:left w:val="nil"/>
              <w:bottom w:val="nil"/>
              <w:right w:val="nil"/>
            </w:tcBorders>
            <w:tcMar>
              <w:top w:w="40" w:type="dxa"/>
              <w:left w:w="120" w:type="dxa"/>
              <w:bottom w:w="40" w:type="dxa"/>
              <w:right w:w="120" w:type="dxa"/>
            </w:tcMar>
            <w:hideMark/>
          </w:tcPr>
          <w:p w14:paraId="24534FB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1.2 — </w:t>
            </w:r>
            <w:r>
              <w:rPr>
                <w:rFonts w:ascii="Segoe UI" w:eastAsia="Times New Roman" w:hAnsi="Segoe UI" w:cs="Segoe UI"/>
                <w:color w:val="1F2933"/>
                <w:sz w:val="19"/>
                <w:szCs w:val="19"/>
              </w:rPr>
              <w:t>Final all-inclusive pricing for Models A and B inserted. No other changes.</w:t>
            </w:r>
          </w:p>
        </w:tc>
      </w:tr>
    </w:tbl>
    <w:p w14:paraId="712A07C7" w14:textId="77777777" w:rsidR="00B66A6A" w:rsidRDefault="00B66A6A">
      <w:pPr>
        <w:pStyle w:val="Heading1"/>
        <w:rPr>
          <w:rFonts w:ascii="Segoe UI" w:eastAsia="Times New Roman" w:hAnsi="Segoe UI" w:cs="Segoe UI"/>
          <w:lang w:val="en"/>
        </w:rPr>
      </w:pPr>
      <w:bookmarkStart w:id="2" w:name="_Toc236138673"/>
      <w:r>
        <w:rPr>
          <w:rFonts w:ascii="Segoe UI" w:eastAsia="Times New Roman" w:hAnsi="Segoe UI" w:cs="Segoe UI"/>
          <w:lang w:val="en"/>
        </w:rPr>
        <w:t>2. Table of Contents</w:t>
      </w:r>
      <w:bookmarkEnd w:id="2"/>
    </w:p>
    <w:p w14:paraId="16B210C1" w14:textId="51F96B99" w:rsidR="00F25D79" w:rsidRDefault="00F25D79" w:rsidP="00F25D79">
      <w:pPr>
        <w:pStyle w:val="TOC1"/>
        <w:tabs>
          <w:tab w:val="right" w:leader="dot" w:pos="9629"/>
        </w:tabs>
        <w:rPr>
          <w:rFonts w:asciiTheme="minorHAnsi" w:hAnsiTheme="minorHAnsi" w:cstheme="minorBidi"/>
          <w:noProof/>
          <w:kern w:val="2"/>
          <w14:ligatures w14:val="standardContextual"/>
        </w:rPr>
      </w:pPr>
      <w:r>
        <w:rPr>
          <w:rFonts w:ascii="Segoe UI" w:hAnsi="Segoe UI" w:cs="Segoe UI"/>
          <w:color w:val="1F2933"/>
          <w:sz w:val="21"/>
          <w:szCs w:val="21"/>
          <w:lang w:val="en"/>
        </w:rPr>
        <w:fldChar w:fldCharType="begin"/>
      </w:r>
      <w:r>
        <w:rPr>
          <w:rFonts w:ascii="Segoe UI" w:hAnsi="Segoe UI" w:cs="Segoe UI"/>
          <w:color w:val="1F2933"/>
          <w:sz w:val="21"/>
          <w:szCs w:val="21"/>
          <w:lang w:val="en"/>
        </w:rPr>
        <w:instrText xml:space="preserve"> TOC \o "1-2" </w:instrText>
      </w:r>
      <w:r>
        <w:rPr>
          <w:rFonts w:ascii="Segoe UI" w:hAnsi="Segoe UI" w:cs="Segoe UI"/>
          <w:color w:val="1F2933"/>
          <w:sz w:val="21"/>
          <w:szCs w:val="21"/>
          <w:lang w:val="en"/>
        </w:rPr>
        <w:fldChar w:fldCharType="separate"/>
      </w:r>
      <w:r w:rsidRPr="0086446B">
        <w:rPr>
          <w:rFonts w:ascii="Segoe UI" w:eastAsia="Times New Roman" w:hAnsi="Segoe UI" w:cs="Segoe UI"/>
          <w:noProof/>
          <w:lang w:val="en"/>
        </w:rPr>
        <w:t>1. Document Control</w:t>
      </w:r>
      <w:r>
        <w:rPr>
          <w:noProof/>
        </w:rPr>
        <w:tab/>
      </w:r>
      <w:r>
        <w:rPr>
          <w:noProof/>
        </w:rPr>
        <w:fldChar w:fldCharType="begin"/>
      </w:r>
      <w:r>
        <w:rPr>
          <w:noProof/>
        </w:rPr>
        <w:instrText xml:space="preserve"> PAGEREF _Toc236138671 \h </w:instrText>
      </w:r>
      <w:r>
        <w:rPr>
          <w:noProof/>
        </w:rPr>
      </w:r>
      <w:r>
        <w:rPr>
          <w:noProof/>
        </w:rPr>
        <w:fldChar w:fldCharType="separate"/>
      </w:r>
      <w:r>
        <w:rPr>
          <w:noProof/>
        </w:rPr>
        <w:t>2</w:t>
      </w:r>
      <w:r>
        <w:rPr>
          <w:noProof/>
        </w:rPr>
        <w:fldChar w:fldCharType="end"/>
      </w:r>
    </w:p>
    <w:p w14:paraId="48398192" w14:textId="1D4385DB"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1.1 Document Information</w:t>
      </w:r>
      <w:r>
        <w:rPr>
          <w:noProof/>
        </w:rPr>
        <w:tab/>
      </w:r>
      <w:r>
        <w:rPr>
          <w:noProof/>
        </w:rPr>
        <w:fldChar w:fldCharType="begin"/>
      </w:r>
      <w:r>
        <w:rPr>
          <w:noProof/>
        </w:rPr>
        <w:instrText xml:space="preserve"> PAGEREF _Toc236138672 \h </w:instrText>
      </w:r>
      <w:r>
        <w:rPr>
          <w:noProof/>
        </w:rPr>
      </w:r>
      <w:r>
        <w:rPr>
          <w:noProof/>
        </w:rPr>
        <w:fldChar w:fldCharType="separate"/>
      </w:r>
      <w:r>
        <w:rPr>
          <w:noProof/>
        </w:rPr>
        <w:t>2</w:t>
      </w:r>
      <w:r>
        <w:rPr>
          <w:noProof/>
        </w:rPr>
        <w:fldChar w:fldCharType="end"/>
      </w:r>
    </w:p>
    <w:p w14:paraId="612CA67D" w14:textId="4D3BC9E7"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 Table of Contents</w:t>
      </w:r>
      <w:r>
        <w:rPr>
          <w:noProof/>
        </w:rPr>
        <w:tab/>
      </w:r>
      <w:r>
        <w:rPr>
          <w:noProof/>
        </w:rPr>
        <w:fldChar w:fldCharType="begin"/>
      </w:r>
      <w:r>
        <w:rPr>
          <w:noProof/>
        </w:rPr>
        <w:instrText xml:space="preserve"> PAGEREF _Toc236138673 \h </w:instrText>
      </w:r>
      <w:r>
        <w:rPr>
          <w:noProof/>
        </w:rPr>
      </w:r>
      <w:r>
        <w:rPr>
          <w:noProof/>
        </w:rPr>
        <w:fldChar w:fldCharType="separate"/>
      </w:r>
      <w:r>
        <w:rPr>
          <w:noProof/>
        </w:rPr>
        <w:t>2</w:t>
      </w:r>
      <w:r>
        <w:rPr>
          <w:noProof/>
        </w:rPr>
        <w:fldChar w:fldCharType="end"/>
      </w:r>
    </w:p>
    <w:p w14:paraId="08FBEB32" w14:textId="4698A271"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 Letter of Submission</w:t>
      </w:r>
      <w:r>
        <w:rPr>
          <w:noProof/>
        </w:rPr>
        <w:tab/>
      </w:r>
      <w:r>
        <w:rPr>
          <w:noProof/>
        </w:rPr>
        <w:fldChar w:fldCharType="begin"/>
      </w:r>
      <w:r>
        <w:rPr>
          <w:noProof/>
        </w:rPr>
        <w:instrText xml:space="preserve"> PAGEREF _Toc236138674 \h </w:instrText>
      </w:r>
      <w:r>
        <w:rPr>
          <w:noProof/>
        </w:rPr>
      </w:r>
      <w:r>
        <w:rPr>
          <w:noProof/>
        </w:rPr>
        <w:fldChar w:fldCharType="separate"/>
      </w:r>
      <w:r>
        <w:rPr>
          <w:noProof/>
        </w:rPr>
        <w:t>4</w:t>
      </w:r>
      <w:r>
        <w:rPr>
          <w:noProof/>
        </w:rPr>
        <w:fldChar w:fldCharType="end"/>
      </w:r>
    </w:p>
    <w:p w14:paraId="437A9237" w14:textId="59D770E2"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 Executive Summary</w:t>
      </w:r>
      <w:r>
        <w:rPr>
          <w:noProof/>
        </w:rPr>
        <w:tab/>
      </w:r>
      <w:r>
        <w:rPr>
          <w:noProof/>
        </w:rPr>
        <w:fldChar w:fldCharType="begin"/>
      </w:r>
      <w:r>
        <w:rPr>
          <w:noProof/>
        </w:rPr>
        <w:instrText xml:space="preserve"> PAGEREF _Toc236138675 \h </w:instrText>
      </w:r>
      <w:r>
        <w:rPr>
          <w:noProof/>
        </w:rPr>
      </w:r>
      <w:r>
        <w:rPr>
          <w:noProof/>
        </w:rPr>
        <w:fldChar w:fldCharType="separate"/>
      </w:r>
      <w:r>
        <w:rPr>
          <w:noProof/>
        </w:rPr>
        <w:t>5</w:t>
      </w:r>
      <w:r>
        <w:rPr>
          <w:noProof/>
        </w:rPr>
        <w:fldChar w:fldCharType="end"/>
      </w:r>
    </w:p>
    <w:p w14:paraId="50481289" w14:textId="119AA0B1"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5. About Al Tanfith Al Dwaliah SPC</w:t>
      </w:r>
      <w:r>
        <w:rPr>
          <w:noProof/>
        </w:rPr>
        <w:tab/>
      </w:r>
      <w:r>
        <w:rPr>
          <w:noProof/>
        </w:rPr>
        <w:fldChar w:fldCharType="begin"/>
      </w:r>
      <w:r>
        <w:rPr>
          <w:noProof/>
        </w:rPr>
        <w:instrText xml:space="preserve"> PAGEREF _Toc236138676 \h </w:instrText>
      </w:r>
      <w:r>
        <w:rPr>
          <w:noProof/>
        </w:rPr>
      </w:r>
      <w:r>
        <w:rPr>
          <w:noProof/>
        </w:rPr>
        <w:fldChar w:fldCharType="separate"/>
      </w:r>
      <w:r>
        <w:rPr>
          <w:noProof/>
        </w:rPr>
        <w:t>6</w:t>
      </w:r>
      <w:r>
        <w:rPr>
          <w:noProof/>
        </w:rPr>
        <w:fldChar w:fldCharType="end"/>
      </w:r>
    </w:p>
    <w:p w14:paraId="77FBE157" w14:textId="2778E12C"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6. Understanding of Client Requirements</w:t>
      </w:r>
      <w:r>
        <w:rPr>
          <w:noProof/>
        </w:rPr>
        <w:tab/>
      </w:r>
      <w:r>
        <w:rPr>
          <w:noProof/>
        </w:rPr>
        <w:fldChar w:fldCharType="begin"/>
      </w:r>
      <w:r>
        <w:rPr>
          <w:noProof/>
        </w:rPr>
        <w:instrText xml:space="preserve"> PAGEREF _Toc236138677 \h </w:instrText>
      </w:r>
      <w:r>
        <w:rPr>
          <w:noProof/>
        </w:rPr>
      </w:r>
      <w:r>
        <w:rPr>
          <w:noProof/>
        </w:rPr>
        <w:fldChar w:fldCharType="separate"/>
      </w:r>
      <w:r>
        <w:rPr>
          <w:noProof/>
        </w:rPr>
        <w:t>7</w:t>
      </w:r>
      <w:r>
        <w:rPr>
          <w:noProof/>
        </w:rPr>
        <w:fldChar w:fldCharType="end"/>
      </w:r>
    </w:p>
    <w:p w14:paraId="1500C310" w14:textId="6A95D989"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7. Business Challenges</w:t>
      </w:r>
      <w:r>
        <w:rPr>
          <w:noProof/>
        </w:rPr>
        <w:tab/>
      </w:r>
      <w:r>
        <w:rPr>
          <w:noProof/>
        </w:rPr>
        <w:fldChar w:fldCharType="begin"/>
      </w:r>
      <w:r>
        <w:rPr>
          <w:noProof/>
        </w:rPr>
        <w:instrText xml:space="preserve"> PAGEREF _Toc236138678 \h </w:instrText>
      </w:r>
      <w:r>
        <w:rPr>
          <w:noProof/>
        </w:rPr>
      </w:r>
      <w:r>
        <w:rPr>
          <w:noProof/>
        </w:rPr>
        <w:fldChar w:fldCharType="separate"/>
      </w:r>
      <w:r>
        <w:rPr>
          <w:noProof/>
        </w:rPr>
        <w:t>8</w:t>
      </w:r>
      <w:r>
        <w:rPr>
          <w:noProof/>
        </w:rPr>
        <w:fldChar w:fldCharType="end"/>
      </w:r>
    </w:p>
    <w:p w14:paraId="59480B69" w14:textId="258EED6D"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8. Proposed Solution</w:t>
      </w:r>
      <w:r>
        <w:rPr>
          <w:noProof/>
        </w:rPr>
        <w:tab/>
      </w:r>
      <w:r>
        <w:rPr>
          <w:noProof/>
        </w:rPr>
        <w:fldChar w:fldCharType="begin"/>
      </w:r>
      <w:r>
        <w:rPr>
          <w:noProof/>
        </w:rPr>
        <w:instrText xml:space="preserve"> PAGEREF _Toc236138679 \h </w:instrText>
      </w:r>
      <w:r>
        <w:rPr>
          <w:noProof/>
        </w:rPr>
      </w:r>
      <w:r>
        <w:rPr>
          <w:noProof/>
        </w:rPr>
        <w:fldChar w:fldCharType="separate"/>
      </w:r>
      <w:r>
        <w:rPr>
          <w:noProof/>
        </w:rPr>
        <w:t>10</w:t>
      </w:r>
      <w:r>
        <w:rPr>
          <w:noProof/>
        </w:rPr>
        <w:fldChar w:fldCharType="end"/>
      </w:r>
    </w:p>
    <w:p w14:paraId="3BEAA9BD" w14:textId="1ECBC365"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9. Platform Overview</w:t>
      </w:r>
      <w:r>
        <w:rPr>
          <w:noProof/>
        </w:rPr>
        <w:tab/>
      </w:r>
      <w:r>
        <w:rPr>
          <w:noProof/>
        </w:rPr>
        <w:fldChar w:fldCharType="begin"/>
      </w:r>
      <w:r>
        <w:rPr>
          <w:noProof/>
        </w:rPr>
        <w:instrText xml:space="preserve"> PAGEREF _Toc236138680 \h </w:instrText>
      </w:r>
      <w:r>
        <w:rPr>
          <w:noProof/>
        </w:rPr>
      </w:r>
      <w:r>
        <w:rPr>
          <w:noProof/>
        </w:rPr>
        <w:fldChar w:fldCharType="separate"/>
      </w:r>
      <w:r>
        <w:rPr>
          <w:noProof/>
        </w:rPr>
        <w:t>10</w:t>
      </w:r>
      <w:r>
        <w:rPr>
          <w:noProof/>
        </w:rPr>
        <w:fldChar w:fldCharType="end"/>
      </w:r>
    </w:p>
    <w:p w14:paraId="347E9565" w14:textId="34CC63E8"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10. Current Use Case</w:t>
      </w:r>
      <w:r>
        <w:rPr>
          <w:noProof/>
        </w:rPr>
        <w:tab/>
      </w:r>
      <w:r>
        <w:rPr>
          <w:noProof/>
        </w:rPr>
        <w:fldChar w:fldCharType="begin"/>
      </w:r>
      <w:r>
        <w:rPr>
          <w:noProof/>
        </w:rPr>
        <w:instrText xml:space="preserve"> PAGEREF _Toc236138681 \h </w:instrText>
      </w:r>
      <w:r>
        <w:rPr>
          <w:noProof/>
        </w:rPr>
      </w:r>
      <w:r>
        <w:rPr>
          <w:noProof/>
        </w:rPr>
        <w:fldChar w:fldCharType="separate"/>
      </w:r>
      <w:r>
        <w:rPr>
          <w:noProof/>
        </w:rPr>
        <w:t>11</w:t>
      </w:r>
      <w:r>
        <w:rPr>
          <w:noProof/>
        </w:rPr>
        <w:fldChar w:fldCharType="end"/>
      </w:r>
    </w:p>
    <w:p w14:paraId="77362672" w14:textId="4442CDD9"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11. Functional Scope</w:t>
      </w:r>
      <w:r>
        <w:rPr>
          <w:noProof/>
        </w:rPr>
        <w:tab/>
      </w:r>
      <w:r>
        <w:rPr>
          <w:noProof/>
        </w:rPr>
        <w:fldChar w:fldCharType="begin"/>
      </w:r>
      <w:r>
        <w:rPr>
          <w:noProof/>
        </w:rPr>
        <w:instrText xml:space="preserve"> PAGEREF _Toc236138682 \h </w:instrText>
      </w:r>
      <w:r>
        <w:rPr>
          <w:noProof/>
        </w:rPr>
      </w:r>
      <w:r>
        <w:rPr>
          <w:noProof/>
        </w:rPr>
        <w:fldChar w:fldCharType="separate"/>
      </w:r>
      <w:r>
        <w:rPr>
          <w:noProof/>
        </w:rPr>
        <w:t>12</w:t>
      </w:r>
      <w:r>
        <w:rPr>
          <w:noProof/>
        </w:rPr>
        <w:fldChar w:fldCharType="end"/>
      </w:r>
    </w:p>
    <w:p w14:paraId="736DCCAF" w14:textId="1122CD06"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11.1 Quiz Creation &amp; Content</w:t>
      </w:r>
      <w:r>
        <w:rPr>
          <w:noProof/>
        </w:rPr>
        <w:tab/>
      </w:r>
      <w:r>
        <w:rPr>
          <w:noProof/>
        </w:rPr>
        <w:fldChar w:fldCharType="begin"/>
      </w:r>
      <w:r>
        <w:rPr>
          <w:noProof/>
        </w:rPr>
        <w:instrText xml:space="preserve"> PAGEREF _Toc236138683 \h </w:instrText>
      </w:r>
      <w:r>
        <w:rPr>
          <w:noProof/>
        </w:rPr>
      </w:r>
      <w:r>
        <w:rPr>
          <w:noProof/>
        </w:rPr>
        <w:fldChar w:fldCharType="separate"/>
      </w:r>
      <w:r>
        <w:rPr>
          <w:noProof/>
        </w:rPr>
        <w:t>12</w:t>
      </w:r>
      <w:r>
        <w:rPr>
          <w:noProof/>
        </w:rPr>
        <w:fldChar w:fldCharType="end"/>
      </w:r>
    </w:p>
    <w:p w14:paraId="56525DB8" w14:textId="0F302969"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11.2 Live Hosting &amp; Participation</w:t>
      </w:r>
      <w:r>
        <w:rPr>
          <w:noProof/>
        </w:rPr>
        <w:tab/>
      </w:r>
      <w:r>
        <w:rPr>
          <w:noProof/>
        </w:rPr>
        <w:fldChar w:fldCharType="begin"/>
      </w:r>
      <w:r>
        <w:rPr>
          <w:noProof/>
        </w:rPr>
        <w:instrText xml:space="preserve"> PAGEREF _Toc236138684 \h </w:instrText>
      </w:r>
      <w:r>
        <w:rPr>
          <w:noProof/>
        </w:rPr>
      </w:r>
      <w:r>
        <w:rPr>
          <w:noProof/>
        </w:rPr>
        <w:fldChar w:fldCharType="separate"/>
      </w:r>
      <w:r>
        <w:rPr>
          <w:noProof/>
        </w:rPr>
        <w:t>13</w:t>
      </w:r>
      <w:r>
        <w:rPr>
          <w:noProof/>
        </w:rPr>
        <w:fldChar w:fldCharType="end"/>
      </w:r>
    </w:p>
    <w:p w14:paraId="30E23755" w14:textId="3EFCA9F4"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11.3 Branding &amp; Experience</w:t>
      </w:r>
      <w:r>
        <w:rPr>
          <w:noProof/>
        </w:rPr>
        <w:tab/>
      </w:r>
      <w:r>
        <w:rPr>
          <w:noProof/>
        </w:rPr>
        <w:fldChar w:fldCharType="begin"/>
      </w:r>
      <w:r>
        <w:rPr>
          <w:noProof/>
        </w:rPr>
        <w:instrText xml:space="preserve"> PAGEREF _Toc236138685 \h </w:instrText>
      </w:r>
      <w:r>
        <w:rPr>
          <w:noProof/>
        </w:rPr>
      </w:r>
      <w:r>
        <w:rPr>
          <w:noProof/>
        </w:rPr>
        <w:fldChar w:fldCharType="separate"/>
      </w:r>
      <w:r>
        <w:rPr>
          <w:noProof/>
        </w:rPr>
        <w:t>14</w:t>
      </w:r>
      <w:r>
        <w:rPr>
          <w:noProof/>
        </w:rPr>
        <w:fldChar w:fldCharType="end"/>
      </w:r>
    </w:p>
    <w:p w14:paraId="71718966" w14:textId="629BD9E5"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11.4 Reporting &amp; Analytics</w:t>
      </w:r>
      <w:r>
        <w:rPr>
          <w:noProof/>
        </w:rPr>
        <w:tab/>
      </w:r>
      <w:r>
        <w:rPr>
          <w:noProof/>
        </w:rPr>
        <w:fldChar w:fldCharType="begin"/>
      </w:r>
      <w:r>
        <w:rPr>
          <w:noProof/>
        </w:rPr>
        <w:instrText xml:space="preserve"> PAGEREF _Toc236138686 \h </w:instrText>
      </w:r>
      <w:r>
        <w:rPr>
          <w:noProof/>
        </w:rPr>
      </w:r>
      <w:r>
        <w:rPr>
          <w:noProof/>
        </w:rPr>
        <w:fldChar w:fldCharType="separate"/>
      </w:r>
      <w:r>
        <w:rPr>
          <w:noProof/>
        </w:rPr>
        <w:t>14</w:t>
      </w:r>
      <w:r>
        <w:rPr>
          <w:noProof/>
        </w:rPr>
        <w:fldChar w:fldCharType="end"/>
      </w:r>
    </w:p>
    <w:p w14:paraId="2BB0FFDF" w14:textId="5E250494"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11.5 Administration &amp; Governance</w:t>
      </w:r>
      <w:r>
        <w:rPr>
          <w:noProof/>
        </w:rPr>
        <w:tab/>
      </w:r>
      <w:r>
        <w:rPr>
          <w:noProof/>
        </w:rPr>
        <w:fldChar w:fldCharType="begin"/>
      </w:r>
      <w:r>
        <w:rPr>
          <w:noProof/>
        </w:rPr>
        <w:instrText xml:space="preserve"> PAGEREF _Toc236138687 \h </w:instrText>
      </w:r>
      <w:r>
        <w:rPr>
          <w:noProof/>
        </w:rPr>
      </w:r>
      <w:r>
        <w:rPr>
          <w:noProof/>
        </w:rPr>
        <w:fldChar w:fldCharType="separate"/>
      </w:r>
      <w:r>
        <w:rPr>
          <w:noProof/>
        </w:rPr>
        <w:t>14</w:t>
      </w:r>
      <w:r>
        <w:rPr>
          <w:noProof/>
        </w:rPr>
        <w:fldChar w:fldCharType="end"/>
      </w:r>
    </w:p>
    <w:p w14:paraId="4054E48E" w14:textId="64DA7BC1"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11.6 AI-Assisted Content Generation</w:t>
      </w:r>
      <w:r>
        <w:rPr>
          <w:noProof/>
        </w:rPr>
        <w:tab/>
      </w:r>
      <w:r>
        <w:rPr>
          <w:noProof/>
        </w:rPr>
        <w:fldChar w:fldCharType="begin"/>
      </w:r>
      <w:r>
        <w:rPr>
          <w:noProof/>
        </w:rPr>
        <w:instrText xml:space="preserve"> PAGEREF _Toc236138688 \h </w:instrText>
      </w:r>
      <w:r>
        <w:rPr>
          <w:noProof/>
        </w:rPr>
      </w:r>
      <w:r>
        <w:rPr>
          <w:noProof/>
        </w:rPr>
        <w:fldChar w:fldCharType="separate"/>
      </w:r>
      <w:r>
        <w:rPr>
          <w:noProof/>
        </w:rPr>
        <w:t>15</w:t>
      </w:r>
      <w:r>
        <w:rPr>
          <w:noProof/>
        </w:rPr>
        <w:fldChar w:fldCharType="end"/>
      </w:r>
    </w:p>
    <w:p w14:paraId="13D0ED8F" w14:textId="7198DC68"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lastRenderedPageBreak/>
        <w:t>12. AI Capabilities</w:t>
      </w:r>
      <w:r>
        <w:rPr>
          <w:noProof/>
        </w:rPr>
        <w:tab/>
      </w:r>
      <w:r>
        <w:rPr>
          <w:noProof/>
        </w:rPr>
        <w:fldChar w:fldCharType="begin"/>
      </w:r>
      <w:r>
        <w:rPr>
          <w:noProof/>
        </w:rPr>
        <w:instrText xml:space="preserve"> PAGEREF _Toc236138689 \h </w:instrText>
      </w:r>
      <w:r>
        <w:rPr>
          <w:noProof/>
        </w:rPr>
      </w:r>
      <w:r>
        <w:rPr>
          <w:noProof/>
        </w:rPr>
        <w:fldChar w:fldCharType="separate"/>
      </w:r>
      <w:r>
        <w:rPr>
          <w:noProof/>
        </w:rPr>
        <w:t>15</w:t>
      </w:r>
      <w:r>
        <w:rPr>
          <w:noProof/>
        </w:rPr>
        <w:fldChar w:fldCharType="end"/>
      </w:r>
    </w:p>
    <w:p w14:paraId="513655D9" w14:textId="6331A623"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12.1 Current Capabilities (Included)</w:t>
      </w:r>
      <w:r>
        <w:rPr>
          <w:noProof/>
        </w:rPr>
        <w:tab/>
      </w:r>
      <w:r>
        <w:rPr>
          <w:noProof/>
        </w:rPr>
        <w:fldChar w:fldCharType="begin"/>
      </w:r>
      <w:r>
        <w:rPr>
          <w:noProof/>
        </w:rPr>
        <w:instrText xml:space="preserve"> PAGEREF _Toc236138690 \h </w:instrText>
      </w:r>
      <w:r>
        <w:rPr>
          <w:noProof/>
        </w:rPr>
      </w:r>
      <w:r>
        <w:rPr>
          <w:noProof/>
        </w:rPr>
        <w:fldChar w:fldCharType="separate"/>
      </w:r>
      <w:r>
        <w:rPr>
          <w:noProof/>
        </w:rPr>
        <w:t>15</w:t>
      </w:r>
      <w:r>
        <w:rPr>
          <w:noProof/>
        </w:rPr>
        <w:fldChar w:fldCharType="end"/>
      </w:r>
    </w:p>
    <w:p w14:paraId="2C8849F0" w14:textId="0438827A"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12.2 Optional Capabilities (Scoped per Engagement)</w:t>
      </w:r>
      <w:r>
        <w:rPr>
          <w:noProof/>
        </w:rPr>
        <w:tab/>
      </w:r>
      <w:r>
        <w:rPr>
          <w:noProof/>
        </w:rPr>
        <w:fldChar w:fldCharType="begin"/>
      </w:r>
      <w:r>
        <w:rPr>
          <w:noProof/>
        </w:rPr>
        <w:instrText xml:space="preserve"> PAGEREF _Toc236138691 \h </w:instrText>
      </w:r>
      <w:r>
        <w:rPr>
          <w:noProof/>
        </w:rPr>
      </w:r>
      <w:r>
        <w:rPr>
          <w:noProof/>
        </w:rPr>
        <w:fldChar w:fldCharType="separate"/>
      </w:r>
      <w:r>
        <w:rPr>
          <w:noProof/>
        </w:rPr>
        <w:t>16</w:t>
      </w:r>
      <w:r>
        <w:rPr>
          <w:noProof/>
        </w:rPr>
        <w:fldChar w:fldCharType="end"/>
      </w:r>
    </w:p>
    <w:p w14:paraId="03894971" w14:textId="151ADADF"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12.3 Future Roadmap</w:t>
      </w:r>
      <w:r>
        <w:rPr>
          <w:noProof/>
        </w:rPr>
        <w:tab/>
      </w:r>
      <w:r>
        <w:rPr>
          <w:noProof/>
        </w:rPr>
        <w:fldChar w:fldCharType="begin"/>
      </w:r>
      <w:r>
        <w:rPr>
          <w:noProof/>
        </w:rPr>
        <w:instrText xml:space="preserve"> PAGEREF _Toc236138692 \h </w:instrText>
      </w:r>
      <w:r>
        <w:rPr>
          <w:noProof/>
        </w:rPr>
      </w:r>
      <w:r>
        <w:rPr>
          <w:noProof/>
        </w:rPr>
        <w:fldChar w:fldCharType="separate"/>
      </w:r>
      <w:r>
        <w:rPr>
          <w:noProof/>
        </w:rPr>
        <w:t>17</w:t>
      </w:r>
      <w:r>
        <w:rPr>
          <w:noProof/>
        </w:rPr>
        <w:fldChar w:fldCharType="end"/>
      </w:r>
    </w:p>
    <w:p w14:paraId="44D331F1" w14:textId="61D20935"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13. User Roles</w:t>
      </w:r>
      <w:r>
        <w:rPr>
          <w:noProof/>
        </w:rPr>
        <w:tab/>
      </w:r>
      <w:r>
        <w:rPr>
          <w:noProof/>
        </w:rPr>
        <w:fldChar w:fldCharType="begin"/>
      </w:r>
      <w:r>
        <w:rPr>
          <w:noProof/>
        </w:rPr>
        <w:instrText xml:space="preserve"> PAGEREF _Toc236138693 \h </w:instrText>
      </w:r>
      <w:r>
        <w:rPr>
          <w:noProof/>
        </w:rPr>
      </w:r>
      <w:r>
        <w:rPr>
          <w:noProof/>
        </w:rPr>
        <w:fldChar w:fldCharType="separate"/>
      </w:r>
      <w:r>
        <w:rPr>
          <w:noProof/>
        </w:rPr>
        <w:t>17</w:t>
      </w:r>
      <w:r>
        <w:rPr>
          <w:noProof/>
        </w:rPr>
        <w:fldChar w:fldCharType="end"/>
      </w:r>
    </w:p>
    <w:p w14:paraId="752FC5BC" w14:textId="22645FCF"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14. Reporting and Analytics</w:t>
      </w:r>
      <w:r>
        <w:rPr>
          <w:noProof/>
        </w:rPr>
        <w:tab/>
      </w:r>
      <w:r>
        <w:rPr>
          <w:noProof/>
        </w:rPr>
        <w:fldChar w:fldCharType="begin"/>
      </w:r>
      <w:r>
        <w:rPr>
          <w:noProof/>
        </w:rPr>
        <w:instrText xml:space="preserve"> PAGEREF _Toc236138694 \h </w:instrText>
      </w:r>
      <w:r>
        <w:rPr>
          <w:noProof/>
        </w:rPr>
      </w:r>
      <w:r>
        <w:rPr>
          <w:noProof/>
        </w:rPr>
        <w:fldChar w:fldCharType="separate"/>
      </w:r>
      <w:r>
        <w:rPr>
          <w:noProof/>
        </w:rPr>
        <w:t>18</w:t>
      </w:r>
      <w:r>
        <w:rPr>
          <w:noProof/>
        </w:rPr>
        <w:fldChar w:fldCharType="end"/>
      </w:r>
    </w:p>
    <w:p w14:paraId="44C1BFAC" w14:textId="752A37EB"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15. Technical Architecture</w:t>
      </w:r>
      <w:r>
        <w:rPr>
          <w:noProof/>
        </w:rPr>
        <w:tab/>
      </w:r>
      <w:r>
        <w:rPr>
          <w:noProof/>
        </w:rPr>
        <w:fldChar w:fldCharType="begin"/>
      </w:r>
      <w:r>
        <w:rPr>
          <w:noProof/>
        </w:rPr>
        <w:instrText xml:space="preserve"> PAGEREF _Toc236138695 \h </w:instrText>
      </w:r>
      <w:r>
        <w:rPr>
          <w:noProof/>
        </w:rPr>
      </w:r>
      <w:r>
        <w:rPr>
          <w:noProof/>
        </w:rPr>
        <w:fldChar w:fldCharType="separate"/>
      </w:r>
      <w:r>
        <w:rPr>
          <w:noProof/>
        </w:rPr>
        <w:t>20</w:t>
      </w:r>
      <w:r>
        <w:rPr>
          <w:noProof/>
        </w:rPr>
        <w:fldChar w:fldCharType="end"/>
      </w:r>
    </w:p>
    <w:p w14:paraId="57E3056C" w14:textId="55DBBFC9"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15.1 Technology Stack</w:t>
      </w:r>
      <w:r>
        <w:rPr>
          <w:noProof/>
        </w:rPr>
        <w:tab/>
      </w:r>
      <w:r>
        <w:rPr>
          <w:noProof/>
        </w:rPr>
        <w:fldChar w:fldCharType="begin"/>
      </w:r>
      <w:r>
        <w:rPr>
          <w:noProof/>
        </w:rPr>
        <w:instrText xml:space="preserve"> PAGEREF _Toc236138696 \h </w:instrText>
      </w:r>
      <w:r>
        <w:rPr>
          <w:noProof/>
        </w:rPr>
      </w:r>
      <w:r>
        <w:rPr>
          <w:noProof/>
        </w:rPr>
        <w:fldChar w:fldCharType="separate"/>
      </w:r>
      <w:r>
        <w:rPr>
          <w:noProof/>
        </w:rPr>
        <w:t>20</w:t>
      </w:r>
      <w:r>
        <w:rPr>
          <w:noProof/>
        </w:rPr>
        <w:fldChar w:fldCharType="end"/>
      </w:r>
    </w:p>
    <w:p w14:paraId="3B53D534" w14:textId="03537F82"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15.2 Architecture Diagram</w:t>
      </w:r>
      <w:r>
        <w:rPr>
          <w:noProof/>
        </w:rPr>
        <w:tab/>
      </w:r>
      <w:r>
        <w:rPr>
          <w:noProof/>
        </w:rPr>
        <w:fldChar w:fldCharType="begin"/>
      </w:r>
      <w:r>
        <w:rPr>
          <w:noProof/>
        </w:rPr>
        <w:instrText xml:space="preserve"> PAGEREF _Toc236138697 \h </w:instrText>
      </w:r>
      <w:r>
        <w:rPr>
          <w:noProof/>
        </w:rPr>
      </w:r>
      <w:r>
        <w:rPr>
          <w:noProof/>
        </w:rPr>
        <w:fldChar w:fldCharType="separate"/>
      </w:r>
      <w:r>
        <w:rPr>
          <w:noProof/>
        </w:rPr>
        <w:t>20</w:t>
      </w:r>
      <w:r>
        <w:rPr>
          <w:noProof/>
        </w:rPr>
        <w:fldChar w:fldCharType="end"/>
      </w:r>
    </w:p>
    <w:p w14:paraId="1A2704FC" w14:textId="3FD8AE3D"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16. Real-Time Architecture</w:t>
      </w:r>
      <w:r>
        <w:rPr>
          <w:noProof/>
        </w:rPr>
        <w:tab/>
      </w:r>
      <w:r>
        <w:rPr>
          <w:noProof/>
        </w:rPr>
        <w:fldChar w:fldCharType="begin"/>
      </w:r>
      <w:r>
        <w:rPr>
          <w:noProof/>
        </w:rPr>
        <w:instrText xml:space="preserve"> PAGEREF _Toc236138698 \h </w:instrText>
      </w:r>
      <w:r>
        <w:rPr>
          <w:noProof/>
        </w:rPr>
      </w:r>
      <w:r>
        <w:rPr>
          <w:noProof/>
        </w:rPr>
        <w:fldChar w:fldCharType="separate"/>
      </w:r>
      <w:r>
        <w:rPr>
          <w:noProof/>
        </w:rPr>
        <w:t>21</w:t>
      </w:r>
      <w:r>
        <w:rPr>
          <w:noProof/>
        </w:rPr>
        <w:fldChar w:fldCharType="end"/>
      </w:r>
    </w:p>
    <w:p w14:paraId="65F6E9E6" w14:textId="1E04BBD3"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16.1 Session Flow</w:t>
      </w:r>
      <w:r>
        <w:rPr>
          <w:noProof/>
        </w:rPr>
        <w:tab/>
      </w:r>
      <w:r>
        <w:rPr>
          <w:noProof/>
        </w:rPr>
        <w:fldChar w:fldCharType="begin"/>
      </w:r>
      <w:r>
        <w:rPr>
          <w:noProof/>
        </w:rPr>
        <w:instrText xml:space="preserve"> PAGEREF _Toc236138699 \h </w:instrText>
      </w:r>
      <w:r>
        <w:rPr>
          <w:noProof/>
        </w:rPr>
      </w:r>
      <w:r>
        <w:rPr>
          <w:noProof/>
        </w:rPr>
        <w:fldChar w:fldCharType="separate"/>
      </w:r>
      <w:r>
        <w:rPr>
          <w:noProof/>
        </w:rPr>
        <w:t>21</w:t>
      </w:r>
      <w:r>
        <w:rPr>
          <w:noProof/>
        </w:rPr>
        <w:fldChar w:fldCharType="end"/>
      </w:r>
    </w:p>
    <w:p w14:paraId="4C77F8CA" w14:textId="2705B3A8"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16.2 Server-Authoritative Timing, Reconnection, and Why It Matters at Scale</w:t>
      </w:r>
      <w:r>
        <w:rPr>
          <w:noProof/>
        </w:rPr>
        <w:tab/>
      </w:r>
      <w:r>
        <w:rPr>
          <w:noProof/>
        </w:rPr>
        <w:fldChar w:fldCharType="begin"/>
      </w:r>
      <w:r>
        <w:rPr>
          <w:noProof/>
        </w:rPr>
        <w:instrText xml:space="preserve"> PAGEREF _Toc236138700 \h </w:instrText>
      </w:r>
      <w:r>
        <w:rPr>
          <w:noProof/>
        </w:rPr>
      </w:r>
      <w:r>
        <w:rPr>
          <w:noProof/>
        </w:rPr>
        <w:fldChar w:fldCharType="separate"/>
      </w:r>
      <w:r>
        <w:rPr>
          <w:noProof/>
        </w:rPr>
        <w:t>21</w:t>
      </w:r>
      <w:r>
        <w:rPr>
          <w:noProof/>
        </w:rPr>
        <w:fldChar w:fldCharType="end"/>
      </w:r>
    </w:p>
    <w:p w14:paraId="31904E3A" w14:textId="003E4FD0"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17. Deployment Options</w:t>
      </w:r>
      <w:r>
        <w:rPr>
          <w:noProof/>
        </w:rPr>
        <w:tab/>
      </w:r>
      <w:r>
        <w:rPr>
          <w:noProof/>
        </w:rPr>
        <w:fldChar w:fldCharType="begin"/>
      </w:r>
      <w:r>
        <w:rPr>
          <w:noProof/>
        </w:rPr>
        <w:instrText xml:space="preserve"> PAGEREF _Toc236138701 \h </w:instrText>
      </w:r>
      <w:r>
        <w:rPr>
          <w:noProof/>
        </w:rPr>
      </w:r>
      <w:r>
        <w:rPr>
          <w:noProof/>
        </w:rPr>
        <w:fldChar w:fldCharType="separate"/>
      </w:r>
      <w:r>
        <w:rPr>
          <w:noProof/>
        </w:rPr>
        <w:t>22</w:t>
      </w:r>
      <w:r>
        <w:rPr>
          <w:noProof/>
        </w:rPr>
        <w:fldChar w:fldCharType="end"/>
      </w:r>
    </w:p>
    <w:p w14:paraId="0815CFAE" w14:textId="1D8B7000"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17.1 Cloud / SaaS</w:t>
      </w:r>
      <w:r>
        <w:rPr>
          <w:noProof/>
        </w:rPr>
        <w:tab/>
      </w:r>
      <w:r>
        <w:rPr>
          <w:noProof/>
        </w:rPr>
        <w:fldChar w:fldCharType="begin"/>
      </w:r>
      <w:r>
        <w:rPr>
          <w:noProof/>
        </w:rPr>
        <w:instrText xml:space="preserve"> PAGEREF _Toc236138702 \h </w:instrText>
      </w:r>
      <w:r>
        <w:rPr>
          <w:noProof/>
        </w:rPr>
      </w:r>
      <w:r>
        <w:rPr>
          <w:noProof/>
        </w:rPr>
        <w:fldChar w:fldCharType="separate"/>
      </w:r>
      <w:r>
        <w:rPr>
          <w:noProof/>
        </w:rPr>
        <w:t>22</w:t>
      </w:r>
      <w:r>
        <w:rPr>
          <w:noProof/>
        </w:rPr>
        <w:fldChar w:fldCharType="end"/>
      </w:r>
    </w:p>
    <w:p w14:paraId="47CCFA10" w14:textId="08A3AC87"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17.2 On-Premises</w:t>
      </w:r>
      <w:r>
        <w:rPr>
          <w:noProof/>
        </w:rPr>
        <w:tab/>
      </w:r>
      <w:r>
        <w:rPr>
          <w:noProof/>
        </w:rPr>
        <w:fldChar w:fldCharType="begin"/>
      </w:r>
      <w:r>
        <w:rPr>
          <w:noProof/>
        </w:rPr>
        <w:instrText xml:space="preserve"> PAGEREF _Toc236138703 \h </w:instrText>
      </w:r>
      <w:r>
        <w:rPr>
          <w:noProof/>
        </w:rPr>
      </w:r>
      <w:r>
        <w:rPr>
          <w:noProof/>
        </w:rPr>
        <w:fldChar w:fldCharType="separate"/>
      </w:r>
      <w:r>
        <w:rPr>
          <w:noProof/>
        </w:rPr>
        <w:t>22</w:t>
      </w:r>
      <w:r>
        <w:rPr>
          <w:noProof/>
        </w:rPr>
        <w:fldChar w:fldCharType="end"/>
      </w:r>
    </w:p>
    <w:p w14:paraId="1DA205F7" w14:textId="4A28D62A"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17.3 Hybrid</w:t>
      </w:r>
      <w:r>
        <w:rPr>
          <w:noProof/>
        </w:rPr>
        <w:tab/>
      </w:r>
      <w:r>
        <w:rPr>
          <w:noProof/>
        </w:rPr>
        <w:fldChar w:fldCharType="begin"/>
      </w:r>
      <w:r>
        <w:rPr>
          <w:noProof/>
        </w:rPr>
        <w:instrText xml:space="preserve"> PAGEREF _Toc236138704 \h </w:instrText>
      </w:r>
      <w:r>
        <w:rPr>
          <w:noProof/>
        </w:rPr>
      </w:r>
      <w:r>
        <w:rPr>
          <w:noProof/>
        </w:rPr>
        <w:fldChar w:fldCharType="separate"/>
      </w:r>
      <w:r>
        <w:rPr>
          <w:noProof/>
        </w:rPr>
        <w:t>23</w:t>
      </w:r>
      <w:r>
        <w:rPr>
          <w:noProof/>
        </w:rPr>
        <w:fldChar w:fldCharType="end"/>
      </w:r>
    </w:p>
    <w:p w14:paraId="6BCB9983" w14:textId="511B5891"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17.4 Supported Deployment Platforms</w:t>
      </w:r>
      <w:r>
        <w:rPr>
          <w:noProof/>
        </w:rPr>
        <w:tab/>
      </w:r>
      <w:r>
        <w:rPr>
          <w:noProof/>
        </w:rPr>
        <w:fldChar w:fldCharType="begin"/>
      </w:r>
      <w:r>
        <w:rPr>
          <w:noProof/>
        </w:rPr>
        <w:instrText xml:space="preserve"> PAGEREF _Toc236138705 \h </w:instrText>
      </w:r>
      <w:r>
        <w:rPr>
          <w:noProof/>
        </w:rPr>
      </w:r>
      <w:r>
        <w:rPr>
          <w:noProof/>
        </w:rPr>
        <w:fldChar w:fldCharType="separate"/>
      </w:r>
      <w:r>
        <w:rPr>
          <w:noProof/>
        </w:rPr>
        <w:t>23</w:t>
      </w:r>
      <w:r>
        <w:rPr>
          <w:noProof/>
        </w:rPr>
        <w:fldChar w:fldCharType="end"/>
      </w:r>
    </w:p>
    <w:p w14:paraId="7CCD2D0C" w14:textId="1ED378BB"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17.5 Client Standard Requirements</w:t>
      </w:r>
      <w:r>
        <w:rPr>
          <w:noProof/>
        </w:rPr>
        <w:tab/>
      </w:r>
      <w:r>
        <w:rPr>
          <w:noProof/>
        </w:rPr>
        <w:fldChar w:fldCharType="begin"/>
      </w:r>
      <w:r>
        <w:rPr>
          <w:noProof/>
        </w:rPr>
        <w:instrText xml:space="preserve"> PAGEREF _Toc236138706 \h </w:instrText>
      </w:r>
      <w:r>
        <w:rPr>
          <w:noProof/>
        </w:rPr>
      </w:r>
      <w:r>
        <w:rPr>
          <w:noProof/>
        </w:rPr>
        <w:fldChar w:fldCharType="separate"/>
      </w:r>
      <w:r>
        <w:rPr>
          <w:noProof/>
        </w:rPr>
        <w:t>24</w:t>
      </w:r>
      <w:r>
        <w:rPr>
          <w:noProof/>
        </w:rPr>
        <w:fldChar w:fldCharType="end"/>
      </w:r>
    </w:p>
    <w:p w14:paraId="66462C4E" w14:textId="6340954F"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18. Cybersecurity</w:t>
      </w:r>
      <w:r>
        <w:rPr>
          <w:noProof/>
        </w:rPr>
        <w:tab/>
      </w:r>
      <w:r>
        <w:rPr>
          <w:noProof/>
        </w:rPr>
        <w:fldChar w:fldCharType="begin"/>
      </w:r>
      <w:r>
        <w:rPr>
          <w:noProof/>
        </w:rPr>
        <w:instrText xml:space="preserve"> PAGEREF _Toc236138707 \h </w:instrText>
      </w:r>
      <w:r>
        <w:rPr>
          <w:noProof/>
        </w:rPr>
      </w:r>
      <w:r>
        <w:rPr>
          <w:noProof/>
        </w:rPr>
        <w:fldChar w:fldCharType="separate"/>
      </w:r>
      <w:r>
        <w:rPr>
          <w:noProof/>
        </w:rPr>
        <w:t>25</w:t>
      </w:r>
      <w:r>
        <w:rPr>
          <w:noProof/>
        </w:rPr>
        <w:fldChar w:fldCharType="end"/>
      </w:r>
    </w:p>
    <w:p w14:paraId="2D1E8B6C" w14:textId="68BDB573"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19. Data Protection</w:t>
      </w:r>
      <w:r>
        <w:rPr>
          <w:noProof/>
        </w:rPr>
        <w:tab/>
      </w:r>
      <w:r>
        <w:rPr>
          <w:noProof/>
        </w:rPr>
        <w:fldChar w:fldCharType="begin"/>
      </w:r>
      <w:r>
        <w:rPr>
          <w:noProof/>
        </w:rPr>
        <w:instrText xml:space="preserve"> PAGEREF _Toc236138708 \h </w:instrText>
      </w:r>
      <w:r>
        <w:rPr>
          <w:noProof/>
        </w:rPr>
      </w:r>
      <w:r>
        <w:rPr>
          <w:noProof/>
        </w:rPr>
        <w:fldChar w:fldCharType="separate"/>
      </w:r>
      <w:r>
        <w:rPr>
          <w:noProof/>
        </w:rPr>
        <w:t>26</w:t>
      </w:r>
      <w:r>
        <w:rPr>
          <w:noProof/>
        </w:rPr>
        <w:fldChar w:fldCharType="end"/>
      </w:r>
    </w:p>
    <w:p w14:paraId="07D774F8" w14:textId="48953A14"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20. Data Ownership</w:t>
      </w:r>
      <w:r>
        <w:rPr>
          <w:noProof/>
        </w:rPr>
        <w:tab/>
      </w:r>
      <w:r>
        <w:rPr>
          <w:noProof/>
        </w:rPr>
        <w:fldChar w:fldCharType="begin"/>
      </w:r>
      <w:r>
        <w:rPr>
          <w:noProof/>
        </w:rPr>
        <w:instrText xml:space="preserve"> PAGEREF _Toc236138709 \h </w:instrText>
      </w:r>
      <w:r>
        <w:rPr>
          <w:noProof/>
        </w:rPr>
      </w:r>
      <w:r>
        <w:rPr>
          <w:noProof/>
        </w:rPr>
        <w:fldChar w:fldCharType="separate"/>
      </w:r>
      <w:r>
        <w:rPr>
          <w:noProof/>
        </w:rPr>
        <w:t>26</w:t>
      </w:r>
      <w:r>
        <w:rPr>
          <w:noProof/>
        </w:rPr>
        <w:fldChar w:fldCharType="end"/>
      </w:r>
    </w:p>
    <w:p w14:paraId="6FAF138D" w14:textId="3AFF25B8"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21. Integration Options</w:t>
      </w:r>
      <w:r>
        <w:rPr>
          <w:noProof/>
        </w:rPr>
        <w:tab/>
      </w:r>
      <w:r>
        <w:rPr>
          <w:noProof/>
        </w:rPr>
        <w:fldChar w:fldCharType="begin"/>
      </w:r>
      <w:r>
        <w:rPr>
          <w:noProof/>
        </w:rPr>
        <w:instrText xml:space="preserve"> PAGEREF _Toc236138710 \h </w:instrText>
      </w:r>
      <w:r>
        <w:rPr>
          <w:noProof/>
        </w:rPr>
      </w:r>
      <w:r>
        <w:rPr>
          <w:noProof/>
        </w:rPr>
        <w:fldChar w:fldCharType="separate"/>
      </w:r>
      <w:r>
        <w:rPr>
          <w:noProof/>
        </w:rPr>
        <w:t>27</w:t>
      </w:r>
      <w:r>
        <w:rPr>
          <w:noProof/>
        </w:rPr>
        <w:fldChar w:fldCharType="end"/>
      </w:r>
    </w:p>
    <w:p w14:paraId="2A8DF0AD" w14:textId="44FC0ED0"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22. Performance and Scalability</w:t>
      </w:r>
      <w:r>
        <w:rPr>
          <w:noProof/>
        </w:rPr>
        <w:tab/>
      </w:r>
      <w:r>
        <w:rPr>
          <w:noProof/>
        </w:rPr>
        <w:fldChar w:fldCharType="begin"/>
      </w:r>
      <w:r>
        <w:rPr>
          <w:noProof/>
        </w:rPr>
        <w:instrText xml:space="preserve"> PAGEREF _Toc236138711 \h </w:instrText>
      </w:r>
      <w:r>
        <w:rPr>
          <w:noProof/>
        </w:rPr>
      </w:r>
      <w:r>
        <w:rPr>
          <w:noProof/>
        </w:rPr>
        <w:fldChar w:fldCharType="separate"/>
      </w:r>
      <w:r>
        <w:rPr>
          <w:noProof/>
        </w:rPr>
        <w:t>28</w:t>
      </w:r>
      <w:r>
        <w:rPr>
          <w:noProof/>
        </w:rPr>
        <w:fldChar w:fldCharType="end"/>
      </w:r>
    </w:p>
    <w:p w14:paraId="2256D86B" w14:textId="37D27089"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23. Implementation Methodology</w:t>
      </w:r>
      <w:r>
        <w:rPr>
          <w:noProof/>
        </w:rPr>
        <w:tab/>
      </w:r>
      <w:r>
        <w:rPr>
          <w:noProof/>
        </w:rPr>
        <w:fldChar w:fldCharType="begin"/>
      </w:r>
      <w:r>
        <w:rPr>
          <w:noProof/>
        </w:rPr>
        <w:instrText xml:space="preserve"> PAGEREF _Toc236138712 \h </w:instrText>
      </w:r>
      <w:r>
        <w:rPr>
          <w:noProof/>
        </w:rPr>
      </w:r>
      <w:r>
        <w:rPr>
          <w:noProof/>
        </w:rPr>
        <w:fldChar w:fldCharType="separate"/>
      </w:r>
      <w:r>
        <w:rPr>
          <w:noProof/>
        </w:rPr>
        <w:t>29</w:t>
      </w:r>
      <w:r>
        <w:rPr>
          <w:noProof/>
        </w:rPr>
        <w:fldChar w:fldCharType="end"/>
      </w:r>
    </w:p>
    <w:p w14:paraId="78B943DB" w14:textId="2A4CAE17"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24. Project Timeline</w:t>
      </w:r>
      <w:r>
        <w:rPr>
          <w:noProof/>
        </w:rPr>
        <w:tab/>
      </w:r>
      <w:r>
        <w:rPr>
          <w:noProof/>
        </w:rPr>
        <w:fldChar w:fldCharType="begin"/>
      </w:r>
      <w:r>
        <w:rPr>
          <w:noProof/>
        </w:rPr>
        <w:instrText xml:space="preserve"> PAGEREF _Toc236138713 \h </w:instrText>
      </w:r>
      <w:r>
        <w:rPr>
          <w:noProof/>
        </w:rPr>
      </w:r>
      <w:r>
        <w:rPr>
          <w:noProof/>
        </w:rPr>
        <w:fldChar w:fldCharType="separate"/>
      </w:r>
      <w:r>
        <w:rPr>
          <w:noProof/>
        </w:rPr>
        <w:t>30</w:t>
      </w:r>
      <w:r>
        <w:rPr>
          <w:noProof/>
        </w:rPr>
        <w:fldChar w:fldCharType="end"/>
      </w:r>
    </w:p>
    <w:p w14:paraId="766D113B" w14:textId="7B8BBC87"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24.1 Milestones</w:t>
      </w:r>
      <w:r>
        <w:rPr>
          <w:noProof/>
        </w:rPr>
        <w:tab/>
      </w:r>
      <w:r>
        <w:rPr>
          <w:noProof/>
        </w:rPr>
        <w:fldChar w:fldCharType="begin"/>
      </w:r>
      <w:r>
        <w:rPr>
          <w:noProof/>
        </w:rPr>
        <w:instrText xml:space="preserve"> PAGEREF _Toc236138714 \h </w:instrText>
      </w:r>
      <w:r>
        <w:rPr>
          <w:noProof/>
        </w:rPr>
      </w:r>
      <w:r>
        <w:rPr>
          <w:noProof/>
        </w:rPr>
        <w:fldChar w:fldCharType="separate"/>
      </w:r>
      <w:r>
        <w:rPr>
          <w:noProof/>
        </w:rPr>
        <w:t>31</w:t>
      </w:r>
      <w:r>
        <w:rPr>
          <w:noProof/>
        </w:rPr>
        <w:fldChar w:fldCharType="end"/>
      </w:r>
    </w:p>
    <w:p w14:paraId="513AFB32" w14:textId="53FD072B"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25. Project Governance</w:t>
      </w:r>
      <w:r>
        <w:rPr>
          <w:noProof/>
        </w:rPr>
        <w:tab/>
      </w:r>
      <w:r>
        <w:rPr>
          <w:noProof/>
        </w:rPr>
        <w:fldChar w:fldCharType="begin"/>
      </w:r>
      <w:r>
        <w:rPr>
          <w:noProof/>
        </w:rPr>
        <w:instrText xml:space="preserve"> PAGEREF _Toc236138715 \h </w:instrText>
      </w:r>
      <w:r>
        <w:rPr>
          <w:noProof/>
        </w:rPr>
      </w:r>
      <w:r>
        <w:rPr>
          <w:noProof/>
        </w:rPr>
        <w:fldChar w:fldCharType="separate"/>
      </w:r>
      <w:r>
        <w:rPr>
          <w:noProof/>
        </w:rPr>
        <w:t>31</w:t>
      </w:r>
      <w:r>
        <w:rPr>
          <w:noProof/>
        </w:rPr>
        <w:fldChar w:fldCharType="end"/>
      </w:r>
    </w:p>
    <w:p w14:paraId="5EC38341" w14:textId="45F02BDC"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26. Deliverables</w:t>
      </w:r>
      <w:r>
        <w:rPr>
          <w:noProof/>
        </w:rPr>
        <w:tab/>
      </w:r>
      <w:r>
        <w:rPr>
          <w:noProof/>
        </w:rPr>
        <w:fldChar w:fldCharType="begin"/>
      </w:r>
      <w:r>
        <w:rPr>
          <w:noProof/>
        </w:rPr>
        <w:instrText xml:space="preserve"> PAGEREF _Toc236138716 \h </w:instrText>
      </w:r>
      <w:r>
        <w:rPr>
          <w:noProof/>
        </w:rPr>
      </w:r>
      <w:r>
        <w:rPr>
          <w:noProof/>
        </w:rPr>
        <w:fldChar w:fldCharType="separate"/>
      </w:r>
      <w:r>
        <w:rPr>
          <w:noProof/>
        </w:rPr>
        <w:t>32</w:t>
      </w:r>
      <w:r>
        <w:rPr>
          <w:noProof/>
        </w:rPr>
        <w:fldChar w:fldCharType="end"/>
      </w:r>
    </w:p>
    <w:p w14:paraId="0D8F4981" w14:textId="16735706"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27. Training and Knowledge Transfer</w:t>
      </w:r>
      <w:r>
        <w:rPr>
          <w:noProof/>
        </w:rPr>
        <w:tab/>
      </w:r>
      <w:r>
        <w:rPr>
          <w:noProof/>
        </w:rPr>
        <w:fldChar w:fldCharType="begin"/>
      </w:r>
      <w:r>
        <w:rPr>
          <w:noProof/>
        </w:rPr>
        <w:instrText xml:space="preserve"> PAGEREF _Toc236138717 \h </w:instrText>
      </w:r>
      <w:r>
        <w:rPr>
          <w:noProof/>
        </w:rPr>
      </w:r>
      <w:r>
        <w:rPr>
          <w:noProof/>
        </w:rPr>
        <w:fldChar w:fldCharType="separate"/>
      </w:r>
      <w:r>
        <w:rPr>
          <w:noProof/>
        </w:rPr>
        <w:t>34</w:t>
      </w:r>
      <w:r>
        <w:rPr>
          <w:noProof/>
        </w:rPr>
        <w:fldChar w:fldCharType="end"/>
      </w:r>
    </w:p>
    <w:p w14:paraId="4D039B20" w14:textId="25183CE3"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28. Testing and Acceptance</w:t>
      </w:r>
      <w:r>
        <w:rPr>
          <w:noProof/>
        </w:rPr>
        <w:tab/>
      </w:r>
      <w:r>
        <w:rPr>
          <w:noProof/>
        </w:rPr>
        <w:fldChar w:fldCharType="begin"/>
      </w:r>
      <w:r>
        <w:rPr>
          <w:noProof/>
        </w:rPr>
        <w:instrText xml:space="preserve"> PAGEREF _Toc236138718 \h </w:instrText>
      </w:r>
      <w:r>
        <w:rPr>
          <w:noProof/>
        </w:rPr>
      </w:r>
      <w:r>
        <w:rPr>
          <w:noProof/>
        </w:rPr>
        <w:fldChar w:fldCharType="separate"/>
      </w:r>
      <w:r>
        <w:rPr>
          <w:noProof/>
        </w:rPr>
        <w:t>34</w:t>
      </w:r>
      <w:r>
        <w:rPr>
          <w:noProof/>
        </w:rPr>
        <w:fldChar w:fldCharType="end"/>
      </w:r>
    </w:p>
    <w:p w14:paraId="1E62FC7C" w14:textId="33899C02"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29. Support and Maintenance</w:t>
      </w:r>
      <w:r>
        <w:rPr>
          <w:noProof/>
        </w:rPr>
        <w:tab/>
      </w:r>
      <w:r>
        <w:rPr>
          <w:noProof/>
        </w:rPr>
        <w:fldChar w:fldCharType="begin"/>
      </w:r>
      <w:r>
        <w:rPr>
          <w:noProof/>
        </w:rPr>
        <w:instrText xml:space="preserve"> PAGEREF _Toc236138719 \h </w:instrText>
      </w:r>
      <w:r>
        <w:rPr>
          <w:noProof/>
        </w:rPr>
      </w:r>
      <w:r>
        <w:rPr>
          <w:noProof/>
        </w:rPr>
        <w:fldChar w:fldCharType="separate"/>
      </w:r>
      <w:r>
        <w:rPr>
          <w:noProof/>
        </w:rPr>
        <w:t>35</w:t>
      </w:r>
      <w:r>
        <w:rPr>
          <w:noProof/>
        </w:rPr>
        <w:fldChar w:fldCharType="end"/>
      </w:r>
    </w:p>
    <w:p w14:paraId="567CDD10" w14:textId="52E7D753"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30. SLA</w:t>
      </w:r>
      <w:r>
        <w:rPr>
          <w:noProof/>
        </w:rPr>
        <w:tab/>
      </w:r>
      <w:r>
        <w:rPr>
          <w:noProof/>
        </w:rPr>
        <w:fldChar w:fldCharType="begin"/>
      </w:r>
      <w:r>
        <w:rPr>
          <w:noProof/>
        </w:rPr>
        <w:instrText xml:space="preserve"> PAGEREF _Toc236138720 \h </w:instrText>
      </w:r>
      <w:r>
        <w:rPr>
          <w:noProof/>
        </w:rPr>
      </w:r>
      <w:r>
        <w:rPr>
          <w:noProof/>
        </w:rPr>
        <w:fldChar w:fldCharType="separate"/>
      </w:r>
      <w:r>
        <w:rPr>
          <w:noProof/>
        </w:rPr>
        <w:t>35</w:t>
      </w:r>
      <w:r>
        <w:rPr>
          <w:noProof/>
        </w:rPr>
        <w:fldChar w:fldCharType="end"/>
      </w:r>
    </w:p>
    <w:p w14:paraId="0F399B9D" w14:textId="612BBCBA"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31. Commercial Models</w:t>
      </w:r>
      <w:r>
        <w:rPr>
          <w:noProof/>
        </w:rPr>
        <w:tab/>
      </w:r>
      <w:r>
        <w:rPr>
          <w:noProof/>
        </w:rPr>
        <w:fldChar w:fldCharType="begin"/>
      </w:r>
      <w:r>
        <w:rPr>
          <w:noProof/>
        </w:rPr>
        <w:instrText xml:space="preserve"> PAGEREF _Toc236138721 \h </w:instrText>
      </w:r>
      <w:r>
        <w:rPr>
          <w:noProof/>
        </w:rPr>
      </w:r>
      <w:r>
        <w:rPr>
          <w:noProof/>
        </w:rPr>
        <w:fldChar w:fldCharType="separate"/>
      </w:r>
      <w:r>
        <w:rPr>
          <w:noProof/>
        </w:rPr>
        <w:t>37</w:t>
      </w:r>
      <w:r>
        <w:rPr>
          <w:noProof/>
        </w:rPr>
        <w:fldChar w:fldCharType="end"/>
      </w:r>
    </w:p>
    <w:p w14:paraId="30137F9F" w14:textId="5DBCBC19"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31.1 Model A — Annual SaaS Subscription</w:t>
      </w:r>
      <w:r>
        <w:rPr>
          <w:noProof/>
        </w:rPr>
        <w:tab/>
      </w:r>
      <w:r>
        <w:rPr>
          <w:noProof/>
        </w:rPr>
        <w:fldChar w:fldCharType="begin"/>
      </w:r>
      <w:r>
        <w:rPr>
          <w:noProof/>
        </w:rPr>
        <w:instrText xml:space="preserve"> PAGEREF _Toc236138722 \h </w:instrText>
      </w:r>
      <w:r>
        <w:rPr>
          <w:noProof/>
        </w:rPr>
      </w:r>
      <w:r>
        <w:rPr>
          <w:noProof/>
        </w:rPr>
        <w:fldChar w:fldCharType="separate"/>
      </w:r>
      <w:r>
        <w:rPr>
          <w:noProof/>
        </w:rPr>
        <w:t>37</w:t>
      </w:r>
      <w:r>
        <w:rPr>
          <w:noProof/>
        </w:rPr>
        <w:fldChar w:fldCharType="end"/>
      </w:r>
    </w:p>
    <w:p w14:paraId="7713C954" w14:textId="1EF8F2E9"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lastRenderedPageBreak/>
        <w:t>31.2 Model B — Perpetual Licence / One-Time Purchase</w:t>
      </w:r>
      <w:r>
        <w:rPr>
          <w:noProof/>
        </w:rPr>
        <w:tab/>
      </w:r>
      <w:r>
        <w:rPr>
          <w:noProof/>
        </w:rPr>
        <w:fldChar w:fldCharType="begin"/>
      </w:r>
      <w:r>
        <w:rPr>
          <w:noProof/>
        </w:rPr>
        <w:instrText xml:space="preserve"> PAGEREF _Toc236138723 \h </w:instrText>
      </w:r>
      <w:r>
        <w:rPr>
          <w:noProof/>
        </w:rPr>
      </w:r>
      <w:r>
        <w:rPr>
          <w:noProof/>
        </w:rPr>
        <w:fldChar w:fldCharType="separate"/>
      </w:r>
      <w:r>
        <w:rPr>
          <w:noProof/>
        </w:rPr>
        <w:t>37</w:t>
      </w:r>
      <w:r>
        <w:rPr>
          <w:noProof/>
        </w:rPr>
        <w:fldChar w:fldCharType="end"/>
      </w:r>
    </w:p>
    <w:p w14:paraId="4D1FA229" w14:textId="3AFF903F"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31.3 Model C — Enterprise Custom Development Partnership</w:t>
      </w:r>
      <w:r>
        <w:rPr>
          <w:noProof/>
        </w:rPr>
        <w:tab/>
      </w:r>
      <w:r>
        <w:rPr>
          <w:noProof/>
        </w:rPr>
        <w:fldChar w:fldCharType="begin"/>
      </w:r>
      <w:r>
        <w:rPr>
          <w:noProof/>
        </w:rPr>
        <w:instrText xml:space="preserve"> PAGEREF _Toc236138724 \h </w:instrText>
      </w:r>
      <w:r>
        <w:rPr>
          <w:noProof/>
        </w:rPr>
      </w:r>
      <w:r>
        <w:rPr>
          <w:noProof/>
        </w:rPr>
        <w:fldChar w:fldCharType="separate"/>
      </w:r>
      <w:r>
        <w:rPr>
          <w:noProof/>
        </w:rPr>
        <w:t>37</w:t>
      </w:r>
      <w:r>
        <w:rPr>
          <w:noProof/>
        </w:rPr>
        <w:fldChar w:fldCharType="end"/>
      </w:r>
    </w:p>
    <w:p w14:paraId="519CE878" w14:textId="32693568"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31.4 Model Comparison</w:t>
      </w:r>
      <w:r>
        <w:rPr>
          <w:noProof/>
        </w:rPr>
        <w:tab/>
      </w:r>
      <w:r>
        <w:rPr>
          <w:noProof/>
        </w:rPr>
        <w:fldChar w:fldCharType="begin"/>
      </w:r>
      <w:r>
        <w:rPr>
          <w:noProof/>
        </w:rPr>
        <w:instrText xml:space="preserve"> PAGEREF _Toc236138725 \h </w:instrText>
      </w:r>
      <w:r>
        <w:rPr>
          <w:noProof/>
        </w:rPr>
      </w:r>
      <w:r>
        <w:rPr>
          <w:noProof/>
        </w:rPr>
        <w:fldChar w:fldCharType="separate"/>
      </w:r>
      <w:r>
        <w:rPr>
          <w:noProof/>
        </w:rPr>
        <w:t>37</w:t>
      </w:r>
      <w:r>
        <w:rPr>
          <w:noProof/>
        </w:rPr>
        <w:fldChar w:fldCharType="end"/>
      </w:r>
    </w:p>
    <w:p w14:paraId="0B8F1AD0" w14:textId="75C8F6CC"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32. Pricing Approach</w:t>
      </w:r>
      <w:r>
        <w:rPr>
          <w:noProof/>
        </w:rPr>
        <w:tab/>
      </w:r>
      <w:r>
        <w:rPr>
          <w:noProof/>
        </w:rPr>
        <w:fldChar w:fldCharType="begin"/>
      </w:r>
      <w:r>
        <w:rPr>
          <w:noProof/>
        </w:rPr>
        <w:instrText xml:space="preserve"> PAGEREF _Toc236138726 \h </w:instrText>
      </w:r>
      <w:r>
        <w:rPr>
          <w:noProof/>
        </w:rPr>
      </w:r>
      <w:r>
        <w:rPr>
          <w:noProof/>
        </w:rPr>
        <w:fldChar w:fldCharType="separate"/>
      </w:r>
      <w:r>
        <w:rPr>
          <w:noProof/>
        </w:rPr>
        <w:t>38</w:t>
      </w:r>
      <w:r>
        <w:rPr>
          <w:noProof/>
        </w:rPr>
        <w:fldChar w:fldCharType="end"/>
      </w:r>
    </w:p>
    <w:p w14:paraId="0C046187" w14:textId="524B1277"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32.1 Pricing Methodology</w:t>
      </w:r>
      <w:r>
        <w:rPr>
          <w:noProof/>
        </w:rPr>
        <w:tab/>
      </w:r>
      <w:r>
        <w:rPr>
          <w:noProof/>
        </w:rPr>
        <w:fldChar w:fldCharType="begin"/>
      </w:r>
      <w:r>
        <w:rPr>
          <w:noProof/>
        </w:rPr>
        <w:instrText xml:space="preserve"> PAGEREF _Toc236138727 \h </w:instrText>
      </w:r>
      <w:r>
        <w:rPr>
          <w:noProof/>
        </w:rPr>
      </w:r>
      <w:r>
        <w:rPr>
          <w:noProof/>
        </w:rPr>
        <w:fldChar w:fldCharType="separate"/>
      </w:r>
      <w:r>
        <w:rPr>
          <w:noProof/>
        </w:rPr>
        <w:t>38</w:t>
      </w:r>
      <w:r>
        <w:rPr>
          <w:noProof/>
        </w:rPr>
        <w:fldChar w:fldCharType="end"/>
      </w:r>
    </w:p>
    <w:p w14:paraId="1F1E21DB" w14:textId="7D47383B"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33. Assumptions</w:t>
      </w:r>
      <w:r>
        <w:rPr>
          <w:noProof/>
        </w:rPr>
        <w:tab/>
      </w:r>
      <w:r>
        <w:rPr>
          <w:noProof/>
        </w:rPr>
        <w:fldChar w:fldCharType="begin"/>
      </w:r>
      <w:r>
        <w:rPr>
          <w:noProof/>
        </w:rPr>
        <w:instrText xml:space="preserve"> PAGEREF _Toc236138728 \h </w:instrText>
      </w:r>
      <w:r>
        <w:rPr>
          <w:noProof/>
        </w:rPr>
      </w:r>
      <w:r>
        <w:rPr>
          <w:noProof/>
        </w:rPr>
        <w:fldChar w:fldCharType="separate"/>
      </w:r>
      <w:r>
        <w:rPr>
          <w:noProof/>
        </w:rPr>
        <w:t>39</w:t>
      </w:r>
      <w:r>
        <w:rPr>
          <w:noProof/>
        </w:rPr>
        <w:fldChar w:fldCharType="end"/>
      </w:r>
    </w:p>
    <w:p w14:paraId="62058FAB" w14:textId="66EE4CA8"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34. Exclusions</w:t>
      </w:r>
      <w:r>
        <w:rPr>
          <w:noProof/>
        </w:rPr>
        <w:tab/>
      </w:r>
      <w:r>
        <w:rPr>
          <w:noProof/>
        </w:rPr>
        <w:fldChar w:fldCharType="begin"/>
      </w:r>
      <w:r>
        <w:rPr>
          <w:noProof/>
        </w:rPr>
        <w:instrText xml:space="preserve"> PAGEREF _Toc236138729 \h </w:instrText>
      </w:r>
      <w:r>
        <w:rPr>
          <w:noProof/>
        </w:rPr>
      </w:r>
      <w:r>
        <w:rPr>
          <w:noProof/>
        </w:rPr>
        <w:fldChar w:fldCharType="separate"/>
      </w:r>
      <w:r>
        <w:rPr>
          <w:noProof/>
        </w:rPr>
        <w:t>39</w:t>
      </w:r>
      <w:r>
        <w:rPr>
          <w:noProof/>
        </w:rPr>
        <w:fldChar w:fldCharType="end"/>
      </w:r>
    </w:p>
    <w:p w14:paraId="0A658D68" w14:textId="1162A7D0"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35. Risk and Mitigation</w:t>
      </w:r>
      <w:r>
        <w:rPr>
          <w:noProof/>
        </w:rPr>
        <w:tab/>
      </w:r>
      <w:r>
        <w:rPr>
          <w:noProof/>
        </w:rPr>
        <w:fldChar w:fldCharType="begin"/>
      </w:r>
      <w:r>
        <w:rPr>
          <w:noProof/>
        </w:rPr>
        <w:instrText xml:space="preserve"> PAGEREF _Toc236138730 \h </w:instrText>
      </w:r>
      <w:r>
        <w:rPr>
          <w:noProof/>
        </w:rPr>
      </w:r>
      <w:r>
        <w:rPr>
          <w:noProof/>
        </w:rPr>
        <w:fldChar w:fldCharType="separate"/>
      </w:r>
      <w:r>
        <w:rPr>
          <w:noProof/>
        </w:rPr>
        <w:t>39</w:t>
      </w:r>
      <w:r>
        <w:rPr>
          <w:noProof/>
        </w:rPr>
        <w:fldChar w:fldCharType="end"/>
      </w:r>
    </w:p>
    <w:p w14:paraId="74EE930A" w14:textId="157EA947"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36. Change Request Process</w:t>
      </w:r>
      <w:r>
        <w:rPr>
          <w:noProof/>
        </w:rPr>
        <w:tab/>
      </w:r>
      <w:r>
        <w:rPr>
          <w:noProof/>
        </w:rPr>
        <w:fldChar w:fldCharType="begin"/>
      </w:r>
      <w:r>
        <w:rPr>
          <w:noProof/>
        </w:rPr>
        <w:instrText xml:space="preserve"> PAGEREF _Toc236138731 \h </w:instrText>
      </w:r>
      <w:r>
        <w:rPr>
          <w:noProof/>
        </w:rPr>
      </w:r>
      <w:r>
        <w:rPr>
          <w:noProof/>
        </w:rPr>
        <w:fldChar w:fldCharType="separate"/>
      </w:r>
      <w:r>
        <w:rPr>
          <w:noProof/>
        </w:rPr>
        <w:t>41</w:t>
      </w:r>
      <w:r>
        <w:rPr>
          <w:noProof/>
        </w:rPr>
        <w:fldChar w:fldCharType="end"/>
      </w:r>
    </w:p>
    <w:p w14:paraId="7F8BD2AD" w14:textId="64238FB1"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37. Intellectual Property</w:t>
      </w:r>
      <w:r>
        <w:rPr>
          <w:noProof/>
        </w:rPr>
        <w:tab/>
      </w:r>
      <w:r>
        <w:rPr>
          <w:noProof/>
        </w:rPr>
        <w:fldChar w:fldCharType="begin"/>
      </w:r>
      <w:r>
        <w:rPr>
          <w:noProof/>
        </w:rPr>
        <w:instrText xml:space="preserve"> PAGEREF _Toc236138732 \h </w:instrText>
      </w:r>
      <w:r>
        <w:rPr>
          <w:noProof/>
        </w:rPr>
      </w:r>
      <w:r>
        <w:rPr>
          <w:noProof/>
        </w:rPr>
        <w:fldChar w:fldCharType="separate"/>
      </w:r>
      <w:r>
        <w:rPr>
          <w:noProof/>
        </w:rPr>
        <w:t>41</w:t>
      </w:r>
      <w:r>
        <w:rPr>
          <w:noProof/>
        </w:rPr>
        <w:fldChar w:fldCharType="end"/>
      </w:r>
    </w:p>
    <w:p w14:paraId="321E345B" w14:textId="66B608DB"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38. Proposal Validity</w:t>
      </w:r>
      <w:r>
        <w:rPr>
          <w:noProof/>
        </w:rPr>
        <w:tab/>
      </w:r>
      <w:r>
        <w:rPr>
          <w:noProof/>
        </w:rPr>
        <w:fldChar w:fldCharType="begin"/>
      </w:r>
      <w:r>
        <w:rPr>
          <w:noProof/>
        </w:rPr>
        <w:instrText xml:space="preserve"> PAGEREF _Toc236138733 \h </w:instrText>
      </w:r>
      <w:r>
        <w:rPr>
          <w:noProof/>
        </w:rPr>
      </w:r>
      <w:r>
        <w:rPr>
          <w:noProof/>
        </w:rPr>
        <w:fldChar w:fldCharType="separate"/>
      </w:r>
      <w:r>
        <w:rPr>
          <w:noProof/>
        </w:rPr>
        <w:t>41</w:t>
      </w:r>
      <w:r>
        <w:rPr>
          <w:noProof/>
        </w:rPr>
        <w:fldChar w:fldCharType="end"/>
      </w:r>
    </w:p>
    <w:p w14:paraId="4BCB4420" w14:textId="43371E3C"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39. Payment Terms</w:t>
      </w:r>
      <w:r>
        <w:rPr>
          <w:noProof/>
        </w:rPr>
        <w:tab/>
      </w:r>
      <w:r>
        <w:rPr>
          <w:noProof/>
        </w:rPr>
        <w:fldChar w:fldCharType="begin"/>
      </w:r>
      <w:r>
        <w:rPr>
          <w:noProof/>
        </w:rPr>
        <w:instrText xml:space="preserve"> PAGEREF _Toc236138734 \h </w:instrText>
      </w:r>
      <w:r>
        <w:rPr>
          <w:noProof/>
        </w:rPr>
      </w:r>
      <w:r>
        <w:rPr>
          <w:noProof/>
        </w:rPr>
        <w:fldChar w:fldCharType="separate"/>
      </w:r>
      <w:r>
        <w:rPr>
          <w:noProof/>
        </w:rPr>
        <w:t>41</w:t>
      </w:r>
      <w:r>
        <w:rPr>
          <w:noProof/>
        </w:rPr>
        <w:fldChar w:fldCharType="end"/>
      </w:r>
    </w:p>
    <w:p w14:paraId="50015AE3" w14:textId="09EF21F1"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40. Termination and Exit</w:t>
      </w:r>
      <w:r>
        <w:rPr>
          <w:noProof/>
        </w:rPr>
        <w:tab/>
      </w:r>
      <w:r>
        <w:rPr>
          <w:noProof/>
        </w:rPr>
        <w:fldChar w:fldCharType="begin"/>
      </w:r>
      <w:r>
        <w:rPr>
          <w:noProof/>
        </w:rPr>
        <w:instrText xml:space="preserve"> PAGEREF _Toc236138735 \h </w:instrText>
      </w:r>
      <w:r>
        <w:rPr>
          <w:noProof/>
        </w:rPr>
      </w:r>
      <w:r>
        <w:rPr>
          <w:noProof/>
        </w:rPr>
        <w:fldChar w:fldCharType="separate"/>
      </w:r>
      <w:r>
        <w:rPr>
          <w:noProof/>
        </w:rPr>
        <w:t>42</w:t>
      </w:r>
      <w:r>
        <w:rPr>
          <w:noProof/>
        </w:rPr>
        <w:fldChar w:fldCharType="end"/>
      </w:r>
    </w:p>
    <w:p w14:paraId="5F089972" w14:textId="3232B11D"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41. Future Roadmap</w:t>
      </w:r>
      <w:r>
        <w:rPr>
          <w:noProof/>
        </w:rPr>
        <w:tab/>
      </w:r>
      <w:r>
        <w:rPr>
          <w:noProof/>
        </w:rPr>
        <w:fldChar w:fldCharType="begin"/>
      </w:r>
      <w:r>
        <w:rPr>
          <w:noProof/>
        </w:rPr>
        <w:instrText xml:space="preserve"> PAGEREF _Toc236138736 \h </w:instrText>
      </w:r>
      <w:r>
        <w:rPr>
          <w:noProof/>
        </w:rPr>
      </w:r>
      <w:r>
        <w:rPr>
          <w:noProof/>
        </w:rPr>
        <w:fldChar w:fldCharType="separate"/>
      </w:r>
      <w:r>
        <w:rPr>
          <w:noProof/>
        </w:rPr>
        <w:t>42</w:t>
      </w:r>
      <w:r>
        <w:rPr>
          <w:noProof/>
        </w:rPr>
        <w:fldChar w:fldCharType="end"/>
      </w:r>
    </w:p>
    <w:p w14:paraId="67F3823A" w14:textId="5FDC3E9A"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41.1 Learning &amp; Assessment</w:t>
      </w:r>
      <w:r>
        <w:rPr>
          <w:noProof/>
        </w:rPr>
        <w:tab/>
      </w:r>
      <w:r>
        <w:rPr>
          <w:noProof/>
        </w:rPr>
        <w:fldChar w:fldCharType="begin"/>
      </w:r>
      <w:r>
        <w:rPr>
          <w:noProof/>
        </w:rPr>
        <w:instrText xml:space="preserve"> PAGEREF _Toc236138737 \h </w:instrText>
      </w:r>
      <w:r>
        <w:rPr>
          <w:noProof/>
        </w:rPr>
      </w:r>
      <w:r>
        <w:rPr>
          <w:noProof/>
        </w:rPr>
        <w:fldChar w:fldCharType="separate"/>
      </w:r>
      <w:r>
        <w:rPr>
          <w:noProof/>
        </w:rPr>
        <w:t>42</w:t>
      </w:r>
      <w:r>
        <w:rPr>
          <w:noProof/>
        </w:rPr>
        <w:fldChar w:fldCharType="end"/>
      </w:r>
    </w:p>
    <w:p w14:paraId="03D7E6C8" w14:textId="6E911B3D"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41.2 AI</w:t>
      </w:r>
      <w:r>
        <w:rPr>
          <w:noProof/>
        </w:rPr>
        <w:tab/>
      </w:r>
      <w:r>
        <w:rPr>
          <w:noProof/>
        </w:rPr>
        <w:fldChar w:fldCharType="begin"/>
      </w:r>
      <w:r>
        <w:rPr>
          <w:noProof/>
        </w:rPr>
        <w:instrText xml:space="preserve"> PAGEREF _Toc236138738 \h </w:instrText>
      </w:r>
      <w:r>
        <w:rPr>
          <w:noProof/>
        </w:rPr>
      </w:r>
      <w:r>
        <w:rPr>
          <w:noProof/>
        </w:rPr>
        <w:fldChar w:fldCharType="separate"/>
      </w:r>
      <w:r>
        <w:rPr>
          <w:noProof/>
        </w:rPr>
        <w:t>42</w:t>
      </w:r>
      <w:r>
        <w:rPr>
          <w:noProof/>
        </w:rPr>
        <w:fldChar w:fldCharType="end"/>
      </w:r>
    </w:p>
    <w:p w14:paraId="0CBD35DD" w14:textId="4DA67335"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41.3 Integrations</w:t>
      </w:r>
      <w:r>
        <w:rPr>
          <w:noProof/>
        </w:rPr>
        <w:tab/>
      </w:r>
      <w:r>
        <w:rPr>
          <w:noProof/>
        </w:rPr>
        <w:fldChar w:fldCharType="begin"/>
      </w:r>
      <w:r>
        <w:rPr>
          <w:noProof/>
        </w:rPr>
        <w:instrText xml:space="preserve"> PAGEREF _Toc236138739 \h </w:instrText>
      </w:r>
      <w:r>
        <w:rPr>
          <w:noProof/>
        </w:rPr>
      </w:r>
      <w:r>
        <w:rPr>
          <w:noProof/>
        </w:rPr>
        <w:fldChar w:fldCharType="separate"/>
      </w:r>
      <w:r>
        <w:rPr>
          <w:noProof/>
        </w:rPr>
        <w:t>42</w:t>
      </w:r>
      <w:r>
        <w:rPr>
          <w:noProof/>
        </w:rPr>
        <w:fldChar w:fldCharType="end"/>
      </w:r>
    </w:p>
    <w:p w14:paraId="51C82365" w14:textId="32E6AB65"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41.4 Platform</w:t>
      </w:r>
      <w:r>
        <w:rPr>
          <w:noProof/>
        </w:rPr>
        <w:tab/>
      </w:r>
      <w:r>
        <w:rPr>
          <w:noProof/>
        </w:rPr>
        <w:fldChar w:fldCharType="begin"/>
      </w:r>
      <w:r>
        <w:rPr>
          <w:noProof/>
        </w:rPr>
        <w:instrText xml:space="preserve"> PAGEREF _Toc236138740 \h </w:instrText>
      </w:r>
      <w:r>
        <w:rPr>
          <w:noProof/>
        </w:rPr>
      </w:r>
      <w:r>
        <w:rPr>
          <w:noProof/>
        </w:rPr>
        <w:fldChar w:fldCharType="separate"/>
      </w:r>
      <w:r>
        <w:rPr>
          <w:noProof/>
        </w:rPr>
        <w:t>42</w:t>
      </w:r>
      <w:r>
        <w:rPr>
          <w:noProof/>
        </w:rPr>
        <w:fldChar w:fldCharType="end"/>
      </w:r>
    </w:p>
    <w:p w14:paraId="0602B7CE" w14:textId="73B02658"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42. Why Al Tanfith Al Dwaliah SPC</w:t>
      </w:r>
      <w:r>
        <w:rPr>
          <w:noProof/>
        </w:rPr>
        <w:tab/>
      </w:r>
      <w:r>
        <w:rPr>
          <w:noProof/>
        </w:rPr>
        <w:fldChar w:fldCharType="begin"/>
      </w:r>
      <w:r>
        <w:rPr>
          <w:noProof/>
        </w:rPr>
        <w:instrText xml:space="preserve"> PAGEREF _Toc236138741 \h </w:instrText>
      </w:r>
      <w:r>
        <w:rPr>
          <w:noProof/>
        </w:rPr>
      </w:r>
      <w:r>
        <w:rPr>
          <w:noProof/>
        </w:rPr>
        <w:fldChar w:fldCharType="separate"/>
      </w:r>
      <w:r>
        <w:rPr>
          <w:noProof/>
        </w:rPr>
        <w:t>42</w:t>
      </w:r>
      <w:r>
        <w:rPr>
          <w:noProof/>
        </w:rPr>
        <w:fldChar w:fldCharType="end"/>
      </w:r>
    </w:p>
    <w:p w14:paraId="315212B5" w14:textId="0F63AE92"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43. Next Steps</w:t>
      </w:r>
      <w:r>
        <w:rPr>
          <w:noProof/>
        </w:rPr>
        <w:tab/>
      </w:r>
      <w:r>
        <w:rPr>
          <w:noProof/>
        </w:rPr>
        <w:fldChar w:fldCharType="begin"/>
      </w:r>
      <w:r>
        <w:rPr>
          <w:noProof/>
        </w:rPr>
        <w:instrText xml:space="preserve"> PAGEREF _Toc236138742 \h </w:instrText>
      </w:r>
      <w:r>
        <w:rPr>
          <w:noProof/>
        </w:rPr>
      </w:r>
      <w:r>
        <w:rPr>
          <w:noProof/>
        </w:rPr>
        <w:fldChar w:fldCharType="separate"/>
      </w:r>
      <w:r>
        <w:rPr>
          <w:noProof/>
        </w:rPr>
        <w:t>43</w:t>
      </w:r>
      <w:r>
        <w:rPr>
          <w:noProof/>
        </w:rPr>
        <w:fldChar w:fldCharType="end"/>
      </w:r>
    </w:p>
    <w:p w14:paraId="34A47E6D" w14:textId="1570B200"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44. Acceptance Page</w:t>
      </w:r>
      <w:r>
        <w:rPr>
          <w:noProof/>
        </w:rPr>
        <w:tab/>
      </w:r>
      <w:r>
        <w:rPr>
          <w:noProof/>
        </w:rPr>
        <w:fldChar w:fldCharType="begin"/>
      </w:r>
      <w:r>
        <w:rPr>
          <w:noProof/>
        </w:rPr>
        <w:instrText xml:space="preserve"> PAGEREF _Toc236138743 \h </w:instrText>
      </w:r>
      <w:r>
        <w:rPr>
          <w:noProof/>
        </w:rPr>
      </w:r>
      <w:r>
        <w:rPr>
          <w:noProof/>
        </w:rPr>
        <w:fldChar w:fldCharType="separate"/>
      </w:r>
      <w:r>
        <w:rPr>
          <w:noProof/>
        </w:rPr>
        <w:t>43</w:t>
      </w:r>
      <w:r>
        <w:rPr>
          <w:noProof/>
        </w:rPr>
        <w:fldChar w:fldCharType="end"/>
      </w:r>
    </w:p>
    <w:p w14:paraId="2592D8D1" w14:textId="2B80FCF9"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45. Contact Details</w:t>
      </w:r>
      <w:r>
        <w:rPr>
          <w:noProof/>
        </w:rPr>
        <w:tab/>
      </w:r>
      <w:r>
        <w:rPr>
          <w:noProof/>
        </w:rPr>
        <w:fldChar w:fldCharType="begin"/>
      </w:r>
      <w:r>
        <w:rPr>
          <w:noProof/>
        </w:rPr>
        <w:instrText xml:space="preserve"> PAGEREF _Toc236138744 \h </w:instrText>
      </w:r>
      <w:r>
        <w:rPr>
          <w:noProof/>
        </w:rPr>
      </w:r>
      <w:r>
        <w:rPr>
          <w:noProof/>
        </w:rPr>
        <w:fldChar w:fldCharType="separate"/>
      </w:r>
      <w:r>
        <w:rPr>
          <w:noProof/>
        </w:rPr>
        <w:t>44</w:t>
      </w:r>
      <w:r>
        <w:rPr>
          <w:noProof/>
        </w:rPr>
        <w:fldChar w:fldCharType="end"/>
      </w:r>
    </w:p>
    <w:p w14:paraId="0D948CC4" w14:textId="51757A98" w:rsidR="00F25D79" w:rsidRDefault="00F25D79" w:rsidP="00F25D79">
      <w:pPr>
        <w:pStyle w:val="TOC1"/>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46. Appendices</w:t>
      </w:r>
      <w:r>
        <w:rPr>
          <w:noProof/>
        </w:rPr>
        <w:tab/>
      </w:r>
      <w:r>
        <w:rPr>
          <w:noProof/>
        </w:rPr>
        <w:fldChar w:fldCharType="begin"/>
      </w:r>
      <w:r>
        <w:rPr>
          <w:noProof/>
        </w:rPr>
        <w:instrText xml:space="preserve"> PAGEREF _Toc236138745 \h </w:instrText>
      </w:r>
      <w:r>
        <w:rPr>
          <w:noProof/>
        </w:rPr>
      </w:r>
      <w:r>
        <w:rPr>
          <w:noProof/>
        </w:rPr>
        <w:fldChar w:fldCharType="separate"/>
      </w:r>
      <w:r>
        <w:rPr>
          <w:noProof/>
        </w:rPr>
        <w:t>44</w:t>
      </w:r>
      <w:r>
        <w:rPr>
          <w:noProof/>
        </w:rPr>
        <w:fldChar w:fldCharType="end"/>
      </w:r>
    </w:p>
    <w:p w14:paraId="16E8EF95" w14:textId="7AE9ED71"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46.1 Appendix A — Glossary</w:t>
      </w:r>
      <w:r>
        <w:rPr>
          <w:noProof/>
        </w:rPr>
        <w:tab/>
      </w:r>
      <w:r>
        <w:rPr>
          <w:noProof/>
        </w:rPr>
        <w:fldChar w:fldCharType="begin"/>
      </w:r>
      <w:r>
        <w:rPr>
          <w:noProof/>
        </w:rPr>
        <w:instrText xml:space="preserve"> PAGEREF _Toc236138746 \h </w:instrText>
      </w:r>
      <w:r>
        <w:rPr>
          <w:noProof/>
        </w:rPr>
      </w:r>
      <w:r>
        <w:rPr>
          <w:noProof/>
        </w:rPr>
        <w:fldChar w:fldCharType="separate"/>
      </w:r>
      <w:r>
        <w:rPr>
          <w:noProof/>
        </w:rPr>
        <w:t>44</w:t>
      </w:r>
      <w:r>
        <w:rPr>
          <w:noProof/>
        </w:rPr>
        <w:fldChar w:fldCharType="end"/>
      </w:r>
    </w:p>
    <w:p w14:paraId="013BD956" w14:textId="6C6E15E1"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46.2 Appendix B — Placeholder Index</w:t>
      </w:r>
      <w:r>
        <w:rPr>
          <w:noProof/>
        </w:rPr>
        <w:tab/>
      </w:r>
      <w:r>
        <w:rPr>
          <w:noProof/>
        </w:rPr>
        <w:fldChar w:fldCharType="begin"/>
      </w:r>
      <w:r>
        <w:rPr>
          <w:noProof/>
        </w:rPr>
        <w:instrText xml:space="preserve"> PAGEREF _Toc236138747 \h </w:instrText>
      </w:r>
      <w:r>
        <w:rPr>
          <w:noProof/>
        </w:rPr>
      </w:r>
      <w:r>
        <w:rPr>
          <w:noProof/>
        </w:rPr>
        <w:fldChar w:fldCharType="separate"/>
      </w:r>
      <w:r>
        <w:rPr>
          <w:noProof/>
        </w:rPr>
        <w:t>45</w:t>
      </w:r>
      <w:r>
        <w:rPr>
          <w:noProof/>
        </w:rPr>
        <w:fldChar w:fldCharType="end"/>
      </w:r>
    </w:p>
    <w:p w14:paraId="700D602D" w14:textId="7A8586DA" w:rsidR="00F25D79" w:rsidRDefault="00F25D79" w:rsidP="00F25D79">
      <w:pPr>
        <w:pStyle w:val="TOC2"/>
        <w:tabs>
          <w:tab w:val="right" w:leader="dot" w:pos="9629"/>
        </w:tabs>
        <w:rPr>
          <w:rFonts w:asciiTheme="minorHAnsi" w:hAnsiTheme="minorHAnsi" w:cstheme="minorBidi"/>
          <w:noProof/>
          <w:kern w:val="2"/>
          <w14:ligatures w14:val="standardContextual"/>
        </w:rPr>
      </w:pPr>
      <w:r w:rsidRPr="0086446B">
        <w:rPr>
          <w:rFonts w:ascii="Segoe UI" w:eastAsia="Times New Roman" w:hAnsi="Segoe UI" w:cs="Segoe UI"/>
          <w:noProof/>
          <w:lang w:val="en"/>
        </w:rPr>
        <w:t>46.3 Appendix C — Referenced Documents</w:t>
      </w:r>
      <w:r>
        <w:rPr>
          <w:noProof/>
        </w:rPr>
        <w:tab/>
      </w:r>
      <w:r>
        <w:rPr>
          <w:noProof/>
        </w:rPr>
        <w:fldChar w:fldCharType="begin"/>
      </w:r>
      <w:r>
        <w:rPr>
          <w:noProof/>
        </w:rPr>
        <w:instrText xml:space="preserve"> PAGEREF _Toc236138748 \h </w:instrText>
      </w:r>
      <w:r>
        <w:rPr>
          <w:noProof/>
        </w:rPr>
      </w:r>
      <w:r>
        <w:rPr>
          <w:noProof/>
        </w:rPr>
        <w:fldChar w:fldCharType="separate"/>
      </w:r>
      <w:r>
        <w:rPr>
          <w:noProof/>
        </w:rPr>
        <w:t>45</w:t>
      </w:r>
      <w:r>
        <w:rPr>
          <w:noProof/>
        </w:rPr>
        <w:fldChar w:fldCharType="end"/>
      </w:r>
    </w:p>
    <w:p w14:paraId="74794ECE" w14:textId="4C2F976F" w:rsidR="00B66A6A" w:rsidRDefault="00F25D79" w:rsidP="00F25D79">
      <w:pPr>
        <w:pStyle w:val="NormalWeb"/>
        <w:rPr>
          <w:rFonts w:ascii="Segoe UI" w:hAnsi="Segoe UI" w:cs="Segoe UI"/>
          <w:color w:val="1F2933"/>
          <w:sz w:val="21"/>
          <w:szCs w:val="21"/>
          <w:lang w:val="en"/>
        </w:rPr>
      </w:pPr>
      <w:r>
        <w:rPr>
          <w:rFonts w:ascii="Segoe UI" w:hAnsi="Segoe UI" w:cs="Segoe UI"/>
          <w:color w:val="1F2933"/>
          <w:sz w:val="21"/>
          <w:szCs w:val="21"/>
          <w:lang w:val="en"/>
        </w:rPr>
        <w:fldChar w:fldCharType="end"/>
      </w:r>
    </w:p>
    <w:p w14:paraId="6CD13C3B" w14:textId="77777777" w:rsidR="00B66A6A" w:rsidRDefault="00B66A6A">
      <w:pPr>
        <w:pStyle w:val="Heading1"/>
        <w:rPr>
          <w:rFonts w:ascii="Segoe UI" w:eastAsia="Times New Roman" w:hAnsi="Segoe UI" w:cs="Segoe UI"/>
          <w:lang w:val="en"/>
        </w:rPr>
      </w:pPr>
      <w:bookmarkStart w:id="3" w:name="_Toc236138674"/>
      <w:r>
        <w:rPr>
          <w:rFonts w:ascii="Segoe UI" w:eastAsia="Times New Roman" w:hAnsi="Segoe UI" w:cs="Segoe UI"/>
          <w:lang w:val="en"/>
        </w:rPr>
        <w:t>3. Letter of Submission</w:t>
      </w:r>
      <w:bookmarkEnd w:id="3"/>
    </w:p>
    <w:p w14:paraId="320085F7"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Petroleum Development Oman (PDO)</w:t>
      </w:r>
    </w:p>
    <w:p w14:paraId="5920292C" w14:textId="77777777" w:rsidR="00B66A6A" w:rsidRDefault="00B66A6A">
      <w:pPr>
        <w:pStyle w:val="muted"/>
        <w:spacing w:before="120" w:beforeAutospacing="0" w:after="120" w:afterAutospacing="0"/>
        <w:rPr>
          <w:rFonts w:ascii="Segoe UI" w:hAnsi="Segoe UI" w:cs="Segoe UI"/>
          <w:lang w:val="en"/>
        </w:rPr>
      </w:pPr>
      <w:r>
        <w:rPr>
          <w:rFonts w:ascii="Segoe UI" w:hAnsi="Segoe UI" w:cs="Segoe UI"/>
          <w:lang w:val="en"/>
        </w:rPr>
        <w:t>28/07/2026</w:t>
      </w:r>
    </w:p>
    <w:p w14:paraId="41D87206"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Dear Sir / Madam,</w:t>
      </w:r>
    </w:p>
    <w:p w14:paraId="279B1F61" w14:textId="77777777" w:rsidR="00B66A6A" w:rsidRDefault="00B66A6A">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Subject: Proposal for the Supply, Configuration, and Support of the Live Quiz Platform</w:t>
      </w:r>
    </w:p>
    <w:p w14:paraId="050FA5DB"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On behalf of Al Tanfith Al Dwaliah SPC ("Altanfith"), I would like to thank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for the opportunity to submit this proposal. We appreciate the time and consideration your team has invested in reviewing our solution, and we welcome the opportunity to support your organisation's engagement, training, and assessment objectives.</w:t>
      </w:r>
    </w:p>
    <w:p w14:paraId="445A7F53"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presents the Live Quiz Platform as an enterprise engagement, assessment, and analytics solution designed to help organisations such as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run live sessions, structured assessments, and knowledge-evaluation activities with the branding control, reporting depth, and security posture that a large organisation requires — going beyond what general-purpose public quiz tools are built to offer. The following sections set out our understanding of your requirements, the proposed solution, our technical architecture and delivery methodology, and the commercial models available for this engagement.</w:t>
      </w:r>
    </w:p>
    <w:p w14:paraId="5ED378E7"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its commercial terms, is valid for a period of 30 days from the date shown above. We remain available throughout this period to answer questions, arrange a live demonstration, or refine any aspect of this proposal to better reflect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's specific requirements.</w:t>
      </w:r>
    </w:p>
    <w:p w14:paraId="71D22961"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look forward to the possibility of working with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and would welcome the opportunity to discuss this proposal further at your convenience.</w:t>
      </w:r>
    </w:p>
    <w:p w14:paraId="268A6AEC" w14:textId="77777777" w:rsidR="00B66A6A" w:rsidRDefault="00B66A6A">
      <w:pPr>
        <w:pStyle w:val="NormalWeb"/>
        <w:spacing w:before="480"/>
        <w:rPr>
          <w:rFonts w:ascii="Segoe UI" w:hAnsi="Segoe UI" w:cs="Segoe UI"/>
          <w:color w:val="1F2933"/>
          <w:sz w:val="21"/>
          <w:szCs w:val="21"/>
          <w:lang w:val="en"/>
        </w:rPr>
      </w:pPr>
      <w:r>
        <w:rPr>
          <w:rFonts w:ascii="Segoe UI" w:hAnsi="Segoe UI" w:cs="Segoe UI"/>
          <w:color w:val="1F2933"/>
          <w:sz w:val="21"/>
          <w:szCs w:val="21"/>
          <w:lang w:val="en"/>
        </w:rPr>
        <w:t>Yours faithfully,</w:t>
      </w:r>
    </w:p>
    <w:p w14:paraId="27349CCE" w14:textId="77777777" w:rsidR="00B66A6A" w:rsidRDefault="00B66A6A">
      <w:pPr>
        <w:pStyle w:val="NormalWeb"/>
        <w:spacing w:before="480"/>
        <w:rPr>
          <w:rFonts w:ascii="Segoe UI" w:hAnsi="Segoe UI" w:cs="Segoe UI"/>
          <w:color w:val="1F2933"/>
          <w:sz w:val="21"/>
          <w:szCs w:val="21"/>
          <w:lang w:val="en"/>
        </w:rPr>
      </w:pPr>
      <w:r>
        <w:rPr>
          <w:rStyle w:val="Strong"/>
          <w:rFonts w:ascii="Segoe UI" w:hAnsi="Segoe UI" w:cs="Segoe UI"/>
          <w:color w:val="1F2933"/>
          <w:sz w:val="21"/>
          <w:szCs w:val="21"/>
          <w:lang w:val="en"/>
        </w:rPr>
        <w:t>Haitham Al Lamki</w:t>
      </w:r>
      <w:r>
        <w:rPr>
          <w:rFonts w:ascii="Segoe UI" w:hAnsi="Segoe UI" w:cs="Segoe UI"/>
          <w:color w:val="1F2933"/>
          <w:sz w:val="21"/>
          <w:szCs w:val="21"/>
          <w:lang w:val="en"/>
        </w:rPr>
        <w:br/>
        <w:t>Al Tanfith Al Dwaliah SPC</w:t>
      </w:r>
      <w:r>
        <w:rPr>
          <w:rFonts w:ascii="Segoe UI" w:hAnsi="Segoe UI" w:cs="Segoe UI"/>
          <w:color w:val="1F2933"/>
          <w:sz w:val="21"/>
          <w:szCs w:val="21"/>
          <w:lang w:val="en"/>
        </w:rPr>
        <w:br/>
        <w:t>Email: haitham@altanfith.com</w:t>
      </w:r>
      <w:r>
        <w:rPr>
          <w:rFonts w:ascii="Segoe UI" w:hAnsi="Segoe UI" w:cs="Segoe UI"/>
          <w:color w:val="1F2933"/>
          <w:sz w:val="21"/>
          <w:szCs w:val="21"/>
          <w:lang w:val="en"/>
        </w:rPr>
        <w:br/>
        <w:t>Phone: +968 9937 1775</w:t>
      </w:r>
      <w:r>
        <w:rPr>
          <w:rFonts w:ascii="Segoe UI" w:hAnsi="Segoe UI" w:cs="Segoe UI"/>
          <w:color w:val="1F2933"/>
          <w:sz w:val="21"/>
          <w:szCs w:val="21"/>
          <w:lang w:val="en"/>
        </w:rPr>
        <w:br/>
        <w:t>Sultanate of Oman</w:t>
      </w:r>
    </w:p>
    <w:p w14:paraId="28703FBD" w14:textId="77777777" w:rsidR="00B66A6A" w:rsidRDefault="00B66A6A">
      <w:pPr>
        <w:pStyle w:val="Heading1"/>
        <w:rPr>
          <w:rFonts w:ascii="Segoe UI" w:eastAsia="Times New Roman" w:hAnsi="Segoe UI" w:cs="Segoe UI"/>
          <w:lang w:val="en"/>
        </w:rPr>
      </w:pPr>
      <w:bookmarkStart w:id="4" w:name="_Toc236138675"/>
      <w:r>
        <w:rPr>
          <w:rFonts w:ascii="Segoe UI" w:eastAsia="Times New Roman" w:hAnsi="Segoe UI" w:cs="Segoe UI"/>
          <w:lang w:val="en"/>
        </w:rPr>
        <w:t>4. Executive Summary</w:t>
      </w:r>
      <w:bookmarkEnd w:id="4"/>
    </w:p>
    <w:p w14:paraId="7549F246"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is pleased to present the Live Quiz Platform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an enterprise engagement, assessment, and knowledge-evaluation platform — a flexible, customisable alternative to general public quiz tools, purpose-built for organisations that require organisational branding, structured reporting, and enterprise-grade controls around how live sessions and assessments are run.</w:t>
      </w:r>
    </w:p>
    <w:p w14:paraId="30E0659C"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not a concept or a prototype. It is already in real operational use at Abraj Energy Services, where it supports HSE meetings and employee engagement activities. This production track record gives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confidence that the core platform is stable, functional, and capable of supporting real organisational events at meaningful scale, rather than a solution that exists only on paper.</w:t>
      </w:r>
    </w:p>
    <w:p w14:paraId="2BA6E704"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 is bilingual by design, with a fully localised Arabic and English interface including complete right-to-left (RTL) support for Arabic — a capability that matters for organisations operating across Oman and the wider Gulf region, where sessions, dashboards, and reports need to be equally usable in either language.</w:t>
      </w:r>
    </w:p>
    <w:p w14:paraId="3CF95A06"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Content creation is accelerated through AI-assisted generation: administrators can generate a complete quiz from a topic or title, or from an uploaded PDF, Word document, URL, or pasted text, with the AI assigning suggested difficulty levels and answer explanations. Every AI-generated item is presented to an administrator for review and editing before it is used in a live session — the platform is designed to keep a human reviewer in the loop rather than publishing AI output automatically. Additional AI cap</w:t>
      </w:r>
      <w:r>
        <w:rPr>
          <w:rFonts w:ascii="Segoe UI" w:hAnsi="Segoe UI" w:cs="Segoe UI"/>
          <w:color w:val="1F2933"/>
          <w:sz w:val="21"/>
          <w:szCs w:val="21"/>
          <w:lang w:val="en"/>
        </w:rPr>
        <w:t xml:space="preserve">abilities, such as AI-assisted rewriting, suggestions, and generated visual themes, are available as </w:t>
      </w:r>
      <w:r>
        <w:rPr>
          <w:rFonts w:ascii="Segoe UI" w:hAnsi="Segoe UI" w:cs="Segoe UI"/>
          <w:color w:val="1F2933"/>
          <w:sz w:val="21"/>
          <w:szCs w:val="21"/>
          <w:lang w:val="en"/>
        </w:rPr>
        <w:lastRenderedPageBreak/>
        <w:t>optional, separately scoped additions, and a further set of AI-driven insights and reporting features sits on our future roadmap.</w:t>
      </w:r>
      <w:r>
        <w:rPr>
          <w:rFonts w:ascii="Segoe UI" w:hAnsi="Segoe UI" w:cs="Segoe UI"/>
          <w:color w:val="1F2933"/>
          <w:sz w:val="21"/>
          <w:szCs w:val="21"/>
          <w:lang w:val="en"/>
        </w:rPr>
        <w:t xml:space="preserve"> </w:t>
      </w:r>
    </w:p>
    <w:p w14:paraId="44FF5C4A" w14:textId="77777777" w:rsidR="00B66A6A" w:rsidRDefault="00B66A6A">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how the platform is hosted and delivered. Three deployment models are available: a fully managed cloud/SaaS option, a fully on-premises option in which the Express.js backend runs entirely within the client's own infrastructure, and a hybrid option that splits components between the two — the right choice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residency, network, and cybersecurity requirements, and is confirmed through a dedicated infrastructure assessment rather than assumed in advance. Commercially, the platform is available under three models — an annual SaaS subscription, a one-time perpetual licence, and an enterprise custom development partnership —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and cost structure that best fits its procurement approach.</w:t>
      </w:r>
    </w:p>
    <w:p w14:paraId="138460FF"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Underpinning all of this is the fact that Altanfith is an Omani company: delivery, support, and communication happen locally, in Arabic and English, without the delays or handover friction that come with an offshore vendor. This local presence supports the value of the platform — it is the foundation the offer is delivered on, not the offer itself.</w:t>
      </w:r>
    </w:p>
    <w:tbl>
      <w:tblPr>
        <w:tblW w:w="5000" w:type="pct"/>
        <w:tblCellMar>
          <w:top w:w="15" w:type="dxa"/>
          <w:left w:w="15" w:type="dxa"/>
          <w:bottom w:w="15" w:type="dxa"/>
          <w:right w:w="15" w:type="dxa"/>
        </w:tblCellMar>
        <w:tblLook w:val="04A0" w:firstRow="1" w:lastRow="0" w:firstColumn="1" w:lastColumn="0" w:noHBand="0" w:noVBand="1"/>
      </w:tblPr>
      <w:tblGrid>
        <w:gridCol w:w="1826"/>
        <w:gridCol w:w="7793"/>
      </w:tblGrid>
      <w:tr w:rsidR="00000000" w14:paraId="39EA82E5"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89CF82"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Proposal at a glance</w:t>
            </w:r>
          </w:p>
        </w:tc>
      </w:tr>
      <w:tr w:rsidR="00000000" w14:paraId="40808DF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AC6EC5"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2264C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728557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D22F1E"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Proven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66603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 production at Abraj Energy Services — HSE meetings &amp; employee engagement sessions</w:t>
            </w:r>
          </w:p>
        </w:tc>
      </w:tr>
      <w:tr w:rsidR="00000000" w14:paraId="3CD4873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70FA1D"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37CD8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Cloud/SaaS, fully on-premises, or hybrid — confirmed via infrastructure assessment</w:t>
            </w:r>
          </w:p>
        </w:tc>
      </w:tr>
      <w:tr w:rsidR="00000000" w14:paraId="18249D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541FC9"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54393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2EF7A9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AC7E82"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AI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7E2FA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PDF, document, URL, or text — always reviewed by an administrator before use</w:t>
            </w:r>
          </w:p>
        </w:tc>
      </w:tr>
      <w:tr w:rsidR="00000000" w14:paraId="3C9399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261A27"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Support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C632B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Bronze / Silver / Gold packages, delivered locally from Oman in Arabic and English</w:t>
            </w:r>
          </w:p>
        </w:tc>
      </w:tr>
    </w:tbl>
    <w:p w14:paraId="05663EE4" w14:textId="77777777" w:rsidR="00B66A6A" w:rsidRDefault="00B66A6A">
      <w:pPr>
        <w:pStyle w:val="Heading1"/>
        <w:rPr>
          <w:rFonts w:ascii="Segoe UI" w:eastAsia="Times New Roman" w:hAnsi="Segoe UI" w:cs="Segoe UI"/>
          <w:lang w:val="en"/>
        </w:rPr>
      </w:pPr>
      <w:bookmarkStart w:id="5" w:name="_Toc236138676"/>
      <w:r>
        <w:rPr>
          <w:rFonts w:ascii="Segoe UI" w:eastAsia="Times New Roman" w:hAnsi="Segoe UI" w:cs="Segoe UI"/>
          <w:lang w:val="en"/>
        </w:rPr>
        <w:t>5. About Al Tanfith Al Dwaliah SPC</w:t>
      </w:r>
      <w:bookmarkEnd w:id="5"/>
    </w:p>
    <w:p w14:paraId="3E875146" w14:textId="77777777" w:rsidR="00B66A6A" w:rsidRDefault="00B66A6A">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Al Tanfith Al Dwaliah SPC is an Omani-owned SME (Small and Medium Enterprise).</w:t>
      </w:r>
      <w:r>
        <w:rPr>
          <w:rFonts w:ascii="Segoe UI" w:hAnsi="Segoe UI" w:cs="Segoe UI"/>
          <w:color w:val="1F2933"/>
          <w:sz w:val="21"/>
          <w:szCs w:val="21"/>
          <w:lang w:val="en"/>
        </w:rPr>
        <w:t xml:space="preserve"> Altanfith is a Sultanate of Oman-based software company focused on designing, building, and supporting enterprise digital platforms for government, oil &amp; </w:t>
      </w:r>
      <w:r>
        <w:rPr>
          <w:rFonts w:ascii="Segoe UI" w:hAnsi="Segoe UI" w:cs="Segoe UI"/>
          <w:color w:val="1F2933"/>
          <w:sz w:val="21"/>
          <w:szCs w:val="21"/>
          <w:lang w:val="en"/>
        </w:rPr>
        <w:t>gas, education, and private-sector organisations. Our work centres on delivering software that is not simply installed and left running, but actively configured, branded, and adapted around each client's operational, reporting, and security requirements.</w:t>
      </w:r>
    </w:p>
    <w:p w14:paraId="6845B6DB"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Our core capability areas span custom application development, enterprise platform configuration, and applied artificial intelligence — including AI-assisted content generation of the kind used within the Live Quiz Platform itself. We combine this technical capability with a practical understanding of how large Omani organisations operate: the governance structures they answer to, the security review processes </w:t>
      </w:r>
      <w:r>
        <w:rPr>
          <w:rFonts w:ascii="Segoe UI" w:hAnsi="Segoe UI" w:cs="Segoe UI"/>
          <w:color w:val="1F2933"/>
          <w:sz w:val="21"/>
          <w:szCs w:val="21"/>
          <w:lang w:val="en"/>
        </w:rPr>
        <w:lastRenderedPageBreak/>
        <w:t>their IT and cybersecurity teams require, and the bilingual Arabic/English environment in which their staff and stakeholders work.</w:t>
      </w:r>
    </w:p>
    <w:p w14:paraId="5584D3E3"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a direct expression of this approach. Rather than offering a generic, one-size-fits-all quiz tool, we designed and continue to develop a platform that can be shaped around each client's branding, workflows, integration landscape, and deployment preferences — and that is already proven in real operational use, as set out in Section 10 of this proposal.</w:t>
      </w:r>
    </w:p>
    <w:p w14:paraId="63C18D9E"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As an Omani company, Altanfith is able to engage directly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's teams throughout discovery, delivery, and ongoing support, in Arabic and English, without reliance on an intermediary or an offshore support desk operating outside Gulf business hours.</w:t>
      </w:r>
    </w:p>
    <w:p w14:paraId="1362E4A8" w14:textId="77777777" w:rsidR="00B66A6A" w:rsidRDefault="00B66A6A">
      <w:pPr>
        <w:pStyle w:val="Heading1"/>
        <w:rPr>
          <w:rFonts w:ascii="Segoe UI" w:eastAsia="Times New Roman" w:hAnsi="Segoe UI" w:cs="Segoe UI"/>
          <w:lang w:val="en"/>
        </w:rPr>
      </w:pPr>
      <w:bookmarkStart w:id="6" w:name="_Toc236138677"/>
      <w:r>
        <w:rPr>
          <w:rFonts w:ascii="Segoe UI" w:eastAsia="Times New Roman" w:hAnsi="Segoe UI" w:cs="Segoe UI"/>
          <w:lang w:val="en"/>
        </w:rPr>
        <w:t>6. Understanding of Client Requirements</w:t>
      </w:r>
      <w:bookmarkEnd w:id="6"/>
    </w:p>
    <w:p w14:paraId="53EAB6FB"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Large Omani organisations — whether in government, oil &amp; </w:t>
      </w:r>
      <w:r>
        <w:rPr>
          <w:rFonts w:ascii="Segoe UI" w:hAnsi="Segoe UI" w:cs="Segoe UI"/>
          <w:color w:val="1F2933"/>
          <w:sz w:val="21"/>
          <w:szCs w:val="21"/>
          <w:lang w:val="en"/>
        </w:rPr>
        <w:t>gas, education, or the private sector — typically approach an engagement and assessment platform with a common set of expectations that go well beyond what a free or public quiz tool is designed to provide. Based on our experience delivering the Live Quiz Platform into a live production environment, we understand these expectations to include the following.</w:t>
      </w:r>
    </w:p>
    <w:tbl>
      <w:tblPr>
        <w:tblW w:w="5000" w:type="pct"/>
        <w:tblCellMar>
          <w:top w:w="15" w:type="dxa"/>
          <w:left w:w="15" w:type="dxa"/>
          <w:bottom w:w="15" w:type="dxa"/>
          <w:right w:w="15" w:type="dxa"/>
        </w:tblCellMar>
        <w:tblLook w:val="04A0" w:firstRow="1" w:lastRow="0" w:firstColumn="1" w:lastColumn="0" w:noHBand="0" w:noVBand="1"/>
      </w:tblPr>
      <w:tblGrid>
        <w:gridCol w:w="3311"/>
        <w:gridCol w:w="6308"/>
      </w:tblGrid>
      <w:tr w:rsidR="00000000" w14:paraId="22C4A8F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7A8CA1"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Requirement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71E755"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Our response</w:t>
            </w:r>
          </w:p>
        </w:tc>
      </w:tr>
      <w:tr w:rsidR="00000000" w14:paraId="427E18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937DD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control over branding, so that sessions and materials reflect the organisation's own visual identity rather than a generic third-party look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4EDCE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 custom themes, custom backgrounds, and custom UI text, is built into the platform</w:t>
            </w:r>
          </w:p>
        </w:tc>
      </w:tr>
      <w:tr w:rsidR="00000000" w14:paraId="7C79678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7E233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Control over where data resides and how it is retained, including the ability to keep sensitive data within the organisation's own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19CA7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 fully on-premises deployment option is available, in which the backend and database can run entirely within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own enterprise infrastructure environment; data retention and export terms are defined in the commercial agreement, and final data residency arrangements are confirmed during discovery and infrastructure assessment</w:t>
            </w:r>
          </w:p>
        </w:tc>
      </w:tr>
      <w:tr w:rsidR="00000000" w14:paraId="21B82A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85DBF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genuinely bilingual Arabic and English experience, not a partial translation layered onto an English-first product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5493D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interface, including full right-to-left (RTL) layout, is available in Arabic and English as a core, included capability</w:t>
            </w:r>
          </w:p>
        </w:tc>
      </w:tr>
      <w:tr w:rsidR="00000000" w14:paraId="3B6885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54543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Compatibility with the organisation's internal cybersecurity review and approval process before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2F94B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is developed with awareness of the OWASP Top 10 and includes controls such as role-based access, audit logging, and API rate limiting; the full architecture is made available for client security review, and deployment is subject to the client's cybersecurity assessment as described in Section 18</w:t>
            </w:r>
          </w:p>
        </w:tc>
      </w:tr>
      <w:tr w:rsidR="00000000" w14:paraId="0774171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CCA32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Practical integration paths into the organisation's existing systems </w:t>
            </w:r>
            <w:r>
              <w:rPr>
                <w:rFonts w:ascii="Segoe UI" w:eastAsia="Times New Roman" w:hAnsi="Segoe UI" w:cs="Segoe UI"/>
                <w:color w:val="1F2933"/>
                <w:sz w:val="19"/>
                <w:szCs w:val="19"/>
              </w:rPr>
              <w:lastRenderedPageBreak/>
              <w:t>(identity, HR, reporting) rather than a fully closed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9B937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 xml:space="preserve">REST APIs and a defined set of integration options are available; specific integrations such as single sign-on, SAP SuccessFactors (or other HR </w:t>
            </w:r>
            <w:r>
              <w:rPr>
                <w:rFonts w:ascii="Segoe UI" w:eastAsia="Times New Roman" w:hAnsi="Segoe UI" w:cs="Segoe UI"/>
                <w:color w:val="1F2933"/>
                <w:sz w:val="19"/>
                <w:szCs w:val="19"/>
              </w:rPr>
              <w:lastRenderedPageBreak/>
              <w:t xml:space="preserve">systems), or Power BI can be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environment and are scoped individually, as described in Section 21</w:t>
            </w:r>
          </w:p>
        </w:tc>
      </w:tr>
      <w:tr w:rsidR="00000000" w14:paraId="261C97F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A69A4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Local support that understands the organisation's language, working hours, and escalation expectations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7A911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is based in the Sultanate of Oman and delivers support in Arabic and English under Bronze, Silver, and Gold packages, as described in Section 29</w:t>
            </w:r>
          </w:p>
        </w:tc>
      </w:tr>
    </w:tbl>
    <w:p w14:paraId="31FDACB4"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These requirements shape both the design of the platform and the structure of this proposal: the sections that follow set out how the Live Quiz Platform, its architecture, and our delivery methodology are built to answer each of them directly.</w:t>
      </w:r>
    </w:p>
    <w:p w14:paraId="6BD7390C" w14:textId="77777777" w:rsidR="00B66A6A" w:rsidRDefault="00B66A6A">
      <w:pPr>
        <w:pStyle w:val="Heading1"/>
        <w:rPr>
          <w:rFonts w:ascii="Segoe UI" w:eastAsia="Times New Roman" w:hAnsi="Segoe UI" w:cs="Segoe UI"/>
          <w:lang w:val="en"/>
        </w:rPr>
      </w:pPr>
      <w:bookmarkStart w:id="7" w:name="_Toc236138678"/>
      <w:r>
        <w:rPr>
          <w:rFonts w:ascii="Segoe UI" w:eastAsia="Times New Roman" w:hAnsi="Segoe UI" w:cs="Segoe UI"/>
          <w:lang w:val="en"/>
        </w:rPr>
        <w:t>7. Business Challenges</w:t>
      </w:r>
      <w:bookmarkEnd w:id="7"/>
    </w:p>
    <w:p w14:paraId="3AB48263"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Organisations that rely on free or general-purpose public quiz tools for internal engagement, training, or assessment activities commonly encounter a consistent set of limitations once usage moves beyond a single informal session.</w:t>
      </w:r>
    </w:p>
    <w:tbl>
      <w:tblPr>
        <w:tblW w:w="5000" w:type="pct"/>
        <w:tblCellMar>
          <w:top w:w="15" w:type="dxa"/>
          <w:left w:w="15" w:type="dxa"/>
          <w:bottom w:w="15" w:type="dxa"/>
          <w:right w:w="15" w:type="dxa"/>
        </w:tblCellMar>
        <w:tblLook w:val="04A0" w:firstRow="1" w:lastRow="0" w:firstColumn="1" w:lastColumn="0" w:noHBand="0" w:noVBand="1"/>
      </w:tblPr>
      <w:tblGrid>
        <w:gridCol w:w="3837"/>
        <w:gridCol w:w="5782"/>
      </w:tblGrid>
      <w:tr w:rsidR="00000000" w14:paraId="0B70896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FAE1B6"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Challenge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B1E37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Consequence</w:t>
            </w:r>
          </w:p>
        </w:tc>
      </w:tr>
      <w:tr w:rsidR="00000000" w14:paraId="7B3976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54E6B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Generic public quiz tools are built for open, consumer use and lack enterprise controls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24360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 organisational branding, no role-based administration, and no ability to enforce the organisation's own access and data-handling requirements</w:t>
            </w:r>
          </w:p>
        </w:tc>
      </w:tr>
      <w:tr w:rsidR="00000000" w14:paraId="10DCBCC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930C8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content is created ad hoc and scattered across individual accounts, files, and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5563A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Content cannot be reused, standardised, or governed centrally, and is often lost when the individual who created it moves on</w:t>
            </w:r>
          </w:p>
        </w:tc>
      </w:tr>
      <w:tr w:rsidR="00000000" w14:paraId="519528C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42361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offer little to no organisational-level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2110F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cannot see participation, performance, or engagement trends across departments, sessions, or time — results exist only as isolated, per-session snapshots</w:t>
            </w:r>
          </w:p>
        </w:tc>
      </w:tr>
      <w:tr w:rsidR="00000000" w14:paraId="2B17BC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49371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created and collected through a public, third-party tool sits outside the organisation's own environment and control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D3A2C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This raises data residency and governance concerns for organisations subject to internal compliance requirements or operating in regulated sectors, particularly where session content or participant data is sensitive</w:t>
            </w:r>
          </w:p>
        </w:tc>
      </w:tr>
      <w:tr w:rsidR="00000000" w14:paraId="5E7A996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B2D38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Repetitive use of the same generic tool and format across HSE briefings and training sessions leads to engagement fatigue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69875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Participation and attention decline over time, undermining the safety and learning objectives the sessions are intended to support</w:t>
            </w:r>
          </w:p>
        </w:tc>
      </w:tr>
      <w:tr w:rsidR="00000000" w14:paraId="3710E28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5CF5F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typically offer only a single, English-first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54D8E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Arabic-speaking participants and administrators are left with a translated or inconsistent experience, reducing usability and adoption across a bilingual workforce</w:t>
            </w:r>
          </w:p>
        </w:tc>
      </w:tr>
    </w:tbl>
    <w:p w14:paraId="1DCFA7D2"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The Live Quiz Platform, and the enterprise delivery model set out in this proposal, are designed specifically to address these gaps — as described in the sections that follow.</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9A458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65D50B" w14:textId="77777777" w:rsidR="00B66A6A" w:rsidRDefault="00B66A6A">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TWO</w:t>
            </w:r>
          </w:p>
          <w:p w14:paraId="57AAD1D9" w14:textId="77777777" w:rsidR="00B66A6A" w:rsidRDefault="00B66A6A">
            <w:pPr>
              <w:pStyle w:val="NormalWeb"/>
              <w:rPr>
                <w:rFonts w:ascii="Segoe UI" w:hAnsi="Segoe UI" w:cs="Segoe UI"/>
                <w:b/>
                <w:bCs/>
                <w:color w:val="FFFFFF"/>
                <w:sz w:val="44"/>
                <w:szCs w:val="44"/>
              </w:rPr>
            </w:pPr>
            <w:r>
              <w:rPr>
                <w:rFonts w:ascii="Segoe UI" w:hAnsi="Segoe UI" w:cs="Segoe UI"/>
                <w:b/>
                <w:bCs/>
                <w:color w:val="FFFFFF"/>
                <w:sz w:val="44"/>
                <w:szCs w:val="44"/>
              </w:rPr>
              <w:t>The Solution</w:t>
            </w:r>
          </w:p>
          <w:p w14:paraId="4F415D47" w14:textId="77777777" w:rsidR="00B66A6A" w:rsidRDefault="00B66A6A">
            <w:pPr>
              <w:pStyle w:val="NormalWeb"/>
              <w:rPr>
                <w:rFonts w:ascii="Segoe UI" w:hAnsi="Segoe UI" w:cs="Segoe UI"/>
                <w:color w:val="1F2933"/>
              </w:rPr>
            </w:pPr>
            <w:r>
              <w:rPr>
                <w:rFonts w:ascii="Segoe UI" w:hAnsi="Segoe UI" w:cs="Segoe UI"/>
                <w:color w:val="1F2933"/>
              </w:rPr>
              <w:t>How the Live Quiz Platform answers the requirements and challenges set out above</w:t>
            </w:r>
          </w:p>
        </w:tc>
      </w:tr>
    </w:tbl>
    <w:p w14:paraId="50EE273A" w14:textId="77777777" w:rsidR="00B66A6A" w:rsidRDefault="00B66A6A">
      <w:pPr>
        <w:pStyle w:val="Heading1"/>
        <w:pageBreakBefore/>
        <w:rPr>
          <w:rFonts w:ascii="Segoe UI" w:eastAsia="Times New Roman" w:hAnsi="Segoe UI" w:cs="Segoe UI"/>
          <w:lang w:val="en"/>
        </w:rPr>
      </w:pPr>
      <w:bookmarkStart w:id="8" w:name="_Toc236138679"/>
      <w:r>
        <w:rPr>
          <w:rFonts w:ascii="Segoe UI" w:eastAsia="Times New Roman" w:hAnsi="Segoe UI" w:cs="Segoe UI"/>
          <w:lang w:val="en"/>
        </w:rPr>
        <w:lastRenderedPageBreak/>
        <w:t>8. Proposed Solution</w:t>
      </w:r>
      <w:bookmarkEnd w:id="8"/>
    </w:p>
    <w:p w14:paraId="5B63B59C"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proposes the Live Quiz Platform as a single platform that brings together live engagement, structured assessment, and organisational analytics,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does not need to operate separate tools for running a live session, evaluating knowledge, and reporting on the results.</w:t>
      </w:r>
    </w:p>
    <w:p w14:paraId="1B3AFDD6"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designed to support a broad range of use cases across a large organisation, from safety and training activities to recruitment and internal communication. The table below reflects the categories of use the platform is built to support; the specific mix relevant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44"/>
        <w:gridCol w:w="3697"/>
        <w:gridCol w:w="3378"/>
      </w:tblGrid>
      <w:tr w:rsidR="00000000" w14:paraId="5E076E1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28BE41"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Engagement &amp; Training</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179057"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Assessment &amp; Evaluation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093372"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Organisational &amp; </w:t>
            </w:r>
            <w:r>
              <w:rPr>
                <w:rFonts w:ascii="Segoe UI" w:eastAsia="Times New Roman" w:hAnsi="Segoe UI" w:cs="Segoe UI"/>
                <w:b/>
                <w:bCs/>
                <w:color w:val="FFFFFF"/>
                <w:sz w:val="19"/>
                <w:szCs w:val="19"/>
              </w:rPr>
              <w:t>Institutional</w:t>
            </w:r>
          </w:p>
        </w:tc>
      </w:tr>
      <w:tr w:rsidR="00000000" w14:paraId="13244D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171B6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HSE meetings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824CD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Knowledge assessments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CA2CC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Government awareness campaigns</w:t>
            </w:r>
          </w:p>
        </w:tc>
      </w:tr>
      <w:tr w:rsidR="00000000" w14:paraId="788E23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BFAE6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9193C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Recruitment assessments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DE4F1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Educational institutions</w:t>
            </w:r>
          </w:p>
        </w:tc>
      </w:tr>
      <w:tr w:rsidR="00000000" w14:paraId="5DEFDA7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EE9AB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workshops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B358A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Interviews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5C81E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Schools &amp; universities</w:t>
            </w:r>
          </w:p>
        </w:tc>
      </w:tr>
      <w:tr w:rsidR="00000000" w14:paraId="6B8694E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9D3B3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Team-building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F545A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Surveys &amp; polls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7D287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compliance assessments</w:t>
            </w:r>
          </w:p>
        </w:tc>
      </w:tr>
      <w:tr w:rsidR="00000000" w14:paraId="4B79A0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0A5D4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A9F34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Certification preparation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E65C8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onboarding</w:t>
            </w:r>
          </w:p>
        </w:tc>
      </w:tr>
      <w:tr w:rsidR="00000000" w14:paraId="3BA9F1F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01FFF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Competitions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C4792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&amp; development programmes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67796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Safety awareness</w:t>
            </w:r>
          </w:p>
        </w:tc>
      </w:tr>
    </w:tbl>
    <w:p w14:paraId="01B34587"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It is important to be clear about how we position the Live Quiz Platform. Live, buzzer-style quiz tools such as Kahoot are widely known and are a useful category reference for the live-session experience — but the Live Quiz Platform is not a copy of any such tool. It is an enterprise platform: customisable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operational workflows, branding, reporting requirements, security posture, and integration landscape, and deployable in a way a general public tool is not, including fully on-premises within the client's own infrastructure. The sections that follow set out the platform itself (Sections 9–14), its technical architecture and deployment options (Sections 15–22), our delivery methodology (Sections 23–30), and the commercial terms under which it is offered (Sections 31 onward).</w:t>
      </w:r>
    </w:p>
    <w:p w14:paraId="557F0E81" w14:textId="77777777" w:rsidR="00B66A6A" w:rsidRDefault="00B66A6A">
      <w:pPr>
        <w:pStyle w:val="Heading1"/>
        <w:rPr>
          <w:rFonts w:ascii="Segoe UI" w:eastAsia="Times New Roman" w:hAnsi="Segoe UI" w:cs="Segoe UI"/>
          <w:lang w:val="en"/>
        </w:rPr>
      </w:pPr>
      <w:bookmarkStart w:id="9" w:name="_Toc236138680"/>
      <w:r>
        <w:rPr>
          <w:rFonts w:ascii="Segoe UI" w:eastAsia="Times New Roman" w:hAnsi="Segoe UI" w:cs="Segoe UI"/>
          <w:lang w:val="en"/>
        </w:rPr>
        <w:t>9. Platform Overview</w:t>
      </w:r>
      <w:bookmarkEnd w:id="9"/>
    </w:p>
    <w:p w14:paraId="065C4921"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best understood through the lifecycle of a typical session, from creation through to reporting.</w:t>
      </w:r>
    </w:p>
    <w:p w14:paraId="1D6E2E70"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An administrator or quiz creator begins by building a quiz manually, or by using the platform's AI-assisted generation to produce a complete quiz from a topic, an uploaded PDF or Word document, a URL, or pasted text — with every AI-generated question reviewed and editable before use. The quiz is then branded with the organisation's own logo, colours, and theme, and can be organised into a reusable question bank tagged by subject and difficulty for future sessions.</w:t>
      </w:r>
    </w:p>
    <w:p w14:paraId="26F8420D"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When it is time to run a session, the host launches the quiz live. Participants join in seconds using a QR code, a direct link, or a session PIN, without needing to create an account. As the session runs, the platform is server-authoritative for timing and scoring: the server determines when a question opens and closes and calculates results, while participant and host devices render what is happening in real time — including live answer submission, a live leaderboard, and automatic reconnection if a partic</w:t>
      </w:r>
      <w:r>
        <w:rPr>
          <w:rFonts w:ascii="Segoe UI" w:hAnsi="Segoe UI" w:cs="Segoe UI"/>
          <w:color w:val="1F2933"/>
          <w:sz w:val="21"/>
          <w:szCs w:val="21"/>
          <w:lang w:val="en"/>
        </w:rPr>
        <w:t>ipant's network connection drops mid-session. At the close of the session, the top three participants are shown on a podium, alongside the full participant ranking.</w:t>
      </w:r>
    </w:p>
    <w:p w14:paraId="1D0AAB84"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After the session ends, results are not lost. They are captured in the platform's reporting and session history, giving administrators and management access to participation data, performance analysis, and historical comparisons across sessions — described in full in Section 14.</w:t>
      </w:r>
    </w:p>
    <w:p w14:paraId="3D62A2AC"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Across this lifecycle, the platform's capability set is organised into six pillars, summarised below and detailed in full in Section 11.</w:t>
      </w:r>
    </w:p>
    <w:tbl>
      <w:tblPr>
        <w:tblW w:w="5000" w:type="pct"/>
        <w:tblCellMar>
          <w:top w:w="15" w:type="dxa"/>
          <w:left w:w="15" w:type="dxa"/>
          <w:bottom w:w="15" w:type="dxa"/>
          <w:right w:w="15" w:type="dxa"/>
        </w:tblCellMar>
        <w:tblLook w:val="04A0" w:firstRow="1" w:lastRow="0" w:firstColumn="1" w:lastColumn="0" w:noHBand="0" w:noVBand="1"/>
      </w:tblPr>
      <w:tblGrid>
        <w:gridCol w:w="2262"/>
        <w:gridCol w:w="7357"/>
      </w:tblGrid>
      <w:tr w:rsidR="00000000" w14:paraId="6D34A60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07716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Pillar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968338"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covers</w:t>
            </w:r>
          </w:p>
        </w:tc>
      </w:tr>
      <w:tr w:rsidR="00000000" w14:paraId="0E00ED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D32F1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C274A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authoring, question banks, bulk import, templates, versioning, and auto-save/draft recovery</w:t>
            </w:r>
          </w:p>
        </w:tc>
      </w:tr>
      <w:tr w:rsidR="00000000" w14:paraId="1541C00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B181D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hosting &amp; participation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CFC19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QR/link/PIN joining, real-time answers, live leaderboard, ranking, podium, and automatic reconnection</w:t>
            </w:r>
          </w:p>
        </w:tc>
      </w:tr>
      <w:tr w:rsidR="00000000" w14:paraId="12C59A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718D8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&amp; experience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4FA04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custom themes and backgrounds, and a bilingual Arabic/English interface with full RTL support</w:t>
            </w:r>
          </w:p>
        </w:tc>
      </w:tr>
      <w:tr w:rsidR="00000000" w14:paraId="4EC63C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C58D0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&amp; analytics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C0F00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Result summaries, performance and difficulty analysis, historical and department-level reporting, and Excel/CSV/PDF export</w:t>
            </w:r>
          </w:p>
        </w:tc>
      </w:tr>
      <w:tr w:rsidR="00000000" w14:paraId="64D556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FC845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Administration &amp; governance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CED3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organisation and department structure, multiple administrators, audit logs, and session history</w:t>
            </w:r>
          </w:p>
        </w:tc>
      </w:tr>
      <w:tr w:rsidR="00000000" w14:paraId="65EA35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5ED92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capabilities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BE26F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document, URL, or text, with administrator review before use — detailed in Section 12</w:t>
            </w:r>
          </w:p>
        </w:tc>
      </w:tr>
    </w:tbl>
    <w:p w14:paraId="650B2402" w14:textId="77777777" w:rsidR="00B66A6A" w:rsidRDefault="00B66A6A">
      <w:pPr>
        <w:pStyle w:val="Heading1"/>
        <w:rPr>
          <w:rFonts w:ascii="Segoe UI" w:eastAsia="Times New Roman" w:hAnsi="Segoe UI" w:cs="Segoe UI"/>
          <w:lang w:val="en"/>
        </w:rPr>
      </w:pPr>
      <w:bookmarkStart w:id="10" w:name="_Toc236138681"/>
      <w:r>
        <w:rPr>
          <w:rFonts w:ascii="Segoe UI" w:eastAsia="Times New Roman" w:hAnsi="Segoe UI" w:cs="Segoe UI"/>
          <w:lang w:val="en"/>
        </w:rPr>
        <w:t>10. Current Use Case</w:t>
      </w:r>
      <w:bookmarkEnd w:id="10"/>
    </w:p>
    <w:p w14:paraId="77714F8B"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not a concept, a prototype, or a proof of concept — it is in real, ongoing operational use today.</w:t>
      </w:r>
    </w:p>
    <w:p w14:paraId="51057A23"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currently deployed and actively used within </w:t>
      </w:r>
      <w:r>
        <w:rPr>
          <w:rStyle w:val="Strong"/>
          <w:rFonts w:ascii="Segoe UI" w:hAnsi="Segoe UI" w:cs="Segoe UI"/>
          <w:color w:val="1F2933"/>
          <w:sz w:val="21"/>
          <w:szCs w:val="21"/>
          <w:lang w:val="en"/>
        </w:rPr>
        <w:t>Abraj Energy Services</w:t>
      </w:r>
      <w:r>
        <w:rPr>
          <w:rFonts w:ascii="Segoe UI" w:hAnsi="Segoe UI" w:cs="Segoe UI"/>
          <w:color w:val="1F2933"/>
          <w:sz w:val="21"/>
          <w:szCs w:val="21"/>
          <w:lang w:val="en"/>
        </w:rPr>
        <w:t>, where it supports HSE (Health, Safety, and Environment) meetings and employee engagement activities. Live sessions run on the platform bring participants together to join and answer in real time within a single session.</w:t>
      </w:r>
    </w:p>
    <w:p w14:paraId="5A2B6741"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present this use case as evidence that the core platform — live session hosting, real-time participation at meaningful scale, and the underlying engagement experience — is production-proven and functioning in a real organisational setting, rather than as a marketing claim or a controlled </w:t>
      </w:r>
      <w:r>
        <w:rPr>
          <w:rFonts w:ascii="Segoe UI" w:hAnsi="Segoe UI" w:cs="Segoe UI"/>
          <w:color w:val="1F2933"/>
          <w:sz w:val="21"/>
          <w:szCs w:val="21"/>
          <w:lang w:val="en"/>
        </w:rPr>
        <w:lastRenderedPageBreak/>
        <w:t>demonstration environment. We have not included any additional client references, dates, or testimonial statements beyond what is described above. All references in this proposal are drawn from this production deployment.</w:t>
      </w:r>
    </w:p>
    <w:p w14:paraId="4E2520F3" w14:textId="77777777" w:rsidR="00B66A6A" w:rsidRDefault="00B66A6A">
      <w:pPr>
        <w:pStyle w:val="Heading1"/>
        <w:rPr>
          <w:rFonts w:ascii="Segoe UI" w:eastAsia="Times New Roman" w:hAnsi="Segoe UI" w:cs="Segoe UI"/>
          <w:lang w:val="en"/>
        </w:rPr>
      </w:pPr>
      <w:bookmarkStart w:id="11" w:name="_Toc236138682"/>
      <w:r>
        <w:rPr>
          <w:rFonts w:ascii="Segoe UI" w:eastAsia="Times New Roman" w:hAnsi="Segoe UI" w:cs="Segoe UI"/>
          <w:lang w:val="en"/>
        </w:rPr>
        <w:t>11. Functional Scope</w:t>
      </w:r>
      <w:bookmarkEnd w:id="11"/>
    </w:p>
    <w:p w14:paraId="016DD92E"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tables below set out the platform's functional scope in full, grouped into six capability areas. Each capability is marked with its current status: </w:t>
      </w:r>
      <w:r>
        <w:rPr>
          <w:rStyle w:val="badge-inc1"/>
          <w:rFonts w:ascii="Segoe UI" w:hAnsi="Segoe UI" w:cs="Segoe UI"/>
          <w:sz w:val="21"/>
          <w:szCs w:val="21"/>
          <w:lang w:val="en"/>
        </w:rPr>
        <w:t>Included</w:t>
      </w:r>
      <w:r>
        <w:rPr>
          <w:rFonts w:ascii="Segoe UI" w:hAnsi="Segoe UI" w:cs="Segoe UI"/>
          <w:color w:val="1F2933"/>
          <w:sz w:val="21"/>
          <w:szCs w:val="21"/>
          <w:lang w:val="en"/>
        </w:rPr>
        <w:t xml:space="preserve"> capabilities are part of the core platform today;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capabilities are available as scoped additions;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items are on our roadmap and not part of the current platform.</w:t>
      </w:r>
    </w:p>
    <w:p w14:paraId="6E317773" w14:textId="77777777" w:rsidR="00B66A6A" w:rsidRDefault="00B66A6A">
      <w:pPr>
        <w:pStyle w:val="Heading2"/>
        <w:rPr>
          <w:rFonts w:ascii="Segoe UI" w:eastAsia="Times New Roman" w:hAnsi="Segoe UI" w:cs="Segoe UI"/>
          <w:lang w:val="en"/>
        </w:rPr>
      </w:pPr>
      <w:bookmarkStart w:id="12" w:name="_Toc236138683"/>
      <w:r>
        <w:rPr>
          <w:rFonts w:ascii="Segoe UI" w:eastAsia="Times New Roman" w:hAnsi="Segoe UI" w:cs="Segoe UI"/>
          <w:lang w:val="en"/>
        </w:rPr>
        <w:t>11.1 Quiz Creation &amp; Content</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2261"/>
        <w:gridCol w:w="6344"/>
        <w:gridCol w:w="1014"/>
      </w:tblGrid>
      <w:tr w:rsidR="00000000" w14:paraId="0855015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C06A64"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BE6E32"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96555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C9E84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2211F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173D7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Create, edit, and manage quizzes from a central administration interface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9ED6AC"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3AF71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AE56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question types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205EB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Single-answer questions with 4–6 choices, multi-select questions, and true/false questions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DE5D55"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1488F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9B694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Polls &amp; surveys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22806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Non-scored question formats for gathering opinion or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A44DC6"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B4409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C09FE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timers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C26BB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time limits per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ABBB79"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45764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25514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Scoring &amp; points configuration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AC9C5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points and scoring rules per question or quiz</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F767D5"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0F44DA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BAEBC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&amp; private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F3A23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Quizzes can be restricted to the organisation or made available more broadly, per administrator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A39E14"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F2F36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53677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bank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B526B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reusable question repository organised by subject, tags, and difficulty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9BC05C"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BD3576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4BC03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1A0E3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of questions from Excel, CSV, or Word files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A04712"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4A6AB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CBF5E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templates &amp; reuse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A5C50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Reusable quiz templates to standardise content across sessions and departments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84B87F"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F6790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1D15C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Edit &amp; duplicate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DA60B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Existing quizzes can be edited or duplicated as a starting point for new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BD475E"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181E8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1C970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Auto-save during creation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DB34A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content is saved automatically while an administrator is authoring 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7E975E"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AE3F86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C76A5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Draft recovery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48833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In-progress drafts can be recovered rather than lost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DEEAD7"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8995D7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BC2C2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Versioning of quiz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F7A81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Changes to quiz content are versioned over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F964B5"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5EA3F679" w14:textId="77777777" w:rsidR="00B66A6A" w:rsidRDefault="00B66A6A">
      <w:pPr>
        <w:pStyle w:val="Heading2"/>
        <w:rPr>
          <w:rFonts w:ascii="Segoe UI" w:eastAsia="Times New Roman" w:hAnsi="Segoe UI" w:cs="Segoe UI"/>
          <w:lang w:val="en"/>
        </w:rPr>
      </w:pPr>
      <w:bookmarkStart w:id="13" w:name="_Toc236138684"/>
      <w:r>
        <w:rPr>
          <w:rFonts w:ascii="Segoe UI" w:eastAsia="Times New Roman" w:hAnsi="Segoe UI" w:cs="Segoe UI"/>
          <w:lang w:val="en"/>
        </w:rPr>
        <w:t>11.2 Live Hosting &amp; Participation</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379"/>
        <w:gridCol w:w="6226"/>
        <w:gridCol w:w="1014"/>
      </w:tblGrid>
      <w:tr w:rsidR="00000000" w14:paraId="1243D2F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33620A"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44EA8D"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E72A04"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285F45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011CC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B9F05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 a quiz as a live, timed session for a group of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45D841"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90E0CD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FB15A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QR-code joining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79968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a session by scanning a QR code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90BF78"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893E7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0ED74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Direct-link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651E2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via a direct shareable link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42F3E7"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DE22B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2FB37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Game code /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04542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by entering a short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1CAB3E"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51162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BB60F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participant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82B91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appear in the host's lobby as they join, in real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049D3F"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15E11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04BE7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answer submission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0B35E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answers are submitted and processed in real time via WebSocket connection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2040AE"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1E290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D42CD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leaderboard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C9B73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live leaderboard updates as answers are scored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864A70"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F9FA1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DD4B6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A185D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 updates live throughout the session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97FBB1"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D2121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0EE98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Top-three winners podium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2282E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podium view highlights the top three participants at session close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0529CA"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250179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20FD0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98294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ranking of all participants, not only the top three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751916"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D54A2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A6CBD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Automatic reconnection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E6968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who lose network connectivity mid-session are automatically reconnected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288A75"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02DE023F" w14:textId="77777777" w:rsidR="00B66A6A" w:rsidRDefault="00B66A6A">
      <w:pPr>
        <w:pStyle w:val="Heading2"/>
        <w:rPr>
          <w:rFonts w:ascii="Segoe UI" w:eastAsia="Times New Roman" w:hAnsi="Segoe UI" w:cs="Segoe UI"/>
          <w:lang w:val="en"/>
        </w:rPr>
      </w:pPr>
      <w:bookmarkStart w:id="14" w:name="_Toc236138685"/>
      <w:r>
        <w:rPr>
          <w:rFonts w:ascii="Segoe UI" w:eastAsia="Times New Roman" w:hAnsi="Segoe UI" w:cs="Segoe UI"/>
          <w:lang w:val="en"/>
        </w:rPr>
        <w:t>11.3 Branding &amp; Experience</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2200"/>
        <w:gridCol w:w="6401"/>
        <w:gridCol w:w="1018"/>
      </w:tblGrid>
      <w:tr w:rsidR="00000000" w14:paraId="2AAA6EE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08EE53"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ABABE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EEFE9B"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13763B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6D71A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themes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ADF66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visual theme can be configured to match the institution's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D37682"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39903D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C2972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2D0AA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FDB86D"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A190F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352B9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D5391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FAD70E"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89809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71A33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UI text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8E331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Interface text can be adapted to the institution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49E9B8"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0FFD1D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BD65D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&amp; English interface with full 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F833C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bilingual interface with full right-to-left layout support for Arabic — positioned as a core enterprise bilingual capability, not an add-on translation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E666BA"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D564A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2166D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73221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interface languages beyond Arabic and English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F0B4D6"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127D0136" w14:textId="77777777" w:rsidR="00B66A6A" w:rsidRDefault="00B66A6A">
      <w:pPr>
        <w:pStyle w:val="Heading2"/>
        <w:rPr>
          <w:rFonts w:ascii="Segoe UI" w:eastAsia="Times New Roman" w:hAnsi="Segoe UI" w:cs="Segoe UI"/>
          <w:lang w:val="en"/>
        </w:rPr>
      </w:pPr>
      <w:bookmarkStart w:id="15" w:name="_Toc236138686"/>
      <w:r>
        <w:rPr>
          <w:rFonts w:ascii="Segoe UI" w:eastAsia="Times New Roman" w:hAnsi="Segoe UI" w:cs="Segoe UI"/>
          <w:lang w:val="en"/>
        </w:rPr>
        <w:t>11.4 Reporting &amp; Analytics</w:t>
      </w:r>
      <w:bookmarkEnd w:id="15"/>
    </w:p>
    <w:p w14:paraId="60A426F8"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Reporting and analytics are part of the platform's functional scope. The full capability set — result summaries, participant rankings, answer and question-difficulty analysis, participant completion, department-level and historical reporting, session comparison, export to PDF, Excel, and CSV with Arabic and English report headers, the management dashboard, and AI-generated insights (future enhancement) — is set out in </w:t>
      </w:r>
      <w:r>
        <w:rPr>
          <w:rStyle w:val="Strong"/>
          <w:rFonts w:ascii="Segoe UI" w:hAnsi="Segoe UI" w:cs="Segoe UI"/>
          <w:color w:val="1F2933"/>
          <w:sz w:val="21"/>
          <w:szCs w:val="21"/>
          <w:lang w:val="en"/>
        </w:rPr>
        <w:t>Section 14 (Reporting and Analytics)</w:t>
      </w:r>
      <w:r>
        <w:rPr>
          <w:rFonts w:ascii="Segoe UI" w:hAnsi="Segoe UI" w:cs="Segoe UI"/>
          <w:color w:val="1F2933"/>
          <w:sz w:val="21"/>
          <w:szCs w:val="21"/>
          <w:lang w:val="en"/>
        </w:rPr>
        <w:t>.</w:t>
      </w:r>
    </w:p>
    <w:p w14:paraId="1477D455" w14:textId="77777777" w:rsidR="00B66A6A" w:rsidRDefault="00B66A6A">
      <w:pPr>
        <w:pStyle w:val="Heading2"/>
        <w:rPr>
          <w:rFonts w:ascii="Segoe UI" w:eastAsia="Times New Roman" w:hAnsi="Segoe UI" w:cs="Segoe UI"/>
          <w:lang w:val="en"/>
        </w:rPr>
      </w:pPr>
      <w:bookmarkStart w:id="16" w:name="_Toc236138687"/>
      <w:r>
        <w:rPr>
          <w:rFonts w:ascii="Segoe UI" w:eastAsia="Times New Roman" w:hAnsi="Segoe UI" w:cs="Segoe UI"/>
          <w:lang w:val="en"/>
        </w:rPr>
        <w:t>11.5 Administration &amp; Governance</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2692"/>
        <w:gridCol w:w="5909"/>
        <w:gridCol w:w="1018"/>
      </w:tblGrid>
      <w:tr w:rsidR="00000000" w14:paraId="7D18C7A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198B5B"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041106"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0E13C1"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50CDE7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AF305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dashboard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DE9D7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dashboard for platform and content administration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4C0E51"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DE715B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3734E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user accounts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F5511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accounts scoped to the organisation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35C583"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DEA58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3919A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Role-based access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9AAF8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and permissions governed by role-based access control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4DACC8"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969CB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507E9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15F52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multiple departments within the organisation, each with its own isolated data</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6986EC"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F206D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AAF75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administrators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DF8E8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more than one administrator within the organisation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6CE880"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17100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17F8D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B22D8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actions are recorded in an audit log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89F462"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FC007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32270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activity/login visibility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1163F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user activity and login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354C61"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657DFB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FCA4A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session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4666A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record of quiz sessions run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DDCEEB"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70AAA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2E613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Soft-delete with archive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54973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Deleted content is archived rather than permanently removed, supporting recovery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399B61"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DE4F9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4A875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Notification options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376D1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notifications for administrators and/or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604287"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24486A81" w14:textId="77777777" w:rsidR="00B66A6A" w:rsidRDefault="00B66A6A">
      <w:pPr>
        <w:pStyle w:val="Heading2"/>
        <w:rPr>
          <w:rFonts w:ascii="Segoe UI" w:eastAsia="Times New Roman" w:hAnsi="Segoe UI" w:cs="Segoe UI"/>
          <w:lang w:val="en"/>
        </w:rPr>
      </w:pPr>
      <w:bookmarkStart w:id="17" w:name="_Toc236138688"/>
      <w:r>
        <w:rPr>
          <w:rFonts w:ascii="Segoe UI" w:eastAsia="Times New Roman" w:hAnsi="Segoe UI" w:cs="Segoe UI"/>
          <w:lang w:val="en"/>
        </w:rPr>
        <w:t>11.6 AI-Assisted Content Generation</w:t>
      </w:r>
      <w:bookmarkEnd w:id="17"/>
    </w:p>
    <w:p w14:paraId="092A9D60"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AI-assisted content generation is included in the functional scope. The full classification of current, optional, and future AI capabilities is set out in Section 12.</w:t>
      </w:r>
    </w:p>
    <w:p w14:paraId="42E41C6E" w14:textId="77777777" w:rsidR="00B66A6A" w:rsidRDefault="00B66A6A">
      <w:pPr>
        <w:pStyle w:val="Heading1"/>
        <w:rPr>
          <w:rFonts w:ascii="Segoe UI" w:eastAsia="Times New Roman" w:hAnsi="Segoe UI" w:cs="Segoe UI"/>
          <w:lang w:val="en"/>
        </w:rPr>
      </w:pPr>
      <w:bookmarkStart w:id="18" w:name="_Toc236138689"/>
      <w:r>
        <w:rPr>
          <w:rFonts w:ascii="Segoe UI" w:eastAsia="Times New Roman" w:hAnsi="Segoe UI" w:cs="Segoe UI"/>
          <w:lang w:val="en"/>
        </w:rPr>
        <w:t>12. AI Capabilities</w:t>
      </w:r>
      <w:bookmarkEnd w:id="18"/>
    </w:p>
    <w:p w14:paraId="44237669"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includes AI-assisted content generation as a core, already-implemented capability, alongside a further set of AI features that are available as optional, separately scoped additions, and a set of AI-driven reporting capabilities that sit on our future roadmap. This section sets out the distinction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see exactly what is included today, what can be added, and what is planned for the future.</w:t>
      </w:r>
    </w:p>
    <w:p w14:paraId="1F827ACE" w14:textId="77777777" w:rsidR="00B66A6A" w:rsidRDefault="00B66A6A">
      <w:pPr>
        <w:pStyle w:val="Heading2"/>
        <w:rPr>
          <w:rFonts w:ascii="Segoe UI" w:eastAsia="Times New Roman" w:hAnsi="Segoe UI" w:cs="Segoe UI"/>
          <w:lang w:val="en"/>
        </w:rPr>
      </w:pPr>
      <w:bookmarkStart w:id="19" w:name="_Toc236138690"/>
      <w:r>
        <w:rPr>
          <w:rFonts w:ascii="Segoe UI" w:eastAsia="Times New Roman" w:hAnsi="Segoe UI" w:cs="Segoe UI"/>
          <w:lang w:val="en"/>
        </w:rPr>
        <w:t>12.1 Current Capabilities (Included)</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2526"/>
        <w:gridCol w:w="6079"/>
        <w:gridCol w:w="1014"/>
      </w:tblGrid>
      <w:tr w:rsidR="00000000" w14:paraId="4F2BF20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ADF073"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EE4DCA"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2AE1F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572CA5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F02DF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topic or title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1F29A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complete quiz, including questions and answer choices, is generated from a short topic or title prompt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8DC0DD"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33F122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E5F4B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Quiz generation from an uploaded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EA3A9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PDF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D5B2F5"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F7D2F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A8685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an uploaded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B89DD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Word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8C03DE"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34E1FD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90F88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URL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9C53E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from the content of a supplied URL or webpage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4A8E9E"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6FB2A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291A4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pasted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E304F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text pasted into the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416CE4"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CBF0AC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96F83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AI-assigned difficulty levels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BCB89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are automatically assigned a suggested difficulty level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030AB8"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3EBF5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0DA7F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answer explanations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F1C4F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include a suggested explanation for the correct answer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1DF27A"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F8EFB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3179E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review before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1D9F4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All AI-generated content is presented to an administrator for review and editing before it is used in a live session or published to a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7542C3"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4B3FDF67" w14:textId="77777777" w:rsidR="00B66A6A" w:rsidRDefault="00B66A6A">
      <w:pPr>
        <w:pStyle w:val="Heading2"/>
        <w:rPr>
          <w:rFonts w:ascii="Segoe UI" w:eastAsia="Times New Roman" w:hAnsi="Segoe UI" w:cs="Segoe UI"/>
          <w:lang w:val="en"/>
        </w:rPr>
      </w:pPr>
      <w:bookmarkStart w:id="20" w:name="_Toc236138691"/>
      <w:r>
        <w:rPr>
          <w:rFonts w:ascii="Segoe UI" w:eastAsia="Times New Roman" w:hAnsi="Segoe UI" w:cs="Segoe UI"/>
          <w:lang w:val="en"/>
        </w:rPr>
        <w:t>12.2 Optional Capabilities (Scoped per Engagement)</w:t>
      </w:r>
      <w:bookmarkEnd w:id="20"/>
    </w:p>
    <w:p w14:paraId="6C6A594B"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AI capabilities are not part of the current platform but can be added as a separately scoped engagement.</w:t>
      </w:r>
    </w:p>
    <w:tbl>
      <w:tblPr>
        <w:tblW w:w="5000" w:type="pct"/>
        <w:tblCellMar>
          <w:top w:w="15" w:type="dxa"/>
          <w:left w:w="15" w:type="dxa"/>
          <w:bottom w:w="15" w:type="dxa"/>
          <w:right w:w="15" w:type="dxa"/>
        </w:tblCellMar>
        <w:tblLook w:val="04A0" w:firstRow="1" w:lastRow="0" w:firstColumn="1" w:lastColumn="0" w:noHBand="0" w:noVBand="1"/>
      </w:tblPr>
      <w:tblGrid>
        <w:gridCol w:w="2665"/>
        <w:gridCol w:w="5936"/>
        <w:gridCol w:w="1018"/>
      </w:tblGrid>
      <w:tr w:rsidR="00000000" w14:paraId="425D80C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F07B25"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B11FAC"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18CC2C"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5D529A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227FD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suggestions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8EB59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questions offered while an administrator authors a quiz manually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D85571"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4037C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0D7B5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answer suggestions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428AC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answer choices for a manually authored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D20480"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E9D490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BA67C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rewriting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2CC0C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rewriting of existing question text for clarity or tone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EC203B"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D1A484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078A5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difficulty re-adjustment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528AD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review and re-adjustment of difficulty levels across an existing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A60BA9"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24583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52DB2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AI-generated quiz backgrounds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AF26F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768E80"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6BFE53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E18EE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themes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3516D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visual themes for the platform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BA93AA"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A0DE5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C9E7A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result summaries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C95FC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narrative summary of a single session's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6CABF7"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122CC66B" w14:textId="77777777" w:rsidR="00B66A6A" w:rsidRDefault="00B66A6A">
      <w:pPr>
        <w:pStyle w:val="Heading2"/>
        <w:rPr>
          <w:rFonts w:ascii="Segoe UI" w:eastAsia="Times New Roman" w:hAnsi="Segoe UI" w:cs="Segoe UI"/>
          <w:lang w:val="en"/>
        </w:rPr>
      </w:pPr>
      <w:bookmarkStart w:id="21" w:name="_Toc236138692"/>
      <w:r>
        <w:rPr>
          <w:rFonts w:ascii="Segoe UI" w:eastAsia="Times New Roman" w:hAnsi="Segoe UI" w:cs="Segoe UI"/>
          <w:lang w:val="en"/>
        </w:rPr>
        <w:t>12.3 Future Roadmap</w:t>
      </w:r>
      <w:bookmarkEnd w:id="21"/>
    </w:p>
    <w:tbl>
      <w:tblPr>
        <w:tblW w:w="5000" w:type="pct"/>
        <w:tblCellMar>
          <w:top w:w="15" w:type="dxa"/>
          <w:left w:w="15" w:type="dxa"/>
          <w:bottom w:w="15" w:type="dxa"/>
          <w:right w:w="15" w:type="dxa"/>
        </w:tblCellMar>
        <w:tblLook w:val="04A0" w:firstRow="1" w:lastRow="0" w:firstColumn="1" w:lastColumn="0" w:noHBand="0" w:noVBand="1"/>
      </w:tblPr>
      <w:tblGrid>
        <w:gridCol w:w="2842"/>
        <w:gridCol w:w="4920"/>
        <w:gridCol w:w="1857"/>
      </w:tblGrid>
      <w:tr w:rsidR="00000000" w14:paraId="1C63C3E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C4A912"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970C34"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BBF99C"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E1922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5EE31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3A93F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and trend analysis across historical session data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4C3850" w14:textId="77777777" w:rsidR="00B66A6A" w:rsidRDefault="00B66A6A">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r w:rsidR="00000000" w14:paraId="059EAA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3ABBD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management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44C63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summary reports intended for management-level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747AFA" w14:textId="77777777" w:rsidR="00B66A6A" w:rsidRDefault="00B66A6A">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3303B16F" w14:textId="77777777" w:rsidR="00B66A6A" w:rsidRDefault="00B66A6A">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AI features are delivered using a commercial large-language-model API; usage allowances, and any associated API costs, are defined in the applicable commercial model (see Section 31). Cloud-based AI generation requires internet connectivity. A private, on-premises AI deployment is a future roadmap option that would depend on separate, dedicated infrastructure and is not part of the current platform. As with any AI-generated content,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should review AI-generated quizzes, questions, and summaries before they are used in a live or published context.</w:t>
      </w:r>
    </w:p>
    <w:p w14:paraId="2FBAC0D9" w14:textId="77777777" w:rsidR="00B66A6A" w:rsidRDefault="00B66A6A">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AI and data residency.</w:t>
      </w:r>
      <w:r>
        <w:rPr>
          <w:rFonts w:ascii="Segoe UI" w:hAnsi="Segoe UI" w:cs="Segoe UI"/>
          <w:color w:val="1F2933"/>
          <w:sz w:val="21"/>
          <w:szCs w:val="21"/>
          <w:lang w:val="en"/>
        </w:rPr>
        <w:t xml:space="preserve"> AI-assisted content generation may utilise approved cloud-based large-language-model (LLM) services. Only the minimum information required to generate the requested content is transmitted, and participant personal data is not required for AI content generation. AI capabilities can be configured, restricted, or disabled according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information security, privacy, and data-residency requirements, and a private AI deployment is available as a future deployment option on the platform roadmap (Section 41) rather than as part of the current platform.</w:t>
      </w:r>
    </w:p>
    <w:p w14:paraId="2A851049" w14:textId="77777777" w:rsidR="00B66A6A" w:rsidRDefault="00B66A6A">
      <w:pPr>
        <w:pStyle w:val="Heading1"/>
        <w:rPr>
          <w:rFonts w:ascii="Segoe UI" w:eastAsia="Times New Roman" w:hAnsi="Segoe UI" w:cs="Segoe UI"/>
          <w:lang w:val="en"/>
        </w:rPr>
      </w:pPr>
      <w:bookmarkStart w:id="22" w:name="_Toc236138693"/>
      <w:r>
        <w:rPr>
          <w:rFonts w:ascii="Segoe UI" w:eastAsia="Times New Roman" w:hAnsi="Segoe UI" w:cs="Segoe UI"/>
          <w:lang w:val="en"/>
        </w:rPr>
        <w:t>13. User Roles</w:t>
      </w:r>
      <w:bookmarkEnd w:id="22"/>
    </w:p>
    <w:p w14:paraId="4DCE96FC"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role-based access model is designed to reflect how a large organisation actually assigns administrative and operational responsibility, rather than offering a single flat administrator account.</w:t>
      </w:r>
    </w:p>
    <w:tbl>
      <w:tblPr>
        <w:tblW w:w="5000" w:type="pct"/>
        <w:tblCellMar>
          <w:top w:w="15" w:type="dxa"/>
          <w:left w:w="15" w:type="dxa"/>
          <w:bottom w:w="15" w:type="dxa"/>
          <w:right w:w="15" w:type="dxa"/>
        </w:tblCellMar>
        <w:tblLook w:val="04A0" w:firstRow="1" w:lastRow="0" w:firstColumn="1" w:lastColumn="0" w:noHBand="0" w:noVBand="1"/>
      </w:tblPr>
      <w:tblGrid>
        <w:gridCol w:w="2733"/>
        <w:gridCol w:w="6886"/>
      </w:tblGrid>
      <w:tr w:rsidR="00000000" w14:paraId="3938064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8332EB"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450E08"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019114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557C3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Super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8AA96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platform administration across all organisations and departments</w:t>
            </w:r>
          </w:p>
        </w:tc>
      </w:tr>
      <w:tr w:rsidR="00000000" w14:paraId="6CF76D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C3D56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Administrator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DF136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single organisation, including its users, branding, and content</w:t>
            </w:r>
          </w:p>
        </w:tc>
      </w:tr>
      <w:tr w:rsidR="00000000" w14:paraId="45F8FE4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37158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Department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40F4B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department's content and users within an organisation</w:t>
            </w:r>
          </w:p>
        </w:tc>
      </w:tr>
      <w:tr w:rsidR="00000000" w14:paraId="11FB353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3EBB0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9B182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Authors quizzes and question banks</w:t>
            </w:r>
          </w:p>
        </w:tc>
      </w:tr>
      <w:tr w:rsidR="00000000" w14:paraId="3AFA83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3541A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2509E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training-oriented sessions</w:t>
            </w:r>
          </w:p>
        </w:tc>
      </w:tr>
      <w:tr w:rsidR="00000000" w14:paraId="7592F5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9818E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00C50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live sessions</w:t>
            </w:r>
          </w:p>
        </w:tc>
      </w:tr>
      <w:tr w:rsidR="00000000" w14:paraId="018110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E23C6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33CE5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Views results</w:t>
            </w:r>
          </w:p>
        </w:tc>
      </w:tr>
      <w:tr w:rsidR="00000000" w14:paraId="694B67F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75AB2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32D61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Joins and answers in a live session — no account required</w:t>
            </w:r>
          </w:p>
        </w:tc>
      </w:tr>
      <w:tr w:rsidR="00000000" w14:paraId="04010B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E0A9F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E5B29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audit and activity logs</w:t>
            </w:r>
          </w:p>
        </w:tc>
      </w:tr>
      <w:tr w:rsidR="00000000" w14:paraId="0AD21E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1DFE0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User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A7F79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dashboards and reports</w:t>
            </w:r>
          </w:p>
        </w:tc>
      </w:tr>
    </w:tbl>
    <w:p w14:paraId="39EA874C" w14:textId="77777777" w:rsidR="00B66A6A" w:rsidRDefault="00B66A6A">
      <w:pPr>
        <w:pStyle w:val="muted"/>
        <w:spacing w:before="120" w:beforeAutospacing="0" w:after="120" w:afterAutospacing="0"/>
        <w:rPr>
          <w:rFonts w:ascii="Segoe UI" w:hAnsi="Segoe UI" w:cs="Segoe UI"/>
          <w:lang w:val="en"/>
        </w:rPr>
      </w:pPr>
      <w:r>
        <w:rPr>
          <w:rFonts w:ascii="Segoe UI" w:hAnsi="Segoe UI" w:cs="Segoe UI"/>
          <w:lang w:val="en"/>
        </w:rPr>
        <w:t xml:space="preserve">The final role model applied for </w:t>
      </w:r>
      <w:r>
        <w:rPr>
          <w:rStyle w:val="Strong"/>
          <w:rFonts w:ascii="Segoe UI" w:hAnsi="Segoe UI" w:cs="Segoe UI"/>
          <w:lang w:val="en"/>
        </w:rPr>
        <w:t>PDO</w:t>
      </w:r>
      <w:r>
        <w:rPr>
          <w:rFonts w:ascii="Segoe UI" w:hAnsi="Segoe UI" w:cs="Segoe UI"/>
          <w:lang w:val="en"/>
        </w:rPr>
        <w:t xml:space="preserve"> is configured during discovery, and can be mapped to the client's own directory groups where a single sign-on integration is included in scope (see Section 21).</w:t>
      </w:r>
    </w:p>
    <w:p w14:paraId="75554F6A"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Licensing for the Live Quiz Platform places no numerical limit on named administrative accounts: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may provision an unlimited number of Super Administrators, Organisation Administrators, Department Administrators, Hosts, Trainers, and Quiz Creators. Participant access is likewise unlimited: participants join live sessions via session PIN, QR code, or direct link, without a named account. No licensing cap is applied to administrators or participants; concurrent live-session capacity is a separate, technical measure, governed by the performance considerations set out in Section 22.</w:t>
      </w:r>
    </w:p>
    <w:p w14:paraId="64D4896C" w14:textId="77777777" w:rsidR="00B66A6A" w:rsidRDefault="00B66A6A">
      <w:pPr>
        <w:pStyle w:val="Heading1"/>
        <w:rPr>
          <w:rFonts w:ascii="Segoe UI" w:eastAsia="Times New Roman" w:hAnsi="Segoe UI" w:cs="Segoe UI"/>
          <w:lang w:val="en"/>
        </w:rPr>
      </w:pPr>
      <w:bookmarkStart w:id="23" w:name="_Toc236138694"/>
      <w:r>
        <w:rPr>
          <w:rFonts w:ascii="Segoe UI" w:eastAsia="Times New Roman" w:hAnsi="Segoe UI" w:cs="Segoe UI"/>
          <w:lang w:val="en"/>
        </w:rPr>
        <w:t>14. Reporting and Analytics</w:t>
      </w:r>
      <w:bookmarkEnd w:id="23"/>
    </w:p>
    <w:p w14:paraId="48A8CE13"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reporting and analytics capabilities give administrators and management visibility into participation, performance, and engagement, both at the level of a single session and across the organisation's session history over time.</w:t>
      </w:r>
    </w:p>
    <w:tbl>
      <w:tblPr>
        <w:tblW w:w="5000" w:type="pct"/>
        <w:tblCellMar>
          <w:top w:w="15" w:type="dxa"/>
          <w:left w:w="15" w:type="dxa"/>
          <w:bottom w:w="15" w:type="dxa"/>
          <w:right w:w="15" w:type="dxa"/>
        </w:tblCellMar>
        <w:tblLook w:val="04A0" w:firstRow="1" w:lastRow="0" w:firstColumn="1" w:lastColumn="0" w:noHBand="0" w:noVBand="1"/>
      </w:tblPr>
      <w:tblGrid>
        <w:gridCol w:w="2783"/>
        <w:gridCol w:w="4856"/>
        <w:gridCol w:w="1980"/>
      </w:tblGrid>
      <w:tr w:rsidR="00000000" w14:paraId="70EE313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F68094"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AF60CB"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2119F8"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5C3F1A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E2B09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result summary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9D984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results at quiz and session level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E6B1C7"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FAA149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D6466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57984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Ranked results per 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7B0636"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CE613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E4CFE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 performers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09A69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Identification of top-performing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48D37D"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0A21C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8F1AE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Correct/incorrect answer analysis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07544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Breakdown of correct versus incorrect responses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38EB28"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39B080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2557E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difficulty analysis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A8D6E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Analysis of question-level difficulty based on response patterns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4A6F42"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8CEB22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90A2B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completion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BFA8C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who completed a session and who did not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BA2FF6"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DF4A9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956E7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BAAA9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rolled up by department or organisational unit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2F058D"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C195E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182F1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D3FCD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to results and reports from past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97C2CF"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5BB7C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5CBC1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Session comparison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A8851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Comparison of results across multiple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0688D0"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C411DB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9160E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3E266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PDF format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54EE26"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46425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1ED84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Excel &amp; 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5B852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Excel and CSV formats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107BA3"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9CE24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F6375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dashboard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B68AD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Consolidated dashboard view for management-level oversight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F9C382"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50F84C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66866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insights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3E93D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B9FC43" w14:textId="77777777" w:rsidR="00B66A6A" w:rsidRDefault="00B66A6A">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0F65E2D2"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All PDF, Excel, and CSV exports are compliance-ready: report headers are rendered in both Arabic and English, so that reports generated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shared and archived internally without additional reformatting, regardless of which language the reviewing team works in.</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62677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BB56EC" w14:textId="77777777" w:rsidR="00B66A6A" w:rsidRDefault="00B66A6A">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THREE</w:t>
            </w:r>
          </w:p>
          <w:p w14:paraId="78028442" w14:textId="77777777" w:rsidR="00B66A6A" w:rsidRDefault="00B66A6A">
            <w:pPr>
              <w:pStyle w:val="NormalWeb"/>
              <w:rPr>
                <w:rFonts w:ascii="Segoe UI" w:hAnsi="Segoe UI" w:cs="Segoe UI"/>
                <w:b/>
                <w:bCs/>
                <w:color w:val="FFFFFF"/>
                <w:sz w:val="44"/>
                <w:szCs w:val="44"/>
              </w:rPr>
            </w:pPr>
            <w:r>
              <w:rPr>
                <w:rFonts w:ascii="Segoe UI" w:hAnsi="Segoe UI" w:cs="Segoe UI"/>
                <w:b/>
                <w:bCs/>
                <w:color w:val="FFFFFF"/>
                <w:sz w:val="44"/>
                <w:szCs w:val="44"/>
              </w:rPr>
              <w:t>Technical Architecture</w:t>
            </w:r>
          </w:p>
          <w:p w14:paraId="1398C0BB" w14:textId="77777777" w:rsidR="00B66A6A" w:rsidRDefault="00B66A6A">
            <w:pPr>
              <w:pStyle w:val="NormalWeb"/>
              <w:rPr>
                <w:rFonts w:ascii="Segoe UI" w:hAnsi="Segoe UI" w:cs="Segoe UI"/>
                <w:color w:val="1F2933"/>
              </w:rPr>
            </w:pPr>
            <w:r>
              <w:rPr>
                <w:rFonts w:ascii="Segoe UI" w:hAnsi="Segoe UI" w:cs="Segoe UI"/>
                <w:color w:val="1F2933"/>
              </w:rPr>
              <w:t>How the platform is built, deployed, and secured</w:t>
            </w:r>
          </w:p>
        </w:tc>
      </w:tr>
    </w:tbl>
    <w:p w14:paraId="6CB086F4" w14:textId="77777777" w:rsidR="00B66A6A" w:rsidRDefault="00B66A6A">
      <w:pPr>
        <w:pStyle w:val="Heading1"/>
        <w:pageBreakBefore/>
        <w:rPr>
          <w:rFonts w:ascii="Segoe UI" w:eastAsia="Times New Roman" w:hAnsi="Segoe UI" w:cs="Segoe UI"/>
          <w:lang w:val="en"/>
        </w:rPr>
      </w:pPr>
      <w:bookmarkStart w:id="24" w:name="_Toc236138695"/>
      <w:r>
        <w:rPr>
          <w:rFonts w:ascii="Segoe UI" w:eastAsia="Times New Roman" w:hAnsi="Segoe UI" w:cs="Segoe UI"/>
          <w:lang w:val="en"/>
        </w:rPr>
        <w:lastRenderedPageBreak/>
        <w:t>15. Technical Architecture</w:t>
      </w:r>
      <w:bookmarkEnd w:id="24"/>
    </w:p>
    <w:p w14:paraId="4B3628D0"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built on a modern, well-established web application stack, selected for reliability, security, and the ability to run in cloud, on-premises, or hybrid environments, subject to the infrastructure assessment described in Section 17.2.</w:t>
      </w:r>
    </w:p>
    <w:p w14:paraId="77C89C3C" w14:textId="77777777" w:rsidR="00B66A6A" w:rsidRDefault="00B66A6A">
      <w:pPr>
        <w:pStyle w:val="Heading2"/>
        <w:rPr>
          <w:rFonts w:ascii="Segoe UI" w:eastAsia="Times New Roman" w:hAnsi="Segoe UI" w:cs="Segoe UI"/>
          <w:lang w:val="en"/>
        </w:rPr>
      </w:pPr>
      <w:bookmarkStart w:id="25" w:name="_Toc236138696"/>
      <w:r>
        <w:rPr>
          <w:rFonts w:ascii="Segoe UI" w:eastAsia="Times New Roman" w:hAnsi="Segoe UI" w:cs="Segoe UI"/>
          <w:lang w:val="en"/>
        </w:rPr>
        <w:t>15.1 Technology Stack</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1484"/>
        <w:gridCol w:w="2331"/>
        <w:gridCol w:w="5804"/>
      </w:tblGrid>
      <w:tr w:rsidR="00000000" w14:paraId="44BAC3D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1EA07B"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FF841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87B7EC2"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Notes</w:t>
            </w:r>
          </w:p>
        </w:tc>
      </w:tr>
      <w:tr w:rsidR="00000000" w14:paraId="742356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F840D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DC25E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React (single-page application)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A64EA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Also deployable with Next.js where required by the client's environment</w:t>
            </w:r>
          </w:p>
        </w:tc>
      </w:tr>
      <w:tr w:rsidR="00000000" w14:paraId="3FFC4E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ADAE1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FCE64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Node.js with 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1BDD0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Exposes a REST API consumed by the frontend</w:t>
            </w:r>
          </w:p>
        </w:tc>
      </w:tr>
      <w:tr w:rsidR="00000000" w14:paraId="49892D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4B657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80AC7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Token/session-based 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66604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 or an equivalent secure token-based system</w:t>
            </w:r>
          </w:p>
        </w:tc>
      </w:tr>
      <w:tr w:rsidR="00000000" w14:paraId="0E72A7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A2BAC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E417C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PostgreSQL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70B23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Enterprise database with row-level data isolation; MongoDB may be considered depending on the final architecture agreed with </w:t>
            </w:r>
            <w:r>
              <w:rPr>
                <w:rStyle w:val="Strong"/>
                <w:rFonts w:ascii="Segoe UI" w:eastAsia="Times New Roman" w:hAnsi="Segoe UI" w:cs="Segoe UI"/>
                <w:color w:val="1F2933"/>
                <w:sz w:val="19"/>
                <w:szCs w:val="19"/>
              </w:rPr>
              <w:t>PDO</w:t>
            </w:r>
          </w:p>
        </w:tc>
      </w:tr>
      <w:tr w:rsidR="00000000" w14:paraId="65C26A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929A7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3BF98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E0A26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Used for participant joining, live answers, and leaderboard updates; timing and scoring are server-authoritative</w:t>
            </w:r>
          </w:p>
        </w:tc>
      </w:tr>
      <w:tr w:rsidR="00000000" w14:paraId="17BBE9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7BEB9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08EF5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 on-premises, or hybrid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D1E7F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See Section 17 for the full comparison of deployment options</w:t>
            </w:r>
          </w:p>
        </w:tc>
      </w:tr>
    </w:tbl>
    <w:p w14:paraId="1EF9FBB7" w14:textId="77777777" w:rsidR="00B66A6A" w:rsidRDefault="00B66A6A">
      <w:pPr>
        <w:pStyle w:val="Heading2"/>
        <w:rPr>
          <w:rFonts w:ascii="Segoe UI" w:eastAsia="Times New Roman" w:hAnsi="Segoe UI" w:cs="Segoe UI"/>
          <w:lang w:val="en"/>
        </w:rPr>
      </w:pPr>
      <w:bookmarkStart w:id="26" w:name="_Toc236138697"/>
      <w:r>
        <w:rPr>
          <w:rFonts w:ascii="Segoe UI" w:eastAsia="Times New Roman" w:hAnsi="Segoe UI" w:cs="Segoe UI"/>
          <w:lang w:val="en"/>
        </w:rPr>
        <w:t>15.2 Architecture Diagram</w:t>
      </w:r>
      <w:bookmarkEnd w:id="26"/>
    </w:p>
    <w:p w14:paraId="773A6D00"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diagram below shows the platform's core request and real-time data flow, followed by the three supported deployment variants.</w:t>
      </w:r>
    </w:p>
    <w:tbl>
      <w:tblPr>
        <w:tblW w:w="5000" w:type="pct"/>
        <w:tblCellMar>
          <w:top w:w="15" w:type="dxa"/>
          <w:left w:w="15" w:type="dxa"/>
          <w:bottom w:w="15" w:type="dxa"/>
          <w:right w:w="15" w:type="dxa"/>
        </w:tblCellMar>
        <w:tblLook w:val="04A0" w:firstRow="1" w:lastRow="0" w:firstColumn="1" w:lastColumn="0" w:noHBand="0" w:noVBand="1"/>
      </w:tblPr>
      <w:tblGrid>
        <w:gridCol w:w="2020"/>
        <w:gridCol w:w="577"/>
        <w:gridCol w:w="1635"/>
        <w:gridCol w:w="577"/>
        <w:gridCol w:w="2309"/>
        <w:gridCol w:w="481"/>
        <w:gridCol w:w="2020"/>
      </w:tblGrid>
      <w:tr w:rsidR="00000000" w14:paraId="6FA8D887" w14:textId="77777777">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17748AD2" w14:textId="77777777" w:rsidR="00B66A6A" w:rsidRDefault="00B66A6A">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Browser</w:t>
            </w:r>
            <w:r>
              <w:rPr>
                <w:rFonts w:ascii="Segoe UI" w:eastAsia="Times New Roman" w:hAnsi="Segoe UI" w:cs="Segoe UI"/>
                <w:color w:val="1F2933"/>
                <w:sz w:val="19"/>
                <w:szCs w:val="19"/>
              </w:rPr>
              <w:br/>
              <w:t>(Host &amp; Participants)</w:t>
            </w:r>
          </w:p>
        </w:tc>
        <w:tc>
          <w:tcPr>
            <w:tcW w:w="300" w:type="pct"/>
            <w:tcBorders>
              <w:top w:val="nil"/>
              <w:left w:val="nil"/>
              <w:bottom w:val="nil"/>
              <w:right w:val="nil"/>
            </w:tcBorders>
            <w:tcMar>
              <w:top w:w="100" w:type="dxa"/>
              <w:left w:w="120" w:type="dxa"/>
              <w:bottom w:w="100" w:type="dxa"/>
              <w:right w:w="120" w:type="dxa"/>
            </w:tcMar>
            <w:hideMark/>
          </w:tcPr>
          <w:p w14:paraId="6CFE4A77" w14:textId="77777777" w:rsidR="00B66A6A" w:rsidRDefault="00B66A6A">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8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727BAF90" w14:textId="77777777" w:rsidR="00B66A6A" w:rsidRDefault="00B66A6A">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0E0B1CBA" w14:textId="77777777" w:rsidR="00B66A6A" w:rsidRDefault="00B66A6A">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2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B59D752" w14:textId="77777777" w:rsidR="00B66A6A" w:rsidRDefault="00B66A6A">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Express.js API</w:t>
            </w:r>
            <w:r>
              <w:rPr>
                <w:rFonts w:ascii="Segoe UI" w:eastAsia="Times New Roman" w:hAnsi="Segoe UI" w:cs="Segoe UI"/>
                <w:color w:val="1F2933"/>
                <w:sz w:val="19"/>
                <w:szCs w:val="19"/>
              </w:rPr>
              <w:br/>
              <w:t>+ WebSocket server</w:t>
            </w:r>
          </w:p>
        </w:tc>
        <w:tc>
          <w:tcPr>
            <w:tcW w:w="250" w:type="pct"/>
            <w:tcBorders>
              <w:top w:val="nil"/>
              <w:left w:val="nil"/>
              <w:bottom w:val="nil"/>
              <w:right w:val="nil"/>
            </w:tcBorders>
            <w:tcMar>
              <w:top w:w="100" w:type="dxa"/>
              <w:left w:w="120" w:type="dxa"/>
              <w:bottom w:w="100" w:type="dxa"/>
              <w:right w:w="120" w:type="dxa"/>
            </w:tcMar>
            <w:hideMark/>
          </w:tcPr>
          <w:p w14:paraId="20A65722" w14:textId="77777777" w:rsidR="00B66A6A" w:rsidRDefault="00B66A6A">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28696DDF" w14:textId="77777777" w:rsidR="00B66A6A" w:rsidRDefault="00B66A6A">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Pr>
              <w:br/>
              <w:t>(row-level data isolation)</w:t>
            </w:r>
          </w:p>
        </w:tc>
      </w:tr>
    </w:tbl>
    <w:p w14:paraId="3B87AF0D" w14:textId="77777777" w:rsidR="00B66A6A" w:rsidRDefault="00B66A6A">
      <w:pPr>
        <w:pStyle w:val="muted"/>
        <w:spacing w:before="120" w:beforeAutospacing="0" w:after="120" w:afterAutospacing="0"/>
        <w:rPr>
          <w:rFonts w:ascii="Segoe UI" w:hAnsi="Segoe UI" w:cs="Segoe UI"/>
          <w:lang w:val="en"/>
        </w:rPr>
      </w:pPr>
      <w:r>
        <w:rPr>
          <w:rFonts w:ascii="Segoe UI" w:hAnsi="Segoe UI" w:cs="Segoe UI"/>
          <w:lang w:val="en"/>
        </w:rPr>
        <w:t>Browser clients communicate with the Express.js API and WebSocket server over HTTPS and secure WebSockets (WSS); the application server is the sole component with direct database access.</w:t>
      </w:r>
    </w:p>
    <w:tbl>
      <w:tblPr>
        <w:tblW w:w="5000" w:type="pct"/>
        <w:tblCellMar>
          <w:top w:w="15" w:type="dxa"/>
          <w:left w:w="15" w:type="dxa"/>
          <w:bottom w:w="15" w:type="dxa"/>
          <w:right w:w="15" w:type="dxa"/>
        </w:tblCellMar>
        <w:tblLook w:val="04A0" w:firstRow="1" w:lastRow="0" w:firstColumn="1" w:lastColumn="0" w:noHBand="0" w:noVBand="1"/>
      </w:tblPr>
      <w:tblGrid>
        <w:gridCol w:w="1768"/>
        <w:gridCol w:w="3142"/>
        <w:gridCol w:w="4709"/>
      </w:tblGrid>
      <w:tr w:rsidR="00000000" w14:paraId="52B931A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5350E0"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Deployment Variant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528256"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Application Layer (Frontend + Express.js API)</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A5ED25D"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Database Layer</w:t>
            </w:r>
          </w:p>
        </w:tc>
      </w:tr>
      <w:tr w:rsidR="00000000" w14:paraId="46440F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B35EF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Cloud / SaaS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4DF3A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893F0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r>
      <w:tr w:rsidR="00000000" w14:paraId="7FC3E85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0E4D7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On-Premises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BF5AB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0757E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r>
      <w:tr w:rsidR="00000000" w14:paraId="1497823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B5775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B0631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D5D6A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 (sensitive data remains client-side)</w:t>
            </w:r>
          </w:p>
        </w:tc>
      </w:tr>
    </w:tbl>
    <w:p w14:paraId="136BDD90" w14:textId="77777777" w:rsidR="00B66A6A" w:rsidRDefault="00B66A6A">
      <w:pPr>
        <w:pStyle w:val="Heading1"/>
        <w:rPr>
          <w:rFonts w:ascii="Segoe UI" w:eastAsia="Times New Roman" w:hAnsi="Segoe UI" w:cs="Segoe UI"/>
          <w:lang w:val="en"/>
        </w:rPr>
      </w:pPr>
      <w:bookmarkStart w:id="27" w:name="_Toc236138698"/>
      <w:r>
        <w:rPr>
          <w:rFonts w:ascii="Segoe UI" w:eastAsia="Times New Roman" w:hAnsi="Segoe UI" w:cs="Segoe UI"/>
          <w:lang w:val="en"/>
        </w:rPr>
        <w:t>16. Real-Time Architecture</w:t>
      </w:r>
      <w:bookmarkEnd w:id="27"/>
    </w:p>
    <w:p w14:paraId="2C1FA5C5"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Live sessions depend on the platform's real-time layer behaving predictably under load, and behaving fairly for every participant regardless of network conditions. This section describes how that is achieved.</w:t>
      </w:r>
    </w:p>
    <w:p w14:paraId="552742D8" w14:textId="77777777" w:rsidR="00B66A6A" w:rsidRDefault="00B66A6A">
      <w:pPr>
        <w:pStyle w:val="Heading2"/>
        <w:rPr>
          <w:rFonts w:ascii="Segoe UI" w:eastAsia="Times New Roman" w:hAnsi="Segoe UI" w:cs="Segoe UI"/>
          <w:lang w:val="en"/>
        </w:rPr>
      </w:pPr>
      <w:bookmarkStart w:id="28" w:name="_Toc236138699"/>
      <w:r>
        <w:rPr>
          <w:rFonts w:ascii="Segoe UI" w:eastAsia="Times New Roman" w:hAnsi="Segoe UI" w:cs="Segoe UI"/>
          <w:lang w:val="en"/>
        </w:rPr>
        <w:t>16.1 Session Flow</w:t>
      </w:r>
      <w:bookmarkEnd w:id="28"/>
    </w:p>
    <w:p w14:paraId="5E3C2EDC"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A live session follows a consistent, server-driven flow from join through to the final leaderboard.</w:t>
      </w:r>
    </w:p>
    <w:tbl>
      <w:tblPr>
        <w:tblW w:w="5000" w:type="pct"/>
        <w:tblCellMar>
          <w:top w:w="15" w:type="dxa"/>
          <w:left w:w="15" w:type="dxa"/>
          <w:bottom w:w="15" w:type="dxa"/>
          <w:right w:w="15" w:type="dxa"/>
        </w:tblCellMar>
        <w:tblLook w:val="04A0" w:firstRow="1" w:lastRow="0" w:firstColumn="1" w:lastColumn="0" w:noHBand="0" w:noVBand="1"/>
      </w:tblPr>
      <w:tblGrid>
        <w:gridCol w:w="1669"/>
        <w:gridCol w:w="7950"/>
      </w:tblGrid>
      <w:tr w:rsidR="00000000" w14:paraId="480E85D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DE9852"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8658EF"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happens</w:t>
            </w:r>
          </w:p>
        </w:tc>
      </w:tr>
      <w:tr w:rsidR="00000000" w14:paraId="41E49A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30773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Join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5A867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connect over a WebSocket session as they scan a QR code, follow a direct link, or enter a session PIN; the host's lobby view updates in real time as each participant joins</w:t>
            </w:r>
          </w:p>
        </w:tc>
      </w:tr>
      <w:tr w:rsidR="00000000" w14:paraId="79880F7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159C6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Question broadcast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1EC56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When the host opens a question, the server broadcasts the question to all connected participants at the same moment</w:t>
            </w:r>
          </w:p>
        </w:tc>
      </w:tr>
      <w:tr w:rsidR="00000000" w14:paraId="7A647E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C5CBD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Answer submission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29531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submit answers over the WebSocket connection while the question is live; the correct answer is never sent to a participant's device before the question closes</w:t>
            </w:r>
          </w:p>
        </w:tc>
      </w:tr>
      <w:tr w:rsidR="00000000" w14:paraId="4695F66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663C6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Server-side scoring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2975B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server, not the client, determines when the question closes, evaluates each submitted answer, and calculates the resulting score</w:t>
            </w:r>
          </w:p>
        </w:tc>
      </w:tr>
      <w:tr w:rsidR="00000000" w14:paraId="60E3596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19955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Leaderboard push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82397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Updated rankings are pushed to the host and participant devices in real time once scoring is complete</w:t>
            </w:r>
          </w:p>
        </w:tc>
      </w:tr>
    </w:tbl>
    <w:p w14:paraId="0CEAC195" w14:textId="77777777" w:rsidR="00B66A6A" w:rsidRDefault="00B66A6A">
      <w:pPr>
        <w:pStyle w:val="Heading2"/>
        <w:rPr>
          <w:rFonts w:ascii="Segoe UI" w:eastAsia="Times New Roman" w:hAnsi="Segoe UI" w:cs="Segoe UI"/>
          <w:lang w:val="en"/>
        </w:rPr>
      </w:pPr>
      <w:bookmarkStart w:id="29" w:name="_Toc236138700"/>
      <w:r>
        <w:rPr>
          <w:rFonts w:ascii="Segoe UI" w:eastAsia="Times New Roman" w:hAnsi="Segoe UI" w:cs="Segoe UI"/>
          <w:lang w:val="en"/>
        </w:rPr>
        <w:t>16.2 Server-Authoritative Timing, Reconnection, and Why It Matters at Scale</w:t>
      </w:r>
      <w:bookmarkEnd w:id="29"/>
    </w:p>
    <w:p w14:paraId="251124D5"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Question timing, closure, and scoring are controlled by the server, not by any individual device: participant and host devices render a countdown, an open or closed question, and an updated leaderboard, but they never decide when a question opens or closes and are never trusted with the correct answer before it is safe to reveal it. Where a participant's device loses connectivity mid-session </w:t>
      </w:r>
      <w:r>
        <w:rPr>
          <w:rFonts w:ascii="Segoe UI" w:hAnsi="Segoe UI" w:cs="Segoe UI"/>
          <w:color w:val="1F2933"/>
          <w:sz w:val="21"/>
          <w:szCs w:val="21"/>
          <w:lang w:val="en"/>
        </w:rPr>
        <w:lastRenderedPageBreak/>
        <w:t>— common in venues with variable Wi-Fi or mobile coverage — the platform automatically attempts to reconnect the session rather than dropping the participant. For a session of the scale described in Section 22, this combination is what keeps a large, live audience in a fair, synchronised session rather than a collection of individually drifting client experiences.</w:t>
      </w:r>
    </w:p>
    <w:p w14:paraId="1DBEBF98" w14:textId="77777777" w:rsidR="00B66A6A" w:rsidRDefault="00B66A6A">
      <w:pPr>
        <w:pStyle w:val="Heading1"/>
        <w:rPr>
          <w:rFonts w:ascii="Segoe UI" w:eastAsia="Times New Roman" w:hAnsi="Segoe UI" w:cs="Segoe UI"/>
          <w:lang w:val="en"/>
        </w:rPr>
      </w:pPr>
      <w:bookmarkStart w:id="30" w:name="_Toc236138701"/>
      <w:r>
        <w:rPr>
          <w:rFonts w:ascii="Segoe UI" w:eastAsia="Times New Roman" w:hAnsi="Segoe UI" w:cs="Segoe UI"/>
          <w:lang w:val="en"/>
        </w:rPr>
        <w:t>17. Deployment Options</w:t>
      </w:r>
      <w:bookmarkEnd w:id="30"/>
    </w:p>
    <w:p w14:paraId="39C8F73F" w14:textId="77777777" w:rsidR="00B66A6A" w:rsidRDefault="00B66A6A">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from three deployment options, so that the choice of hosting model reflects data residency, network, and cybersecurity requirements rather than a one-size-fits-all default.</w:t>
      </w:r>
    </w:p>
    <w:tbl>
      <w:tblPr>
        <w:tblW w:w="5000" w:type="pct"/>
        <w:tblCellMar>
          <w:top w:w="15" w:type="dxa"/>
          <w:left w:w="15" w:type="dxa"/>
          <w:bottom w:w="15" w:type="dxa"/>
          <w:right w:w="15" w:type="dxa"/>
        </w:tblCellMar>
        <w:tblLook w:val="04A0" w:firstRow="1" w:lastRow="0" w:firstColumn="1" w:lastColumn="0" w:noHBand="0" w:noVBand="1"/>
      </w:tblPr>
      <w:tblGrid>
        <w:gridCol w:w="1409"/>
        <w:gridCol w:w="2913"/>
        <w:gridCol w:w="3021"/>
        <w:gridCol w:w="2276"/>
      </w:tblGrid>
      <w:tr w:rsidR="00000000" w14:paraId="0CDFDDA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C1FB3C" w14:textId="77777777" w:rsidR="00B66A6A" w:rsidRDefault="00B66A6A">
            <w:pPr>
              <w:rPr>
                <w:rFonts w:ascii="Segoe UI" w:hAnsi="Segoe UI" w:cs="Segoe UI"/>
                <w:color w:val="1F2933"/>
                <w:sz w:val="21"/>
                <w:szCs w:val="21"/>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D0145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1 — SaaS / Cloud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A9755E"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2 — On-Premises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088B97"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3 — Hybrid</w:t>
            </w:r>
          </w:p>
        </w:tc>
      </w:tr>
      <w:tr w:rsidR="00000000" w14:paraId="6B206F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47E3B5"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Hosted by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F7508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D9003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EB3A1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Split between Altanfith and client infrastructure</w:t>
            </w:r>
          </w:p>
        </w:tc>
      </w:tr>
      <w:tr w:rsidR="00000000" w14:paraId="117422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73B72F"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Includes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47744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Cloud hosting, server &amp; </w:t>
            </w:r>
            <w:r>
              <w:rPr>
                <w:rFonts w:ascii="Segoe UI" w:eastAsia="Times New Roman" w:hAnsi="Segoe UI" w:cs="Segoe UI"/>
                <w:color w:val="1F2933"/>
                <w:sz w:val="19"/>
                <w:szCs w:val="19"/>
              </w:rPr>
              <w:t>database management, backups, security updates, monitoring, maintenance, technical support, version upgrades, AI usage allowance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45428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deployment, backend installation, database configuration, environment setup, initial cybersecurity configuration, documentation, training, knowledge transfer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151FD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components hosted by Altanfith; sensitive data/database remain in the client environment</w:t>
            </w:r>
          </w:p>
        </w:tc>
      </w:tr>
      <w:tr w:rsidR="00000000" w14:paraId="14E9BB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55971B"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92AF3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lower initial investment; fastest implementation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57B01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fee; optional source-code handover; optional annual maintenance contract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0BFCB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328F15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BD0754"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Client provides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CF04A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Browser access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F213B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Hardware, OS, internal networking, data-centre requirements (unless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EA60C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bl>
    <w:p w14:paraId="363972BF" w14:textId="77777777" w:rsidR="00B66A6A" w:rsidRDefault="00B66A6A">
      <w:pPr>
        <w:pStyle w:val="Heading2"/>
        <w:rPr>
          <w:rFonts w:ascii="Segoe UI" w:eastAsia="Times New Roman" w:hAnsi="Segoe UI" w:cs="Segoe UI"/>
          <w:lang w:val="en"/>
        </w:rPr>
      </w:pPr>
      <w:bookmarkStart w:id="31" w:name="_Toc236138702"/>
      <w:r>
        <w:rPr>
          <w:rFonts w:ascii="Segoe UI" w:eastAsia="Times New Roman" w:hAnsi="Segoe UI" w:cs="Segoe UI"/>
          <w:lang w:val="en"/>
        </w:rPr>
        <w:t>17.1 Cloud / SaaS</w:t>
      </w:r>
      <w:bookmarkEnd w:id="31"/>
    </w:p>
    <w:p w14:paraId="54F3E4A6"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hosts and manages the full application and database layer on Altanfith Managed Cloud Infrastructure, so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requires only browser access. Hosting, backups, monitoring, security updates, and version upgrades are managed by Altanfith as part of the subscription (Section 31, Model A).</w:t>
      </w:r>
    </w:p>
    <w:p w14:paraId="2B979749" w14:textId="77777777" w:rsidR="00B66A6A" w:rsidRDefault="00B66A6A">
      <w:pPr>
        <w:pStyle w:val="Heading2"/>
        <w:rPr>
          <w:rFonts w:ascii="Segoe UI" w:eastAsia="Times New Roman" w:hAnsi="Segoe UI" w:cs="Segoe UI"/>
          <w:lang w:val="en"/>
        </w:rPr>
      </w:pPr>
      <w:bookmarkStart w:id="32" w:name="_Toc236138703"/>
      <w:r>
        <w:rPr>
          <w:rFonts w:ascii="Segoe UI" w:eastAsia="Times New Roman" w:hAnsi="Segoe UI" w:cs="Segoe UI"/>
          <w:lang w:val="en"/>
        </w:rPr>
        <w:t>17.2 On-Premises</w:t>
      </w:r>
      <w:bookmarkEnd w:id="32"/>
    </w:p>
    <w:p w14:paraId="7193A355"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Express.js backend runs on the client's own internal servers or private cloud — a public cloud environment is not required. The platform's backend has been built to run within a range of internal environments, including:</w:t>
      </w:r>
    </w:p>
    <w:tbl>
      <w:tblPr>
        <w:tblW w:w="5000" w:type="pct"/>
        <w:tblCellMar>
          <w:top w:w="15" w:type="dxa"/>
          <w:left w:w="15" w:type="dxa"/>
          <w:bottom w:w="15" w:type="dxa"/>
          <w:right w:w="15" w:type="dxa"/>
        </w:tblCellMar>
        <w:tblLook w:val="04A0" w:firstRow="1" w:lastRow="0" w:firstColumn="1" w:lastColumn="0" w:noHBand="0" w:noVBand="1"/>
      </w:tblPr>
      <w:tblGrid>
        <w:gridCol w:w="2811"/>
        <w:gridCol w:w="6808"/>
      </w:tblGrid>
      <w:tr w:rsidR="00000000" w14:paraId="0E0D2323"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7EDEF96"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Environment</w:t>
            </w:r>
          </w:p>
        </w:tc>
      </w:tr>
      <w:tr w:rsidR="00000000" w14:paraId="1186DCE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09C0C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Client data centre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3605B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servers</w:t>
            </w:r>
          </w:p>
        </w:tc>
      </w:tr>
      <w:tr w:rsidR="00000000" w14:paraId="79AFE7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D5816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D327F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Virtual machines</w:t>
            </w:r>
          </w:p>
        </w:tc>
      </w:tr>
      <w:tr w:rsidR="00000000" w14:paraId="29453F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3F8E6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Docker containers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47DF1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Kubernetes</w:t>
            </w:r>
          </w:p>
        </w:tc>
      </w:tr>
      <w:tr w:rsidR="00000000" w14:paraId="6C88978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96984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Linux servers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5D260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Windows Server (subject to technical validation)</w:t>
            </w:r>
          </w:p>
        </w:tc>
      </w:tr>
      <w:tr w:rsidR="00000000" w14:paraId="218F47FE"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2A371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 combinations of the above infrastructure types</w:t>
            </w:r>
          </w:p>
        </w:tc>
      </w:tr>
    </w:tbl>
    <w:p w14:paraId="10C99353" w14:textId="77777777" w:rsidR="00B66A6A" w:rsidRDefault="00B66A6A">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On-premises deployment is </w:t>
      </w:r>
      <w:r>
        <w:rPr>
          <w:rStyle w:val="Strong"/>
          <w:rFonts w:ascii="Segoe UI" w:hAnsi="Segoe UI" w:cs="Segoe UI"/>
          <w:color w:val="1F2933"/>
          <w:sz w:val="21"/>
          <w:szCs w:val="21"/>
          <w:lang w:val="en"/>
        </w:rPr>
        <w:t>subject to infrastructure assessment</w:t>
      </w:r>
      <w:r>
        <w:rPr>
          <w:rFonts w:ascii="Segoe UI" w:hAnsi="Segoe UI" w:cs="Segoe UI"/>
          <w:color w:val="1F2933"/>
          <w:sz w:val="21"/>
          <w:szCs w:val="21"/>
          <w:lang w:val="en"/>
        </w:rPr>
        <w:t xml:space="preserve">. Network policies, database selection, internal DNS, SSL certificates, firewall configuration, backup procedures, and </w:t>
      </w:r>
      <w:r>
        <w:rPr>
          <w:rStyle w:val="Strong"/>
          <w:rFonts w:ascii="Segoe UI" w:hAnsi="Segoe UI" w:cs="Segoe UI"/>
          <w:color w:val="1F2933"/>
          <w:sz w:val="21"/>
          <w:szCs w:val="21"/>
          <w:lang w:val="en"/>
        </w:rPr>
        <w:t>PDO</w:t>
      </w:r>
      <w:r>
        <w:rPr>
          <w:rFonts w:ascii="Segoe UI" w:hAnsi="Segoe UI" w:cs="Segoe UI"/>
          <w:color w:val="1F2933"/>
          <w:sz w:val="21"/>
          <w:szCs w:val="21"/>
          <w:lang w:val="en"/>
        </w:rPr>
        <w:t>'s cybersecurity requirements are all confirmed during this assessment before deployment proceeds. Altanfith does not promise universal compatibility with every client environment in advance of this assessment.</w:t>
      </w:r>
    </w:p>
    <w:p w14:paraId="20258589"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A typical on-premises deployment draws on the following client-provided components: a virtual machine or container platform; a Linux server environment; a PostgreSQL database; a reverse proxy; TLS certificates; internal DNS; firewall rules; and outbound HTTPS connectivity where cloud-based AI features are in scope. Minimum infrastructure sizing will be confirmed during the Technical Assessment phase (Section 23, Phase 2).</w:t>
      </w:r>
    </w:p>
    <w:p w14:paraId="5A809CF4" w14:textId="77777777" w:rsidR="00B66A6A" w:rsidRDefault="00B66A6A">
      <w:pPr>
        <w:pStyle w:val="Heading2"/>
        <w:rPr>
          <w:rFonts w:ascii="Segoe UI" w:eastAsia="Times New Roman" w:hAnsi="Segoe UI" w:cs="Segoe UI"/>
          <w:lang w:val="en"/>
        </w:rPr>
      </w:pPr>
      <w:bookmarkStart w:id="33" w:name="_Toc236138704"/>
      <w:r>
        <w:rPr>
          <w:rFonts w:ascii="Segoe UI" w:eastAsia="Times New Roman" w:hAnsi="Segoe UI" w:cs="Segoe UI"/>
          <w:lang w:val="en"/>
        </w:rPr>
        <w:t>17.3 Hybrid</w:t>
      </w:r>
      <w:bookmarkEnd w:id="33"/>
    </w:p>
    <w:p w14:paraId="131221B9"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hybrid deployment splits the platform between Altanfith-hosted application components and client-hosted, sensitive data storage. The final design of a hybrid deployment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security and integration requirements, and is agreed during discovery and infrastructure assessment rather than fixed in advance.</w:t>
      </w:r>
    </w:p>
    <w:p w14:paraId="39A46AF5" w14:textId="77777777" w:rsidR="00B66A6A" w:rsidRDefault="00B66A6A">
      <w:pPr>
        <w:pStyle w:val="Heading2"/>
        <w:rPr>
          <w:rFonts w:ascii="Segoe UI" w:eastAsia="Times New Roman" w:hAnsi="Segoe UI" w:cs="Segoe UI"/>
          <w:lang w:val="en"/>
        </w:rPr>
      </w:pPr>
      <w:bookmarkStart w:id="34" w:name="_Toc236138705"/>
      <w:r>
        <w:rPr>
          <w:rFonts w:ascii="Segoe UI" w:eastAsia="Times New Roman" w:hAnsi="Segoe UI" w:cs="Segoe UI"/>
          <w:lang w:val="en"/>
        </w:rPr>
        <w:t>17.4 Supported Deployment Platforms</w:t>
      </w:r>
      <w:bookmarkEnd w:id="34"/>
    </w:p>
    <w:p w14:paraId="73A80E0B"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Under the SaaS and hybrid options, the platform is operated on </w:t>
      </w:r>
      <w:r>
        <w:rPr>
          <w:rStyle w:val="Strong"/>
          <w:rFonts w:ascii="Segoe UI" w:hAnsi="Segoe UI" w:cs="Segoe UI"/>
          <w:color w:val="1F2933"/>
          <w:sz w:val="21"/>
          <w:szCs w:val="21"/>
          <w:lang w:val="en"/>
        </w:rPr>
        <w:t>Altanfith Managed Cloud Infrastructure</w:t>
      </w:r>
      <w:r>
        <w:rPr>
          <w:rFonts w:ascii="Segoe UI" w:hAnsi="Segoe UI" w:cs="Segoe UI"/>
          <w:color w:val="1F2933"/>
          <w:sz w:val="21"/>
          <w:szCs w:val="21"/>
          <w:lang w:val="en"/>
        </w:rPr>
        <w:t>. The underlying deployment platform for each engagement is selected according to the client's IT strategy, security requirements, and data-residency requirements, from the following supported platforms:</w:t>
      </w:r>
    </w:p>
    <w:tbl>
      <w:tblPr>
        <w:tblW w:w="5000" w:type="pct"/>
        <w:tblCellMar>
          <w:top w:w="15" w:type="dxa"/>
          <w:left w:w="15" w:type="dxa"/>
          <w:bottom w:w="15" w:type="dxa"/>
          <w:right w:w="15" w:type="dxa"/>
        </w:tblCellMar>
        <w:tblLook w:val="04A0" w:firstRow="1" w:lastRow="0" w:firstColumn="1" w:lastColumn="0" w:noHBand="0" w:noVBand="1"/>
      </w:tblPr>
      <w:tblGrid>
        <w:gridCol w:w="2914"/>
        <w:gridCol w:w="6705"/>
      </w:tblGrid>
      <w:tr w:rsidR="00000000" w14:paraId="3C280C9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2FC26C"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Platform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042579D"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Typical Use</w:t>
            </w:r>
          </w:p>
        </w:tc>
      </w:tr>
      <w:tr w:rsidR="00000000" w14:paraId="1562D7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77955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A9AD1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Microsoft cloud services</w:t>
            </w:r>
          </w:p>
        </w:tc>
      </w:tr>
      <w:tr w:rsidR="00000000" w14:paraId="19E6F3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044C5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F17A2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AWS</w:t>
            </w:r>
          </w:p>
        </w:tc>
      </w:tr>
      <w:tr w:rsidR="00000000" w14:paraId="1B687D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0F692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418A6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Google cloud services</w:t>
            </w:r>
          </w:p>
        </w:tc>
      </w:tr>
      <w:tr w:rsidR="00000000" w14:paraId="54BADA3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A61B3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6DCF6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In-country hosting where data residency within the Sultanate of Oman is required</w:t>
            </w:r>
          </w:p>
        </w:tc>
      </w:tr>
      <w:tr w:rsidR="00000000" w14:paraId="591C17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525F7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25899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Client-selected private cloud environments</w:t>
            </w:r>
          </w:p>
        </w:tc>
      </w:tr>
      <w:tr w:rsidR="00000000" w14:paraId="04EE0C6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B1474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On-Premises Infrastructure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0932C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Fully client-hosted deployment, as described in Section 17.2</w:t>
            </w:r>
          </w:p>
        </w:tc>
      </w:tr>
    </w:tbl>
    <w:p w14:paraId="3B5DCA64" w14:textId="77777777" w:rsidR="00B66A6A" w:rsidRDefault="00B66A6A">
      <w:pPr>
        <w:pStyle w:val="muted"/>
        <w:spacing w:before="120" w:beforeAutospacing="0" w:after="120" w:afterAutospacing="0"/>
        <w:rPr>
          <w:rFonts w:ascii="Segoe UI" w:hAnsi="Segoe UI" w:cs="Segoe UI"/>
          <w:lang w:val="en"/>
        </w:rPr>
      </w:pPr>
      <w:r>
        <w:rPr>
          <w:rFonts w:ascii="Segoe UI" w:hAnsi="Segoe UI" w:cs="Segoe UI"/>
          <w:lang w:val="en"/>
        </w:rPr>
        <w:t xml:space="preserve">The deployment platform selected for </w:t>
      </w:r>
      <w:r>
        <w:rPr>
          <w:rStyle w:val="Strong"/>
          <w:rFonts w:ascii="Segoe UI" w:hAnsi="Segoe UI" w:cs="Segoe UI"/>
          <w:lang w:val="en"/>
        </w:rPr>
        <w:t>PDO</w:t>
      </w:r>
      <w:r>
        <w:rPr>
          <w:rFonts w:ascii="Segoe UI" w:hAnsi="Segoe UI" w:cs="Segoe UI"/>
          <w:lang w:val="en"/>
        </w:rPr>
        <w:t xml:space="preserve"> is confirmed during discovery and infrastructure assessment (Section 23, Phases 1–2).</w:t>
      </w:r>
    </w:p>
    <w:p w14:paraId="182A4069" w14:textId="77777777" w:rsidR="00B66A6A" w:rsidRDefault="00B66A6A">
      <w:pPr>
        <w:pStyle w:val="Heading2"/>
        <w:rPr>
          <w:rFonts w:ascii="Segoe UI" w:eastAsia="Times New Roman" w:hAnsi="Segoe UI" w:cs="Segoe UI"/>
          <w:lang w:val="en"/>
        </w:rPr>
      </w:pPr>
      <w:bookmarkStart w:id="35" w:name="_Toc236138706"/>
      <w:r>
        <w:rPr>
          <w:rFonts w:ascii="Segoe UI" w:eastAsia="Times New Roman" w:hAnsi="Segoe UI" w:cs="Segoe UI"/>
          <w:lang w:val="en"/>
        </w:rPr>
        <w:t>17.5 Client Standard Requirements</w:t>
      </w:r>
      <w:bookmarkEnd w:id="35"/>
    </w:p>
    <w:p w14:paraId="27F5CD12"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final solution will be designed, configured, and deployed in accordance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approved enterprise standards and technical requirements identified during the Discovery and Technical Assessment phases (Section 23, Phases 1–2). The following are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implementation:</w:t>
      </w:r>
    </w:p>
    <w:tbl>
      <w:tblPr>
        <w:tblW w:w="5000" w:type="pct"/>
        <w:tblCellMar>
          <w:top w:w="15" w:type="dxa"/>
          <w:left w:w="15" w:type="dxa"/>
          <w:bottom w:w="15" w:type="dxa"/>
          <w:right w:w="15" w:type="dxa"/>
        </w:tblCellMar>
        <w:tblLook w:val="04A0" w:firstRow="1" w:lastRow="0" w:firstColumn="1" w:lastColumn="0" w:noHBand="0" w:noVBand="1"/>
      </w:tblPr>
      <w:tblGrid>
        <w:gridCol w:w="4781"/>
        <w:gridCol w:w="4838"/>
      </w:tblGrid>
      <w:tr w:rsidR="00000000" w14:paraId="5362016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C8E59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1D62C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Standards</w:t>
            </w:r>
          </w:p>
        </w:tc>
      </w:tr>
      <w:tr w:rsidR="00000000" w14:paraId="15F85B8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DC488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Network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D7057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4B29B4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DCFD1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Identity &amp; Access Management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E68FD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Standards</w:t>
            </w:r>
          </w:p>
        </w:tc>
      </w:tr>
      <w:tr w:rsidR="00000000" w14:paraId="5FB989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FB9AC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6DB4A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 Requirements</w:t>
            </w:r>
          </w:p>
        </w:tc>
      </w:tr>
      <w:tr w:rsidR="00000000" w14:paraId="08CF50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CD50A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Classification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9C2F4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&amp; Disaster Recovery Requirements</w:t>
            </w:r>
          </w:p>
        </w:tc>
      </w:tr>
      <w:tr w:rsidR="00000000" w14:paraId="327546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53DD3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Monitoring &amp; </w:t>
            </w:r>
            <w:r>
              <w:rPr>
                <w:rFonts w:ascii="Segoe UI" w:eastAsia="Times New Roman" w:hAnsi="Segoe UI" w:cs="Segoe UI"/>
                <w:color w:val="1F2933"/>
                <w:sz w:val="19"/>
                <w:szCs w:val="19"/>
              </w:rPr>
              <w:t>Logging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5971F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Compliance Requirements</w:t>
            </w:r>
          </w:p>
        </w:tc>
      </w:tr>
      <w:tr w:rsidR="00000000" w14:paraId="3BE4A7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14F07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Continuity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5A290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Availability Requirements</w:t>
            </w:r>
          </w:p>
        </w:tc>
      </w:tr>
      <w:tr w:rsidR="00000000" w14:paraId="51D203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FD3E1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Performance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43DF1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Operational Support Requirements</w:t>
            </w:r>
          </w:p>
        </w:tc>
      </w:tr>
    </w:tbl>
    <w:p w14:paraId="00E0A554" w14:textId="77777777" w:rsidR="00B66A6A" w:rsidRDefault="00B66A6A">
      <w:pPr>
        <w:pStyle w:val="muted"/>
        <w:spacing w:before="120" w:beforeAutospacing="0" w:after="120" w:afterAutospacing="0"/>
        <w:rPr>
          <w:rFonts w:ascii="Segoe UI" w:hAnsi="Segoe UI" w:cs="Segoe UI"/>
          <w:lang w:val="en"/>
        </w:rPr>
      </w:pPr>
      <w:r>
        <w:rPr>
          <w:rFonts w:ascii="Segoe UI" w:hAnsi="Segoe UI" w:cs="Segoe UI"/>
          <w:lang w:val="en"/>
        </w:rPr>
        <w:t xml:space="preserve">These requirements apply regardless of the deployment model selected — Altanfith Managed Cloud Infrastructure, client on-premises infrastructure, or a hybrid deployment — and implementation always aligns with </w:t>
      </w:r>
      <w:r>
        <w:rPr>
          <w:rStyle w:val="Strong"/>
          <w:rFonts w:ascii="Segoe UI" w:hAnsi="Segoe UI" w:cs="Segoe UI"/>
          <w:lang w:val="en"/>
        </w:rPr>
        <w:t>PDO</w:t>
      </w:r>
      <w:r>
        <w:rPr>
          <w:rFonts w:ascii="Segoe UI" w:hAnsi="Segoe UI" w:cs="Segoe UI"/>
          <w:lang w:val="en"/>
        </w:rPr>
        <w:t>'s approved IT policies, security standards, governance framework, and operational procedures.</w:t>
      </w:r>
    </w:p>
    <w:p w14:paraId="45334974" w14:textId="77777777" w:rsidR="00B66A6A" w:rsidRDefault="00B66A6A">
      <w:pPr>
        <w:pStyle w:val="Heading1"/>
        <w:rPr>
          <w:rFonts w:ascii="Segoe UI" w:eastAsia="Times New Roman" w:hAnsi="Segoe UI" w:cs="Segoe UI"/>
          <w:lang w:val="en"/>
        </w:rPr>
      </w:pPr>
      <w:bookmarkStart w:id="36" w:name="_Toc236138707"/>
      <w:r>
        <w:rPr>
          <w:rFonts w:ascii="Segoe UI" w:eastAsia="Times New Roman" w:hAnsi="Segoe UI" w:cs="Segoe UI"/>
          <w:lang w:val="en"/>
        </w:rPr>
        <w:lastRenderedPageBreak/>
        <w:t>18. Cybersecurity</w:t>
      </w:r>
      <w:bookmarkEnd w:id="36"/>
    </w:p>
    <w:p w14:paraId="5B95BAFC"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designed with cybersecurity as a foundational concern rather than an add-on, and its controls are developed with awareness of the OWASP Top 10. At the same time, we are deliberate about how we describe our security posture: the statements in this section describe how the platform is designed and configured, not a formal certification, and final acceptance of the security architecture remains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cybersecurity assessment.</w:t>
      </w:r>
    </w:p>
    <w:tbl>
      <w:tblPr>
        <w:tblW w:w="5000" w:type="pct"/>
        <w:tblCellMar>
          <w:top w:w="15" w:type="dxa"/>
          <w:left w:w="15" w:type="dxa"/>
          <w:bottom w:w="15" w:type="dxa"/>
          <w:right w:w="15" w:type="dxa"/>
        </w:tblCellMar>
        <w:tblLook w:val="04A0" w:firstRow="1" w:lastRow="0" w:firstColumn="1" w:lastColumn="0" w:noHBand="0" w:noVBand="1"/>
      </w:tblPr>
      <w:tblGrid>
        <w:gridCol w:w="1718"/>
        <w:gridCol w:w="7901"/>
      </w:tblGrid>
      <w:tr w:rsidR="00000000" w14:paraId="51FB518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3344AB"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Domain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DE15E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Controls</w:t>
            </w:r>
          </w:p>
        </w:tc>
      </w:tr>
      <w:tr w:rsidR="00000000" w14:paraId="5F47C11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747A1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Encryption &amp; transport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7DC05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HTTPS/TLS; encryption in transit; encryption at rest where applicable; backup encryption</w:t>
            </w:r>
          </w:p>
        </w:tc>
      </w:tr>
      <w:tr w:rsidR="00000000" w14:paraId="15B108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C744C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Identity &amp; access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A673B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(bcrypt) password hashing; role-based access control (RBAC); least-privilege access; strong password policy; multi-factor authentication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session management; token expiration; secure API authentication; user account deactivation; regular access reviews; role-validated host-only operations</w:t>
            </w:r>
          </w:p>
        </w:tc>
      </w:tr>
      <w:tr w:rsidR="00000000" w14:paraId="4D120BC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97170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Application security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5B713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rate limiting; input validation; output encoding; protection against common web vulnerabilities; secure development practices; developed with awareness of the OWASP Top 10; secure API configuration</w:t>
            </w:r>
          </w:p>
        </w:tc>
      </w:tr>
      <w:tr w:rsidR="00000000" w14:paraId="2A3BDB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5A231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Audit &amp; monitoring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FFF3E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 login logs; failed-login monitoring; data-access logging; monitoring &amp; alerting; log retention (audit and security logs retained for 12 months by default; see Section 19)</w:t>
            </w:r>
          </w:p>
        </w:tc>
      </w:tr>
      <w:tr w:rsidR="00000000" w14:paraId="4CAABD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52330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Data lifecycle &amp; resilience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7CED5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policy; backup retention; disaster recovery planning; business continuity planning; data retention rules; data deletion and export procedures — expanded in Section 19</w:t>
            </w:r>
          </w:p>
        </w:tc>
      </w:tr>
      <w:tr w:rsidR="00000000" w14:paraId="3948F3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30461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 Infrastructure &amp; operations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FD08D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environment configuration; firewall configuration; network segmentation (on-premises); row-level data isolation in PostgreSQL; database access restrictions; secrets management; environment-variable management; secure source-code repository; separated dev/test/prod environments</w:t>
            </w:r>
          </w:p>
        </w:tc>
      </w:tr>
      <w:tr w:rsidR="00000000" w14:paraId="4A7C1D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C394E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 Process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355EA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 management; incident response; security incident notification; data-breach escalation; secure release process; security patching; vulnerability assessment; penetration testing (</w:t>
            </w:r>
            <w:r>
              <w:rPr>
                <w:rStyle w:val="badge-opt1"/>
                <w:rFonts w:ascii="Segoe UI" w:eastAsia="Times New Roman" w:hAnsi="Segoe UI" w:cs="Segoe UI"/>
                <w:sz w:val="19"/>
                <w:szCs w:val="19"/>
              </w:rPr>
              <w:t>Optional service</w:t>
            </w:r>
            <w:r>
              <w:rPr>
                <w:rFonts w:ascii="Segoe UI" w:eastAsia="Times New Roman" w:hAnsi="Segoe UI" w:cs="Segoe UI"/>
                <w:color w:val="1F2933"/>
                <w:sz w:val="19"/>
                <w:szCs w:val="19"/>
              </w:rPr>
              <w:t>); client-approved security architecture</w:t>
            </w:r>
          </w:p>
        </w:tc>
      </w:tr>
    </w:tbl>
    <w:p w14:paraId="16756DC0"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These controls are designed to align with recognised good practice and with awareness of the OWASP Top 10 — not represented as certified or compliant. Final acceptance is confirmed through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security assessment (Phase 3, Section 23); the security architecture is only finalised once client-approved. Formal penetration testing is available as an </w:t>
      </w:r>
      <w:r>
        <w:rPr>
          <w:rStyle w:val="badge-opt1"/>
          <w:rFonts w:ascii="Segoe UI" w:hAnsi="Segoe UI" w:cs="Segoe UI"/>
          <w:sz w:val="21"/>
          <w:szCs w:val="21"/>
          <w:lang w:val="en"/>
        </w:rPr>
        <w:t>optional service</w:t>
      </w:r>
      <w:r>
        <w:rPr>
          <w:rFonts w:ascii="Segoe UI" w:hAnsi="Segoe UI" w:cs="Segoe UI"/>
          <w:color w:val="1F2933"/>
          <w:sz w:val="21"/>
          <w:szCs w:val="21"/>
          <w:lang w:val="en"/>
        </w:rPr>
        <w:t>, quoted separately (Section 31); it is not included in the base engagement.</w:t>
      </w:r>
    </w:p>
    <w:p w14:paraId="32002988" w14:textId="77777777" w:rsidR="00B66A6A" w:rsidRDefault="00B66A6A">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Compliance alignment.</w:t>
      </w:r>
      <w:r>
        <w:rPr>
          <w:rFonts w:ascii="Segoe UI" w:hAnsi="Segoe UI" w:cs="Segoe UI"/>
          <w:color w:val="1F2933"/>
          <w:sz w:val="21"/>
          <w:szCs w:val="21"/>
          <w:lang w:val="en"/>
        </w:rPr>
        <w:t xml:space="preserve"> The platform is designed to align with the Oman Personal Data Protection Law (Royal Decree 6/2022) and can be configured to support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information security requirements. Its </w:t>
      </w:r>
      <w:r>
        <w:rPr>
          <w:rFonts w:ascii="Segoe UI" w:hAnsi="Segoe UI" w:cs="Segoe UI"/>
          <w:color w:val="1F2933"/>
          <w:sz w:val="21"/>
          <w:szCs w:val="21"/>
          <w:lang w:val="en"/>
        </w:rPr>
        <w:lastRenderedPageBreak/>
        <w:t xml:space="preserve">controls are designed to align with ISO/IEC 27001 control themes, the OWASP Application Security Verification Standard (ASVS), and the NIST Cybersecurity Framework, where applicable. These statements describe design intent and configurability rather than certification or formal accreditation, and remain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security assessment (Section 23, Phase 3).</w:t>
      </w:r>
    </w:p>
    <w:p w14:paraId="4B460485" w14:textId="77777777" w:rsidR="00B66A6A" w:rsidRDefault="00B66A6A">
      <w:pPr>
        <w:pStyle w:val="Heading1"/>
        <w:rPr>
          <w:rFonts w:ascii="Segoe UI" w:eastAsia="Times New Roman" w:hAnsi="Segoe UI" w:cs="Segoe UI"/>
          <w:lang w:val="en"/>
        </w:rPr>
      </w:pPr>
      <w:bookmarkStart w:id="37" w:name="_Toc236138708"/>
      <w:r>
        <w:rPr>
          <w:rFonts w:ascii="Segoe UI" w:eastAsia="Times New Roman" w:hAnsi="Segoe UI" w:cs="Segoe UI"/>
          <w:lang w:val="en"/>
        </w:rPr>
        <w:t>19. Data Protection</w:t>
      </w:r>
      <w:bookmarkEnd w:id="37"/>
    </w:p>
    <w:p w14:paraId="58285268"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Data protection builds on the data lifecycle and resilience controls introduced in Section 18 (Domain 5), and describes, in more detail, how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is backed up, retained, deleted, and exported. Availability and data-durability commitments are not presented as absolutes; they are defined in the agreed SLA, and the platform is designed to align with sound backup, retention, and recovery practice within the parameters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796"/>
        <w:gridCol w:w="7823"/>
      </w:tblGrid>
      <w:tr w:rsidR="00000000" w14:paraId="4676B49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EE55CC"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Aspect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B5E29CE"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Approach</w:t>
            </w:r>
          </w:p>
        </w:tc>
      </w:tr>
      <w:tr w:rsidR="00000000" w14:paraId="647C56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FB5FF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9CA54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Operated under a defined backup policy; frequency, encryption, and retention arrangements are confirmed as part of the applicable deployment option (Section 17) and the commercial agreement</w:t>
            </w:r>
          </w:p>
        </w:tc>
      </w:tr>
      <w:tr w:rsidR="00000000" w14:paraId="5333AD6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FD12D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Retention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C8F38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Session results and participant records are retained for </w:t>
            </w:r>
            <w:r>
              <w:rPr>
                <w:rStyle w:val="Strong"/>
                <w:rFonts w:ascii="Segoe UI" w:eastAsia="Times New Roman" w:hAnsi="Segoe UI" w:cs="Segoe UI"/>
                <w:color w:val="1F2933"/>
                <w:sz w:val="19"/>
                <w:szCs w:val="19"/>
              </w:rPr>
              <w:t>24 months</w:t>
            </w:r>
            <w:r>
              <w:rPr>
                <w:rFonts w:ascii="Segoe UI" w:eastAsia="Times New Roman" w:hAnsi="Segoe UI" w:cs="Segoe UI"/>
                <w:color w:val="1F2933"/>
                <w:sz w:val="19"/>
                <w:szCs w:val="19"/>
              </w:rPr>
              <w:t xml:space="preserve">, and audit and security logs for </w:t>
            </w:r>
            <w:r>
              <w:rPr>
                <w:rStyle w:val="Strong"/>
                <w:rFonts w:ascii="Segoe UI" w:eastAsia="Times New Roman" w:hAnsi="Segoe UI" w:cs="Segoe UI"/>
                <w:color w:val="1F2933"/>
                <w:sz w:val="19"/>
                <w:szCs w:val="19"/>
              </w:rPr>
              <w:t>12 months</w:t>
            </w:r>
            <w:r>
              <w:rPr>
                <w:rFonts w:ascii="Segoe UI" w:eastAsia="Times New Roman" w:hAnsi="Segoe UI" w:cs="Segoe UI"/>
                <w:color w:val="1F2933"/>
                <w:sz w:val="19"/>
                <w:szCs w:val="19"/>
              </w:rPr>
              <w:t xml:space="preserve">, by default. Data retention policies are configurable according to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governance, regulatory, and business requirements, subject to confirmation during discovery</w:t>
            </w:r>
          </w:p>
        </w:tc>
      </w:tr>
      <w:tr w:rsidR="00000000" w14:paraId="6D91739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90321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DD945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Follows a defined procedure: soft-delete with archive is available at the content level (Section 11.5); permanent deletion procedures, including at contract termination, are defined in the commercial agreement</w:t>
            </w:r>
          </w:p>
        </w:tc>
      </w:tr>
      <w:tr w:rsidR="00000000" w14:paraId="5B2E92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0D9D2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5223A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Available on request, and provided as a standard step at contract termination, in an agreed format, so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 xml:space="preserve"> is not dependent on continued platform access to retain its own data</w:t>
            </w:r>
          </w:p>
        </w:tc>
      </w:tr>
      <w:tr w:rsidR="00000000" w14:paraId="0C48AC1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BC5DF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Disaster recovery &amp; business continuity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6CC18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Addressed as part of the deployment design and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requirements; specific recovery time/point objectives are confirmed during discovery and infrastructure assessment and depend on the deployment option selected</w:t>
            </w:r>
          </w:p>
        </w:tc>
      </w:tr>
    </w:tbl>
    <w:p w14:paraId="5AFDA3C0" w14:textId="77777777" w:rsidR="00B66A6A" w:rsidRDefault="00B66A6A">
      <w:pPr>
        <w:pStyle w:val="Heading1"/>
        <w:rPr>
          <w:rFonts w:ascii="Segoe UI" w:eastAsia="Times New Roman" w:hAnsi="Segoe UI" w:cs="Segoe UI"/>
          <w:lang w:val="en"/>
        </w:rPr>
      </w:pPr>
      <w:bookmarkStart w:id="38" w:name="_Toc236138709"/>
      <w:r>
        <w:rPr>
          <w:rFonts w:ascii="Segoe UI" w:eastAsia="Times New Roman" w:hAnsi="Segoe UI" w:cs="Segoe UI"/>
          <w:lang w:val="en"/>
        </w:rPr>
        <w:t>20. Data Ownership</w:t>
      </w:r>
      <w:bookmarkEnd w:id="38"/>
    </w:p>
    <w:p w14:paraId="4F7FD098"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Ownership of data and intellectual property is set out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understands exactly what it owns, what Altanfith owns, and how this is affected by the commercial model selected.</w:t>
      </w:r>
    </w:p>
    <w:p w14:paraId="75723ADF" w14:textId="77777777" w:rsidR="00B66A6A" w:rsidRDefault="00B66A6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 data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w:t>
      </w:r>
    </w:p>
    <w:p w14:paraId="3A496D2E" w14:textId="77777777" w:rsidR="00B66A6A" w:rsidRDefault="00B66A6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Altanfith claims no ownership of client operational data.</w:t>
      </w:r>
    </w:p>
    <w:p w14:paraId="2DEE5468" w14:textId="77777777" w:rsidR="00B66A6A" w:rsidRDefault="00B66A6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export is provided at contract termination, in an agreed format.</w:t>
      </w:r>
    </w:p>
    <w:p w14:paraId="2B28D354" w14:textId="77777777" w:rsidR="00B66A6A" w:rsidRDefault="00B66A6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Retention and deletion terms are defined in the commercial agreement.</w:t>
      </w:r>
    </w:p>
    <w:p w14:paraId="5840042C" w14:textId="77777777" w:rsidR="00B66A6A" w:rsidRDefault="00B66A6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For on-premises deployments, data may remain entirely within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's own enterprise infrastructure environment.</w:t>
      </w:r>
    </w:p>
    <w:p w14:paraId="2AECF0D7" w14:textId="77777777" w:rsidR="00B66A6A" w:rsidRDefault="00B66A6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Intellectual property ownership depends on the commercial model selected (see Section 31).</w:t>
      </w:r>
    </w:p>
    <w:p w14:paraId="5EE02E50" w14:textId="77777777" w:rsidR="00B66A6A" w:rsidRDefault="00B66A6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IP remains with Altanfith unless transferred by separate agreement.</w:t>
      </w:r>
    </w:p>
    <w:p w14:paraId="595D9478" w14:textId="77777777" w:rsidR="00B66A6A" w:rsidRDefault="00B66A6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Client-specific content — including questions, participant data, and reports —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76159E86" w14:textId="77777777" w:rsidR="00B66A6A" w:rsidRDefault="00B66A6A">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automatically included, and applies only where it is expressly stated in the commercial agreement.</w:t>
      </w:r>
    </w:p>
    <w:p w14:paraId="366F8034" w14:textId="77777777" w:rsidR="00B66A6A" w:rsidRDefault="00B66A6A">
      <w:pPr>
        <w:pStyle w:val="Heading1"/>
        <w:rPr>
          <w:rFonts w:ascii="Segoe UI" w:eastAsia="Times New Roman" w:hAnsi="Segoe UI" w:cs="Segoe UI"/>
          <w:lang w:val="en"/>
        </w:rPr>
      </w:pPr>
      <w:bookmarkStart w:id="39" w:name="_Toc236138710"/>
      <w:r>
        <w:rPr>
          <w:rFonts w:ascii="Segoe UI" w:eastAsia="Times New Roman" w:hAnsi="Segoe UI" w:cs="Segoe UI"/>
          <w:lang w:val="en"/>
        </w:rPr>
        <w:t>21. Integration Options</w:t>
      </w:r>
      <w:bookmarkEnd w:id="39"/>
    </w:p>
    <w:p w14:paraId="6E9618BD"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exposes REST APIs that support integration into </w:t>
      </w:r>
      <w:r>
        <w:rPr>
          <w:rStyle w:val="Strong"/>
          <w:rFonts w:ascii="Segoe UI" w:hAnsi="Segoe UI" w:cs="Segoe UI"/>
          <w:color w:val="1F2933"/>
          <w:sz w:val="21"/>
          <w:szCs w:val="21"/>
          <w:lang w:val="en"/>
        </w:rPr>
        <w:t>PDO</w:t>
      </w:r>
      <w:r>
        <w:rPr>
          <w:rFonts w:ascii="Segoe UI" w:hAnsi="Segoe UI" w:cs="Segoe UI"/>
          <w:color w:val="1F2933"/>
          <w:sz w:val="21"/>
          <w:szCs w:val="21"/>
          <w:lang w:val="en"/>
        </w:rPr>
        <w:t>'s existing systems. Integrations are delivered as scoped work under the Enterprise Custom Development Partnership commercial model (Model C, see Section 31), rather than assumed as part of the base platform, and their final scope is always subject to the availability and technical constraints of the relevant third-party API.</w:t>
      </w:r>
    </w:p>
    <w:tbl>
      <w:tblPr>
        <w:tblW w:w="5000" w:type="pct"/>
        <w:tblCellMar>
          <w:top w:w="15" w:type="dxa"/>
          <w:left w:w="15" w:type="dxa"/>
          <w:bottom w:w="15" w:type="dxa"/>
          <w:right w:w="15" w:type="dxa"/>
        </w:tblCellMar>
        <w:tblLook w:val="04A0" w:firstRow="1" w:lastRow="0" w:firstColumn="1" w:lastColumn="0" w:noHBand="0" w:noVBand="1"/>
      </w:tblPr>
      <w:tblGrid>
        <w:gridCol w:w="2851"/>
        <w:gridCol w:w="5750"/>
        <w:gridCol w:w="1018"/>
      </w:tblGrid>
      <w:tr w:rsidR="00000000" w14:paraId="0695C11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40004D"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Integration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584458"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42AA8D"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F9286A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1E198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Entra ID (Azure AD) single sign-on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C5248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 against the client's existing identity provider, with roles mapped to directory groups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1757DD"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37E4A4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45D9C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C0072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Directory-based authentication and role mapping for environments not yet migrated to 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DF1992"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F3F491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8A472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D8CCB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supporting session distribution or notification via 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32FDCC"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6D181E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E4946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1D4BF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exposing platform data for consumption in Power BI dashboards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F73C50"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3DF313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72827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04FF5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HR platform, for example for user or organisational-unit synchronisation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C508E5"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4F928A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506A0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 (LMS)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005CD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LMS for training-related workflows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F69D31"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2A815D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99964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REST APIs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27660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platform APIs supporting client-built integrations and data extraction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820FE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2659166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5995B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SCIM provisioning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D08BE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Automated user provisioning and de-provisioning from the client's identity platform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950121"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47CFB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BCFE8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CSV import/export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7C5E3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and export of users, questions, and results in CSV format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3795D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3AFF7F7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B6264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client systems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E79EF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Any additional client system identified during discovery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C9C7B7"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76CAA73D" w14:textId="77777777" w:rsidR="00B66A6A" w:rsidRDefault="00B66A6A">
      <w:pPr>
        <w:pStyle w:val="muted"/>
        <w:spacing w:before="120" w:beforeAutospacing="0" w:after="120" w:afterAutospacing="0"/>
        <w:rPr>
          <w:rFonts w:ascii="Segoe UI" w:hAnsi="Segoe UI" w:cs="Segoe UI"/>
          <w:lang w:val="en"/>
        </w:rPr>
      </w:pPr>
      <w:r>
        <w:rPr>
          <w:rFonts w:ascii="Segoe UI" w:hAnsi="Segoe UI" w:cs="Segoe UI"/>
          <w:lang w:val="en"/>
        </w:rPr>
        <w:t>Except for the platform's documented REST APIs and CSV import/export, which are standard platform capabilities, the integrations listed above are optional and subject to the availability, documentation, and technical constraints of the relevant third-party API; final integration scope is confirmed during discovery (see Section 23, Phase 1) and delivered under Phase 8 (Integration Development) of the implementation methodology. Integrations are implemented according to the client's environment and the availa</w:t>
      </w:r>
      <w:r>
        <w:rPr>
          <w:rFonts w:ascii="Segoe UI" w:hAnsi="Segoe UI" w:cs="Segoe UI"/>
          <w:lang w:val="en"/>
        </w:rPr>
        <w:t>bility of the relevant APIs.</w:t>
      </w:r>
    </w:p>
    <w:p w14:paraId="577EBE47" w14:textId="77777777" w:rsidR="00B66A6A" w:rsidRDefault="00B66A6A">
      <w:pPr>
        <w:pStyle w:val="Heading1"/>
        <w:rPr>
          <w:rFonts w:ascii="Segoe UI" w:eastAsia="Times New Roman" w:hAnsi="Segoe UI" w:cs="Segoe UI"/>
          <w:lang w:val="en"/>
        </w:rPr>
      </w:pPr>
      <w:bookmarkStart w:id="40" w:name="_Toc236138711"/>
      <w:r>
        <w:rPr>
          <w:rFonts w:ascii="Segoe UI" w:eastAsia="Times New Roman" w:hAnsi="Segoe UI" w:cs="Segoe UI"/>
          <w:lang w:val="en"/>
        </w:rPr>
        <w:t>22. Performance and Scalability</w:t>
      </w:r>
      <w:bookmarkEnd w:id="40"/>
    </w:p>
    <w:p w14:paraId="34569205"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Performance and scalability claims for the Live Quiz Platform are grounded in what has actually been observed, rather than presented as an unqualified guarantee.</w:t>
      </w:r>
    </w:p>
    <w:p w14:paraId="782C96B1"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In real production use at Abraj Energy Services (Section 10), the platform supports live organisational sessions. It has additionally been validated through internal load testing for </w:t>
      </w:r>
      <w:r>
        <w:rPr>
          <w:rStyle w:val="Strong"/>
          <w:rFonts w:ascii="Segoe UI" w:hAnsi="Segoe UI" w:cs="Segoe UI"/>
          <w:color w:val="1F2933"/>
          <w:sz w:val="21"/>
          <w:szCs w:val="21"/>
          <w:lang w:val="en"/>
        </w:rPr>
        <w:t>400+ concurrent participants per live session</w:t>
      </w:r>
      <w:r>
        <w:rPr>
          <w:rFonts w:ascii="Segoe UI" w:hAnsi="Segoe UI" w:cs="Segoe UI"/>
          <w:color w:val="1F2933"/>
          <w:sz w:val="21"/>
          <w:szCs w:val="21"/>
          <w:lang w:val="en"/>
        </w:rPr>
        <w:t xml:space="preserve"> against the production configuration, giving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a tested reference point beyond day-to-day operational use. Higher capacities can be supported following infrastructure sizing, deployment optimisation, and dedicated performance testing.</w:t>
      </w:r>
    </w:p>
    <w:p w14:paraId="619DEC13"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Beyond these two reference points, the following considerations apply to any deployment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p w14:paraId="027684C6" w14:textId="77777777" w:rsidR="00B66A6A" w:rsidRDefault="00B66A6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Final concurrency targets are confirmed during discovery, against the validated baseline of </w:t>
      </w:r>
      <w:r>
        <w:rPr>
          <w:rStyle w:val="Strong"/>
          <w:rFonts w:ascii="Segoe UI" w:eastAsia="Times New Roman" w:hAnsi="Segoe UI" w:cs="Segoe UI"/>
          <w:color w:val="1F2933"/>
          <w:sz w:val="21"/>
          <w:szCs w:val="21"/>
          <w:lang w:val="en"/>
        </w:rPr>
        <w:t>400+ concurrent participants per live session</w:t>
      </w:r>
      <w:r>
        <w:rPr>
          <w:rFonts w:ascii="Segoe UI" w:eastAsia="Times New Roman" w:hAnsi="Segoe UI" w:cs="Segoe UI"/>
          <w:color w:val="1F2933"/>
          <w:sz w:val="21"/>
          <w:szCs w:val="21"/>
          <w:lang w:val="en"/>
        </w:rPr>
        <w:t>.</w:t>
      </w:r>
    </w:p>
    <w:p w14:paraId="17D05AAD" w14:textId="77777777" w:rsidR="00B66A6A" w:rsidRDefault="00B66A6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Load testing is recommended ahead of any enterprise deployment with a large expected audience.</w:t>
      </w:r>
    </w:p>
    <w:p w14:paraId="2F3361EA" w14:textId="77777777" w:rsidR="00B66A6A" w:rsidRDefault="00B66A6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Cloud scaling and infrastructure sizing are based on the expected usage profile agreed with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614007ED" w14:textId="77777777" w:rsidR="00B66A6A" w:rsidRDefault="00B66A6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For on-premises deployments, real-time performance depends on the client's own infrastructure and network configuration.</w:t>
      </w:r>
    </w:p>
    <w:p w14:paraId="707CF898" w14:textId="77777777" w:rsidR="00B66A6A" w:rsidRDefault="00B66A6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Real-time functionality requires proper network and server configuration to perform as designed.</w:t>
      </w:r>
    </w:p>
    <w:p w14:paraId="0559D5D6" w14:textId="77777777" w:rsidR="00B66A6A" w:rsidRDefault="00B66A6A">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Performance monitoring may be included as part of the applicable support and maintenance package (see Section 29).</w:t>
      </w:r>
    </w:p>
    <w:p w14:paraId="626D1488"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Scaling beyond the levels referenced above is planned and validated against concurrency targets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 rather than presented as an open-ended capability. Performance at higher concurrency levels than those referenced above should be validated through load testing scoped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requirements before a large-scale go-live.</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C8A7F5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B9A28A" w14:textId="77777777" w:rsidR="00B66A6A" w:rsidRDefault="00B66A6A">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FOUR</w:t>
            </w:r>
          </w:p>
          <w:p w14:paraId="259D48A6" w14:textId="77777777" w:rsidR="00B66A6A" w:rsidRDefault="00B66A6A">
            <w:pPr>
              <w:pStyle w:val="NormalWeb"/>
              <w:rPr>
                <w:rFonts w:ascii="Segoe UI" w:hAnsi="Segoe UI" w:cs="Segoe UI"/>
                <w:b/>
                <w:bCs/>
                <w:color w:val="FFFFFF"/>
                <w:sz w:val="44"/>
                <w:szCs w:val="44"/>
              </w:rPr>
            </w:pPr>
            <w:r>
              <w:rPr>
                <w:rFonts w:ascii="Segoe UI" w:hAnsi="Segoe UI" w:cs="Segoe UI"/>
                <w:b/>
                <w:bCs/>
                <w:color w:val="FFFFFF"/>
                <w:sz w:val="44"/>
                <w:szCs w:val="44"/>
              </w:rPr>
              <w:t>Delivery</w:t>
            </w:r>
          </w:p>
          <w:p w14:paraId="1DF8CAD8" w14:textId="77777777" w:rsidR="00B66A6A" w:rsidRDefault="00B66A6A">
            <w:pPr>
              <w:pStyle w:val="NormalWeb"/>
              <w:rPr>
                <w:rFonts w:ascii="Segoe UI" w:hAnsi="Segoe UI" w:cs="Segoe UI"/>
                <w:color w:val="1F2933"/>
              </w:rPr>
            </w:pPr>
            <w:r>
              <w:rPr>
                <w:rFonts w:ascii="Segoe UI" w:hAnsi="Segoe UI" w:cs="Segoe UI"/>
                <w:color w:val="1F2933"/>
              </w:rPr>
              <w:t>How Altanfith plans, governs, and delivers the engagement</w:t>
            </w:r>
          </w:p>
        </w:tc>
      </w:tr>
    </w:tbl>
    <w:p w14:paraId="1843C8EE" w14:textId="77777777" w:rsidR="00B66A6A" w:rsidRDefault="00B66A6A">
      <w:pPr>
        <w:pStyle w:val="Heading1"/>
        <w:pageBreakBefore/>
        <w:rPr>
          <w:rFonts w:ascii="Segoe UI" w:eastAsia="Times New Roman" w:hAnsi="Segoe UI" w:cs="Segoe UI"/>
          <w:lang w:val="en"/>
        </w:rPr>
      </w:pPr>
      <w:bookmarkStart w:id="41" w:name="_Toc236138712"/>
      <w:r>
        <w:rPr>
          <w:rFonts w:ascii="Segoe UI" w:eastAsia="Times New Roman" w:hAnsi="Segoe UI" w:cs="Segoe UI"/>
          <w:lang w:val="en"/>
        </w:rPr>
        <w:lastRenderedPageBreak/>
        <w:t>23. Implementation Methodology</w:t>
      </w:r>
      <w:bookmarkEnd w:id="41"/>
    </w:p>
    <w:p w14:paraId="7B801F69"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delivers the Live Quiz Platform through a structured, 17-phase methodology, designed to take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from initial requirements through to a supported, live production system with clear exit criteria at each stage.</w:t>
      </w:r>
    </w:p>
    <w:p w14:paraId="7D41EDE3"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Before implementation begins, </w:t>
      </w:r>
      <w:r>
        <w:rPr>
          <w:rStyle w:val="Strong"/>
          <w:rFonts w:ascii="Segoe UI" w:hAnsi="Segoe UI" w:cs="Segoe UI"/>
          <w:color w:val="1F2933"/>
          <w:sz w:val="21"/>
          <w:szCs w:val="21"/>
          <w:lang w:val="en"/>
        </w:rPr>
        <w:t>Altanfith</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jointly validate the foundations on which delivery depends: infrastructure readiness, security controls, integration architecture, network connectivity, identity management, compliance obligations, data governance, performance expectations, and operational acceptance criteria. This validation is carried out through the Discovery, Technical Assessment, and Cybersecurity Review phases (Phases 1–3) and is reflected in their exit criteria, so that implementation proceeds on jointly confirmed facts rather than a</w:t>
      </w:r>
      <w:r>
        <w:rPr>
          <w:rFonts w:ascii="Segoe UI" w:hAnsi="Segoe UI" w:cs="Segoe UI"/>
          <w:color w:val="1F2933"/>
          <w:sz w:val="21"/>
          <w:szCs w:val="21"/>
          <w:lang w:val="en"/>
        </w:rPr>
        <w:t>ssumptions.</w:t>
      </w:r>
    </w:p>
    <w:tbl>
      <w:tblPr>
        <w:tblW w:w="5000" w:type="pct"/>
        <w:tblCellMar>
          <w:top w:w="15" w:type="dxa"/>
          <w:left w:w="15" w:type="dxa"/>
          <w:bottom w:w="15" w:type="dxa"/>
          <w:right w:w="15" w:type="dxa"/>
        </w:tblCellMar>
        <w:tblLook w:val="04A0" w:firstRow="1" w:lastRow="0" w:firstColumn="1" w:lastColumn="0" w:noHBand="0" w:noVBand="1"/>
      </w:tblPr>
      <w:tblGrid>
        <w:gridCol w:w="2343"/>
        <w:gridCol w:w="4788"/>
        <w:gridCol w:w="2488"/>
      </w:tblGrid>
      <w:tr w:rsidR="00000000" w14:paraId="4D0D9AA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50094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811E0B"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 &amp; Key Activities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6A74BF"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Exit Criteria</w:t>
            </w:r>
          </w:p>
        </w:tc>
      </w:tr>
      <w:tr w:rsidR="00000000" w14:paraId="559766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F3D024"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Discovery &amp; Requirements Gathering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84C12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workshops and stakeholder interviews establish functional, branding, and organisational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F1F6D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and agreed requirements</w:t>
            </w:r>
          </w:p>
        </w:tc>
      </w:tr>
      <w:tr w:rsidR="00000000" w14:paraId="531710C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4438E2"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Technical Assessment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46FDA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the client's enterprise infrastructure, network, and hosting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7E01C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Assessment report; confirmed deployment option</w:t>
            </w:r>
          </w:p>
        </w:tc>
      </w:tr>
      <w:tr w:rsidR="00000000" w14:paraId="442541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EB61D5"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3. Cybersecurity Review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15036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Engages the client's security team on the proposed architecture and controls (Section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30EDF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Client-approved security architecture</w:t>
            </w:r>
          </w:p>
        </w:tc>
      </w:tr>
      <w:tr w:rsidR="00000000" w14:paraId="2C5370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44C9AD"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Solution Design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F9F01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Translates requirements into a detailed solution design, incl. configuration, branding, and custom/integration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7CF1C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Approved solution design document</w:t>
            </w:r>
          </w:p>
        </w:tc>
      </w:tr>
      <w:tr w:rsidR="00000000" w14:paraId="6A8BB7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1FF896"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UI &amp; Branding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9046B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Applies the client's logo, colour palette, themes, and UI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F5CB7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Branded environment reviewed by client</w:t>
            </w:r>
          </w:p>
        </w:tc>
      </w:tr>
      <w:tr w:rsidR="00000000" w14:paraId="106ADF0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0B7B7A"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6.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8C9FD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Configures organisations, departments, user roles, and platform settings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DD78A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environment ready for build/test</w:t>
            </w:r>
          </w:p>
        </w:tc>
      </w:tr>
      <w:tr w:rsidR="00000000" w14:paraId="4A7EBF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FA33FA"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7. Custom Development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A8FF6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agreed custom features, workflows, or 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59BB9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complete and reviewed</w:t>
            </w:r>
          </w:p>
        </w:tc>
      </w:tr>
      <w:tr w:rsidR="00000000" w14:paraId="32B83C4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84EF41"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8. Integration Development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DB907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and configures agreed integrations (Section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41146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functioning against client systems</w:t>
            </w:r>
          </w:p>
        </w:tc>
      </w:tr>
      <w:tr w:rsidR="00000000" w14:paraId="45E7C1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EC9A73"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9. Internal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EE0BE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Functional and regression testing across the configured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4AE2B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results reviewed; defects triaged</w:t>
            </w:r>
          </w:p>
        </w:tc>
      </w:tr>
      <w:tr w:rsidR="00000000" w14:paraId="4B97C6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018D1D"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10. Security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8F769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Security-focused testing against the Section 18 controls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C6402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Testing complete; remediation applied</w:t>
            </w:r>
          </w:p>
        </w:tc>
      </w:tr>
      <w:tr w:rsidR="00000000" w14:paraId="011B1BC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B452E5"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11. User Acceptance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DCC96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tests the platform against agreed acceptance criteria (Section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2810D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 (Milestone M5)</w:t>
            </w:r>
          </w:p>
        </w:tc>
      </w:tr>
      <w:tr w:rsidR="00000000" w14:paraId="3E31D8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05EEC0"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12. Data Migration (if required)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A4F17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Migrates agreed legacy data into the platform, where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D09D5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Migrated data validated against source</w:t>
            </w:r>
          </w:p>
        </w:tc>
      </w:tr>
      <w:tr w:rsidR="00000000" w14:paraId="07DEBC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41AC1A"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13. 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74124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Deploys the platform to the production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EED7F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Production environment live and verified</w:t>
            </w:r>
          </w:p>
        </w:tc>
      </w:tr>
      <w:tr w:rsidR="00000000" w14:paraId="51EE8DE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DF0D1E"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14.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06E57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quiz-creator, and support-team training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9D7DC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completed; materials handed over</w:t>
            </w:r>
          </w:p>
        </w:tc>
      </w:tr>
      <w:tr w:rsidR="00000000" w14:paraId="5F36B8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C61475"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15. Go-Live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0BA1E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goes live for production use, following successful 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4FB74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 completed (Milestone M6)</w:t>
            </w:r>
          </w:p>
        </w:tc>
      </w:tr>
      <w:tr w:rsidR="00000000" w14:paraId="65A61E2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4DBF81"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16. 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B8A18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Heightened, close-support monitoring immediately following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18FCC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completed; no unresolved critical issues</w:t>
            </w:r>
          </w:p>
        </w:tc>
      </w:tr>
      <w:tr w:rsidR="00000000" w14:paraId="46D9E3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DECEE7"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17. Transition to Support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B4318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Hands the platform from the project team to ongoing support (Section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DC2DE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 complete (Milestone M7)</w:t>
            </w:r>
          </w:p>
        </w:tc>
      </w:tr>
    </w:tbl>
    <w:p w14:paraId="2FF913D1" w14:textId="77777777" w:rsidR="00B66A6A" w:rsidRDefault="00B66A6A">
      <w:pPr>
        <w:pStyle w:val="Heading1"/>
        <w:rPr>
          <w:rFonts w:ascii="Segoe UI" w:eastAsia="Times New Roman" w:hAnsi="Segoe UI" w:cs="Segoe UI"/>
          <w:lang w:val="en"/>
        </w:rPr>
      </w:pPr>
      <w:bookmarkStart w:id="42" w:name="_Toc236138713"/>
      <w:r>
        <w:rPr>
          <w:rFonts w:ascii="Segoe UI" w:eastAsia="Times New Roman" w:hAnsi="Segoe UI" w:cs="Segoe UI"/>
          <w:lang w:val="en"/>
        </w:rPr>
        <w:t>24. Project Timeline</w:t>
      </w:r>
      <w:bookmarkEnd w:id="42"/>
    </w:p>
    <w:p w14:paraId="017A17DD"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presents a sample timeline of 6–12 weeks, mapped against the phases described in Section 23.</w:t>
      </w:r>
    </w:p>
    <w:tbl>
      <w:tblPr>
        <w:tblW w:w="5000" w:type="pct"/>
        <w:tblCellMar>
          <w:top w:w="15" w:type="dxa"/>
          <w:left w:w="15" w:type="dxa"/>
          <w:bottom w:w="15" w:type="dxa"/>
          <w:right w:w="15" w:type="dxa"/>
        </w:tblCellMar>
        <w:tblLook w:val="04A0" w:firstRow="1" w:lastRow="0" w:firstColumn="1" w:lastColumn="0" w:noHBand="0" w:noVBand="1"/>
      </w:tblPr>
      <w:tblGrid>
        <w:gridCol w:w="1105"/>
        <w:gridCol w:w="8514"/>
      </w:tblGrid>
      <w:tr w:rsidR="00000000" w14:paraId="440A12A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F23215"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Weeks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781D55"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Phases</w:t>
            </w:r>
          </w:p>
        </w:tc>
      </w:tr>
      <w:tr w:rsidR="00000000" w14:paraId="19F116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7B7E0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9E535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&amp; Requirements Gathering; Technical Assessment; Cybersecurity Review</w:t>
            </w:r>
          </w:p>
        </w:tc>
      </w:tr>
      <w:tr w:rsidR="00000000" w14:paraId="7D1306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08D9B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94F8A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UI &amp; Branding Customisation</w:t>
            </w:r>
          </w:p>
        </w:tc>
      </w:tr>
      <w:tr w:rsidR="00000000" w14:paraId="296DD6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E706E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W3–7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FFC67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Configuration; Custom Development; Integration Development</w:t>
            </w:r>
          </w:p>
        </w:tc>
      </w:tr>
      <w:tr w:rsidR="00000000" w14:paraId="7AF420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CC4A0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40832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Testing; Security Testing; User Acceptance Testing</w:t>
            </w:r>
          </w:p>
        </w:tc>
      </w:tr>
      <w:tr w:rsidR="00000000" w14:paraId="72E00BB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9CE8B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98A43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Training</w:t>
            </w:r>
          </w:p>
        </w:tc>
      </w:tr>
      <w:tr w:rsidR="00000000" w14:paraId="474A21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2DB45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6C06B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r>
      <w:tr w:rsidR="00000000" w14:paraId="6DE2A1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006DD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8301A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Transition to Support</w:t>
            </w:r>
          </w:p>
        </w:tc>
      </w:tr>
    </w:tbl>
    <w:p w14:paraId="2A6C1962" w14:textId="77777777" w:rsidR="00B66A6A" w:rsidRDefault="00B66A6A">
      <w:pPr>
        <w:pStyle w:val="Heading2"/>
        <w:rPr>
          <w:rFonts w:ascii="Segoe UI" w:eastAsia="Times New Roman" w:hAnsi="Segoe UI" w:cs="Segoe UI"/>
          <w:lang w:val="en"/>
        </w:rPr>
      </w:pPr>
      <w:bookmarkStart w:id="43" w:name="_Toc236138714"/>
      <w:r>
        <w:rPr>
          <w:rFonts w:ascii="Segoe UI" w:eastAsia="Times New Roman" w:hAnsi="Segoe UI" w:cs="Segoe UI"/>
          <w:lang w:val="en"/>
        </w:rPr>
        <w:t>24.1 Milestones</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1125"/>
        <w:gridCol w:w="3063"/>
        <w:gridCol w:w="1932"/>
        <w:gridCol w:w="3499"/>
      </w:tblGrid>
      <w:tr w:rsidR="00000000" w14:paraId="52847CE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16954D"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Milestone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6A7680"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50E9F0"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Indicative Completion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2B6312"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Sign-off by</w:t>
            </w:r>
          </w:p>
        </w:tc>
      </w:tr>
      <w:tr w:rsidR="00000000" w14:paraId="2D1857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B9BD0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95BE7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B7A30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F73E2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2B0A5A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EF1F7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95CBF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approval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BF09D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E8622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1C2AED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2F221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3B77E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&amp; branded environment ready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732DC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AF53B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r>
      <w:tr w:rsidR="00000000" w14:paraId="302980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DD31A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C5C4D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complete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1DD77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DF6B7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Technical Lead</w:t>
            </w:r>
          </w:p>
        </w:tc>
      </w:tr>
      <w:tr w:rsidR="00000000" w14:paraId="127B7D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358B6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318A4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93289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896F3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777F7A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7A067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56BE6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D4221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2D3CB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w:t>
            </w:r>
          </w:p>
        </w:tc>
      </w:tr>
      <w:tr w:rsidR="00000000" w14:paraId="72EBC3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78F27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FAF21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exit / 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25FFA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CD4C1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 &amp; Altanfith Project Manager</w:t>
            </w:r>
          </w:p>
        </w:tc>
      </w:tr>
    </w:tbl>
    <w:p w14:paraId="59BBB0DA" w14:textId="77777777" w:rsidR="00B66A6A" w:rsidRDefault="00B66A6A">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This timeline is indicative only. The actual project timeline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depends on the final agreed scope, the number and complexity of integrations, and the timeliness of client approvals at each milestone.</w:t>
      </w:r>
    </w:p>
    <w:p w14:paraId="107C872C" w14:textId="77777777" w:rsidR="00B66A6A" w:rsidRDefault="00B66A6A">
      <w:pPr>
        <w:pStyle w:val="Heading1"/>
        <w:rPr>
          <w:rFonts w:ascii="Segoe UI" w:eastAsia="Times New Roman" w:hAnsi="Segoe UI" w:cs="Segoe UI"/>
          <w:lang w:val="en"/>
        </w:rPr>
      </w:pPr>
      <w:bookmarkStart w:id="44" w:name="_Toc236138715"/>
      <w:r>
        <w:rPr>
          <w:rFonts w:ascii="Segoe UI" w:eastAsia="Times New Roman" w:hAnsi="Segoe UI" w:cs="Segoe UI"/>
          <w:lang w:val="en"/>
        </w:rPr>
        <w:t>25. Project Governance</w:t>
      </w:r>
      <w:bookmarkEnd w:id="44"/>
    </w:p>
    <w:p w14:paraId="145A4CA6"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engagement is governed through a clearly defined set of roles and a regular reporting cadence, so that progress, issues, and decisions are visible to both parties throughout delivery.</w:t>
      </w:r>
    </w:p>
    <w:tbl>
      <w:tblPr>
        <w:tblW w:w="5000" w:type="pct"/>
        <w:tblCellMar>
          <w:top w:w="15" w:type="dxa"/>
          <w:left w:w="15" w:type="dxa"/>
          <w:bottom w:w="15" w:type="dxa"/>
          <w:right w:w="15" w:type="dxa"/>
        </w:tblCellMar>
        <w:tblLook w:val="04A0" w:firstRow="1" w:lastRow="0" w:firstColumn="1" w:lastColumn="0" w:noHBand="0" w:noVBand="1"/>
      </w:tblPr>
      <w:tblGrid>
        <w:gridCol w:w="3026"/>
        <w:gridCol w:w="6593"/>
      </w:tblGrid>
      <w:tr w:rsidR="00000000" w14:paraId="6AB2115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3B2F7B"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995DD8"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Responsibility</w:t>
            </w:r>
          </w:p>
        </w:tc>
      </w:tr>
      <w:tr w:rsidR="00000000" w14:paraId="0695058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5029B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5C6B8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the business case and provides executive-level decisions and escalation support</w:t>
            </w:r>
          </w:p>
        </w:tc>
      </w:tr>
      <w:tr w:rsidR="00000000" w14:paraId="3DA8FA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02322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4B1D1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client-side stakeholders, approvals, and resourcing</w:t>
            </w:r>
          </w:p>
        </w:tc>
      </w:tr>
      <w:tr w:rsidR="00000000" w14:paraId="1231CD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8C376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3757D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delivery, reporting, and issue/risk management on behalf of Altanfith</w:t>
            </w:r>
          </w:p>
        </w:tc>
      </w:tr>
      <w:tr w:rsidR="00000000" w14:paraId="122ED5C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B8388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Technical Lead (Altanfith)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5E6AA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technical design, development, and integration decisions</w:t>
            </w:r>
          </w:p>
        </w:tc>
      </w:tr>
      <w:tr w:rsidR="00000000" w14:paraId="07AA8F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CADFF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Representative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000AC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and approves the security architecture and controls</w:t>
            </w:r>
          </w:p>
        </w:tc>
      </w:tr>
      <w:tr w:rsidR="00000000" w14:paraId="5A98B4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62EE5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Owner (client)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5E957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Confirms functional requirements and acceptance criteria on behalf of the business</w:t>
            </w:r>
          </w:p>
        </w:tc>
      </w:tr>
    </w:tbl>
    <w:p w14:paraId="2F5143CE"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Governance is supported by a consistent set of cadence and mechanics: weekly status meetings; regular progress reporting; a maintained issue log and risk log; a formal change-request management process for scope changes; an escalation process running from project manager to project sponsors; and a documented sign-off process at each milestone described in Section 24.</w:t>
      </w:r>
    </w:p>
    <w:p w14:paraId="5BA2FD3E" w14:textId="77777777" w:rsidR="00B66A6A" w:rsidRDefault="00B66A6A">
      <w:pPr>
        <w:pStyle w:val="Heading1"/>
        <w:rPr>
          <w:rFonts w:ascii="Segoe UI" w:eastAsia="Times New Roman" w:hAnsi="Segoe UI" w:cs="Segoe UI"/>
          <w:lang w:val="en"/>
        </w:rPr>
      </w:pPr>
      <w:bookmarkStart w:id="45" w:name="_Toc236138716"/>
      <w:r>
        <w:rPr>
          <w:rFonts w:ascii="Segoe UI" w:eastAsia="Times New Roman" w:hAnsi="Segoe UI" w:cs="Segoe UI"/>
          <w:lang w:val="en"/>
        </w:rPr>
        <w:t>26. Deliverables</w:t>
      </w:r>
      <w:bookmarkEnd w:id="45"/>
    </w:p>
    <w:p w14:paraId="16DA1156"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lists the deliverables produced over the course of the engagement.</w:t>
      </w:r>
    </w:p>
    <w:tbl>
      <w:tblPr>
        <w:tblW w:w="5000" w:type="pct"/>
        <w:tblCellMar>
          <w:top w:w="15" w:type="dxa"/>
          <w:left w:w="15" w:type="dxa"/>
          <w:bottom w:w="15" w:type="dxa"/>
          <w:right w:w="15" w:type="dxa"/>
        </w:tblCellMar>
        <w:tblLook w:val="04A0" w:firstRow="1" w:lastRow="0" w:firstColumn="1" w:lastColumn="0" w:noHBand="0" w:noVBand="1"/>
      </w:tblPr>
      <w:tblGrid>
        <w:gridCol w:w="2186"/>
        <w:gridCol w:w="4719"/>
        <w:gridCol w:w="2714"/>
      </w:tblGrid>
      <w:tr w:rsidR="00000000" w14:paraId="7526392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D7D39A"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Deliverable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DDA01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53C12A"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Included?</w:t>
            </w:r>
          </w:p>
        </w:tc>
      </w:tr>
      <w:tr w:rsidR="00000000" w14:paraId="2A4AA11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6C7A2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96AE9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agreed functional and non-functional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B4A5D5"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C765C5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12B87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3C51A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Detailed design of the configured and/or customised solution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163184"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BE97AA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C2133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68A82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configured per the agreed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07EBAF"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24FE7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134FF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Customised UI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EF241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and UI customisation applied per Section 23, Phase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47BDFA"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929E6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7D78D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Deployed 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91E59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React frontend deployed to the agreed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2193A4"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960BB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89FEB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Express 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FE14F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Express.js API and WebSocket server deployed to the agreed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780B92"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40E55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127B0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setup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075CB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configured and provisioned per the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7BCA58"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F0A867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007BC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98D38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controls configured per the client-approved security architecture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F7231B"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ACBF7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D5844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roles configured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3FA99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configured per the agreed role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593ED3"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C2FA4A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CF866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account setup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6306B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Initial administrator accounts provisioned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064FC9"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B2131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CCF50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E0334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and analytics configured per Section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1B232C"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7D6CD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7B291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E330A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Materials used in the training described in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CDD7A6"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184654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968B4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6B071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End-user reference documentation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FB58A5"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FDA59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2DCBC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manual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F0591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reference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972E5D"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506B5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9C512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E1AFA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the deployed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1CE193"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9B049E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7DD95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guide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07470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backup procedures for the deployed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3BC2E3"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4F2418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1092D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DE0D1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handover to the ongoing support team (Phase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A9BE31"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FE5C44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C8CF2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plan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C0EA3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Agreed User Acceptance Testing plan and criteria (Section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E5CC91"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D3C9F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A8677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96CBA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of internal, security, and acceptance testing outcomes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0F83B5"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41F22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CE4E8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Go-live checklist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A6ADE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Checklist confirming readiness for production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6AB7EE" w14:textId="77777777" w:rsidR="00B66A6A" w:rsidRDefault="00B66A6A">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54D62F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6AC2B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 code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BCA67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only where included in the selected commercial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4B281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Only if included in the commercial model</w:t>
            </w:r>
          </w:p>
        </w:tc>
      </w:tr>
      <w:tr w:rsidR="00000000" w14:paraId="05277B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DAF73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4C115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where included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420E3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If included</w:t>
            </w:r>
          </w:p>
        </w:tc>
      </w:tr>
    </w:tbl>
    <w:p w14:paraId="56A81788" w14:textId="77777777" w:rsidR="00B66A6A" w:rsidRDefault="00B66A6A">
      <w:pPr>
        <w:pStyle w:val="Heading1"/>
        <w:rPr>
          <w:rFonts w:ascii="Segoe UI" w:eastAsia="Times New Roman" w:hAnsi="Segoe UI" w:cs="Segoe UI"/>
          <w:lang w:val="en"/>
        </w:rPr>
      </w:pPr>
      <w:bookmarkStart w:id="46" w:name="_Toc236138717"/>
      <w:r>
        <w:rPr>
          <w:rFonts w:ascii="Segoe UI" w:eastAsia="Times New Roman" w:hAnsi="Segoe UI" w:cs="Segoe UI"/>
          <w:lang w:val="en"/>
        </w:rPr>
        <w:t>27. Training and Knowledge Transfer</w:t>
      </w:r>
      <w:bookmarkEnd w:id="46"/>
    </w:p>
    <w:p w14:paraId="099BA1A3"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Training is provided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team can operate, administer, and support the platform confidently after go-live.</w:t>
      </w:r>
    </w:p>
    <w:tbl>
      <w:tblPr>
        <w:tblW w:w="5000" w:type="pct"/>
        <w:tblCellMar>
          <w:top w:w="15" w:type="dxa"/>
          <w:left w:w="15" w:type="dxa"/>
          <w:bottom w:w="15" w:type="dxa"/>
          <w:right w:w="15" w:type="dxa"/>
        </w:tblCellMar>
        <w:tblLook w:val="04A0" w:firstRow="1" w:lastRow="0" w:firstColumn="1" w:lastColumn="0" w:noHBand="0" w:noVBand="1"/>
      </w:tblPr>
      <w:tblGrid>
        <w:gridCol w:w="2984"/>
        <w:gridCol w:w="5617"/>
        <w:gridCol w:w="1018"/>
      </w:tblGrid>
      <w:tr w:rsidR="00000000" w14:paraId="50AD313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94ACE7"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Training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B9E6B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D501A6"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13B8DB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460B1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24FBE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administrators on platform configuration and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DF9DE2"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EDF3C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C281C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Quiz-creator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F9707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staff authoring quizzes and question banks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5CF992"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A2048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227D8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Support-team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37A15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the client's internal support or IT team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35E1B1"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9731C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76F5D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C27B7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Reference documentation for end users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078B2E"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CF8A7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13B53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Quick-start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1ABC0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Condensed getting-started reference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ABCD88" w14:textId="77777777" w:rsidR="00B66A6A" w:rsidRDefault="00B66A6A">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82C42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2B956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0FF92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 sessions for later reference or onboarding new staff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D5E12E"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F2EBA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ED053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Train-the-trainer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EE070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Enables client-side trainers to deliver ongoing internal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916DD0"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0D4E1E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B8768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and English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A85D9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Bilingual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1AE19C" w14:textId="77777777" w:rsidR="00B66A6A" w:rsidRDefault="00B66A6A">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08F9AAC2" w14:textId="77777777" w:rsidR="00B66A6A" w:rsidRDefault="00B66A6A">
      <w:pPr>
        <w:pStyle w:val="Heading1"/>
        <w:rPr>
          <w:rFonts w:ascii="Segoe UI" w:eastAsia="Times New Roman" w:hAnsi="Segoe UI" w:cs="Segoe UI"/>
          <w:lang w:val="en"/>
        </w:rPr>
      </w:pPr>
      <w:bookmarkStart w:id="47" w:name="_Toc236138718"/>
      <w:r>
        <w:rPr>
          <w:rFonts w:ascii="Segoe UI" w:eastAsia="Times New Roman" w:hAnsi="Segoe UI" w:cs="Segoe UI"/>
          <w:lang w:val="en"/>
        </w:rPr>
        <w:t>28. Testing and Acceptance</w:t>
      </w:r>
      <w:bookmarkEnd w:id="47"/>
    </w:p>
    <w:p w14:paraId="6D1884A7"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passes through three layers of testing before it is accepted for production go-live. Altanfith performs internal functional and regression testing (Phase 9) across the configured </w:t>
      </w:r>
      <w:r>
        <w:rPr>
          <w:rFonts w:ascii="Segoe UI" w:hAnsi="Segoe UI" w:cs="Segoe UI"/>
          <w:color w:val="1F2933"/>
          <w:sz w:val="21"/>
          <w:szCs w:val="21"/>
          <w:lang w:val="en"/>
        </w:rPr>
        <w:lastRenderedPageBreak/>
        <w:t xml:space="preserve">environment, followed by security-focused testing (Phase 10) against the controls described in Section 18, ahead of client security review and sign-off. User Acceptance Testing (Phase 11) is then carried out against a client-approved UAT plan and agreed acceptance criteria,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not Altanfith alone — confirms that the configured platform meets its requirements before go-live.</w:t>
      </w:r>
    </w:p>
    <w:p w14:paraId="60A5F300"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Any defects identified during internal, security, or acceptance testing are triaged using the same four-level severity model used for support (Section 30): Critical, High, Medium, and Low. UAT sign-off is Milestone M5 in the project timeline (Section 24), and it gates go-live: production rollout depends on successful UAT.</w:t>
      </w:r>
    </w:p>
    <w:p w14:paraId="59683C69" w14:textId="77777777" w:rsidR="00B66A6A" w:rsidRDefault="00B66A6A">
      <w:pPr>
        <w:pStyle w:val="Heading1"/>
        <w:rPr>
          <w:rFonts w:ascii="Segoe UI" w:eastAsia="Times New Roman" w:hAnsi="Segoe UI" w:cs="Segoe UI"/>
          <w:lang w:val="en"/>
        </w:rPr>
      </w:pPr>
      <w:bookmarkStart w:id="48" w:name="_Toc236138719"/>
      <w:r>
        <w:rPr>
          <w:rFonts w:ascii="Segoe UI" w:eastAsia="Times New Roman" w:hAnsi="Segoe UI" w:cs="Segoe UI"/>
          <w:lang w:val="en"/>
        </w:rPr>
        <w:t>29. Support and Maintenance</w:t>
      </w:r>
      <w:bookmarkEnd w:id="48"/>
    </w:p>
    <w:p w14:paraId="0EE27A30"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Ongoing support is delivered under one of three packages,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level of coverage and responsiveness that matches its operational needs.</w:t>
      </w:r>
    </w:p>
    <w:tbl>
      <w:tblPr>
        <w:tblW w:w="5000" w:type="pct"/>
        <w:tblCellMar>
          <w:top w:w="15" w:type="dxa"/>
          <w:left w:w="15" w:type="dxa"/>
          <w:bottom w:w="15" w:type="dxa"/>
          <w:right w:w="15" w:type="dxa"/>
        </w:tblCellMar>
        <w:tblLook w:val="04A0" w:firstRow="1" w:lastRow="0" w:firstColumn="1" w:lastColumn="0" w:noHBand="0" w:noVBand="1"/>
      </w:tblPr>
      <w:tblGrid>
        <w:gridCol w:w="980"/>
        <w:gridCol w:w="8639"/>
      </w:tblGrid>
      <w:tr w:rsidR="00000000" w14:paraId="3923370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764873"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Package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C6226B"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Includes</w:t>
            </w:r>
          </w:p>
        </w:tc>
      </w:tr>
      <w:tr w:rsidR="00000000" w14:paraId="12A5CB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026D9F"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34261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 business-hours support; email support; bug fixes; standard updates; best-effort response</w:t>
            </w:r>
          </w:p>
        </w:tc>
      </w:tr>
      <w:tr w:rsidR="00000000" w14:paraId="69FCCA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86293D"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E8F49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Bronze, plus: priority support; faster response times; monthly system health review; performance optimisation; minor improvements; remote assistance</w:t>
            </w:r>
          </w:p>
        </w:tc>
      </w:tr>
      <w:tr w:rsidR="00000000" w14:paraId="0C08F5D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EEBBEC"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AC1E0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Silver, plus: critical incident support; dedicated support contact; priority issue resolution; proactive monitoring; security monitoring; quarterly service review; emergency support; 24/7 support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dedicated development allocation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w:t>
            </w:r>
          </w:p>
        </w:tc>
      </w:tr>
    </w:tbl>
    <w:p w14:paraId="4ECB35C1" w14:textId="77777777" w:rsidR="00B66A6A" w:rsidRDefault="00B66A6A">
      <w:pPr>
        <w:pStyle w:val="Heading1"/>
        <w:rPr>
          <w:rFonts w:ascii="Segoe UI" w:eastAsia="Times New Roman" w:hAnsi="Segoe UI" w:cs="Segoe UI"/>
          <w:lang w:val="en"/>
        </w:rPr>
      </w:pPr>
      <w:bookmarkStart w:id="49" w:name="_Toc236138720"/>
      <w:r>
        <w:rPr>
          <w:rFonts w:ascii="Segoe UI" w:eastAsia="Times New Roman" w:hAnsi="Segoe UI" w:cs="Segoe UI"/>
          <w:lang w:val="en"/>
        </w:rPr>
        <w:t>30. SLA</w:t>
      </w:r>
      <w:bookmarkEnd w:id="49"/>
    </w:p>
    <w:p w14:paraId="64DA1D5B"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Service levels are defined by severity, with response time and target resolution time tracked as two separate measures — response confirms that an issue has been received and is being actioned; resolution is the target time to resolve it, and is not a guarantee.</w:t>
      </w:r>
    </w:p>
    <w:tbl>
      <w:tblPr>
        <w:tblW w:w="5000" w:type="pct"/>
        <w:tblCellMar>
          <w:top w:w="15" w:type="dxa"/>
          <w:left w:w="15" w:type="dxa"/>
          <w:bottom w:w="15" w:type="dxa"/>
          <w:right w:w="15" w:type="dxa"/>
        </w:tblCellMar>
        <w:tblLook w:val="04A0" w:firstRow="1" w:lastRow="0" w:firstColumn="1" w:lastColumn="0" w:noHBand="0" w:noVBand="1"/>
      </w:tblPr>
      <w:tblGrid>
        <w:gridCol w:w="1154"/>
        <w:gridCol w:w="2831"/>
        <w:gridCol w:w="1409"/>
        <w:gridCol w:w="4225"/>
      </w:tblGrid>
      <w:tr w:rsidR="00000000" w14:paraId="1597B9E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A509A5"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Severity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6FD3C3"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Definition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1BAAFF"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Response Time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7BB33C"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Target Resolution Time</w:t>
            </w:r>
          </w:p>
        </w:tc>
      </w:tr>
      <w:tr w:rsidR="00000000" w14:paraId="72C91F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C4644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 Critical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47036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down / live session blocked for all users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5B6981"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hour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EB4BD6"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Workaround within 4 business hours; permanent fix within 2 business days</w:t>
            </w:r>
          </w:p>
        </w:tc>
      </w:tr>
      <w:tr w:rsidR="00000000" w14:paraId="58D1A4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CFBAA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 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3998D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function degraded, no workaround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A8BAE7"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business hours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173179"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r>
      <w:tr w:rsidR="00000000" w14:paraId="0B6D1A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A78A1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3 — 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6A71C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Limited impact, workaround exists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9A85ED"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day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10B143"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business days</w:t>
            </w:r>
          </w:p>
        </w:tc>
      </w:tr>
      <w:tr w:rsidR="00000000" w14:paraId="6410CC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ABE9E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 Low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39DC9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Cosmetic / question / minor request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CFC526"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CB232A"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Next planned release</w:t>
            </w:r>
          </w:p>
        </w:tc>
      </w:tr>
    </w:tbl>
    <w:p w14:paraId="737CD7E9" w14:textId="77777777" w:rsidR="00B66A6A" w:rsidRDefault="00B66A6A">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Response and target resolution times are separate measures: response time confirms an issue has been received and triaged; target resolution time is a goal, dependent on the agreed SLA, and is not a guaranteed outcome. Actual values depend on the support package selected (Section 29) and the SLA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24/7 coverage applies only where the Gold 24/7 option has been purchased.</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5EFB9B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73F477" w14:textId="77777777" w:rsidR="00B66A6A" w:rsidRDefault="00B66A6A">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FIVE</w:t>
            </w:r>
          </w:p>
          <w:p w14:paraId="56764595" w14:textId="77777777" w:rsidR="00B66A6A" w:rsidRDefault="00B66A6A">
            <w:pPr>
              <w:pStyle w:val="NormalWeb"/>
              <w:rPr>
                <w:rFonts w:ascii="Segoe UI" w:hAnsi="Segoe UI" w:cs="Segoe UI"/>
                <w:b/>
                <w:bCs/>
                <w:color w:val="FFFFFF"/>
                <w:sz w:val="44"/>
                <w:szCs w:val="44"/>
              </w:rPr>
            </w:pPr>
            <w:r>
              <w:rPr>
                <w:rFonts w:ascii="Segoe UI" w:hAnsi="Segoe UI" w:cs="Segoe UI"/>
                <w:b/>
                <w:bCs/>
                <w:color w:val="FFFFFF"/>
                <w:sz w:val="44"/>
                <w:szCs w:val="44"/>
              </w:rPr>
              <w:t>Commercial &amp; Legal Terms</w:t>
            </w:r>
          </w:p>
          <w:p w14:paraId="1258427E" w14:textId="77777777" w:rsidR="00B66A6A" w:rsidRDefault="00B66A6A">
            <w:pPr>
              <w:pStyle w:val="NormalWeb"/>
              <w:rPr>
                <w:rFonts w:ascii="Segoe UI" w:hAnsi="Segoe UI" w:cs="Segoe UI"/>
                <w:color w:val="1F2933"/>
              </w:rPr>
            </w:pPr>
            <w:r>
              <w:rPr>
                <w:rFonts w:ascii="Segoe UI" w:hAnsi="Segoe UI" w:cs="Segoe UI"/>
                <w:color w:val="1F2933"/>
              </w:rPr>
              <w:t xml:space="preserve">Pricing models, terms, and the path to a signed agreement with </w:t>
            </w:r>
            <w:r>
              <w:rPr>
                <w:rStyle w:val="Strong"/>
                <w:rFonts w:ascii="Segoe UI" w:hAnsi="Segoe UI" w:cs="Segoe UI"/>
                <w:color w:val="1F2933"/>
              </w:rPr>
              <w:t>PDO</w:t>
            </w:r>
          </w:p>
        </w:tc>
      </w:tr>
    </w:tbl>
    <w:p w14:paraId="75908673" w14:textId="77777777" w:rsidR="00B66A6A" w:rsidRDefault="00B66A6A">
      <w:pPr>
        <w:pStyle w:val="Heading1"/>
        <w:pageBreakBefore/>
        <w:rPr>
          <w:rFonts w:ascii="Segoe UI" w:eastAsia="Times New Roman" w:hAnsi="Segoe UI" w:cs="Segoe UI"/>
          <w:lang w:val="en"/>
        </w:rPr>
      </w:pPr>
      <w:bookmarkStart w:id="50" w:name="_Toc236138721"/>
      <w:r>
        <w:rPr>
          <w:rFonts w:ascii="Segoe UI" w:eastAsia="Times New Roman" w:hAnsi="Segoe UI" w:cs="Segoe UI"/>
          <w:lang w:val="en"/>
        </w:rPr>
        <w:lastRenderedPageBreak/>
        <w:t>31. Commercial Models</w:t>
      </w:r>
      <w:bookmarkEnd w:id="50"/>
    </w:p>
    <w:p w14:paraId="4482EFF9"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cost, and delivery structure that best fits its procurement approach. Firm, all-inclusive pricing for Models A and B is set out in the accompanying Commercial Quotation and summarised in Section 32; implementation, deployment, branding setup, and training are included in both. Model C is scoped and quoted separately per engagement.</w:t>
      </w:r>
    </w:p>
    <w:p w14:paraId="6E3D0995" w14:textId="77777777" w:rsidR="00B66A6A" w:rsidRDefault="00B66A6A">
      <w:pPr>
        <w:pStyle w:val="Heading2"/>
        <w:rPr>
          <w:rFonts w:ascii="Segoe UI" w:eastAsia="Times New Roman" w:hAnsi="Segoe UI" w:cs="Segoe UI"/>
          <w:lang w:val="en"/>
        </w:rPr>
      </w:pPr>
      <w:bookmarkStart w:id="51" w:name="_Toc236138722"/>
      <w:r>
        <w:rPr>
          <w:rFonts w:ascii="Segoe UI" w:eastAsia="Times New Roman" w:hAnsi="Segoe UI" w:cs="Segoe UI"/>
          <w:lang w:val="en"/>
        </w:rPr>
        <w:t>31.1 Model A — Annual SaaS Subscription</w:t>
      </w:r>
      <w:bookmarkEnd w:id="51"/>
    </w:p>
    <w:p w14:paraId="36A58913"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behalf. Includes: annual licence; cloud hosting; maintenance; security updates; backup; monitoring; support; standard upgrades; unlimited named administrative accounts and unlimited participant access (Section 13), with an agreed number of sessions; implementation, deployment, branding setup, and training; and an AI usage allowance of 500 generations per month, with optional overage pricing. Two tiers are offered</w:t>
      </w:r>
      <w:r>
        <w:rPr>
          <w:rFonts w:ascii="Segoe UI" w:hAnsi="Segoe UI" w:cs="Segoe UI"/>
          <w:color w:val="1F2933"/>
          <w:sz w:val="21"/>
          <w:szCs w:val="21"/>
          <w:lang w:val="en"/>
        </w:rPr>
        <w:t xml:space="preserve"> — single department and organisation-wide — each with unlimited hosts and unlimited participants. Deep customisation beyond the standard configuration is handled under Model C.</w:t>
      </w:r>
    </w:p>
    <w:p w14:paraId="07885FC5" w14:textId="77777777" w:rsidR="00B66A6A" w:rsidRDefault="00B66A6A">
      <w:pPr>
        <w:pStyle w:val="Heading2"/>
        <w:rPr>
          <w:rFonts w:ascii="Segoe UI" w:eastAsia="Times New Roman" w:hAnsi="Segoe UI" w:cs="Segoe UI"/>
          <w:lang w:val="en"/>
        </w:rPr>
      </w:pPr>
      <w:bookmarkStart w:id="52" w:name="_Toc236138723"/>
      <w:r>
        <w:rPr>
          <w:rFonts w:ascii="Segoe UI" w:eastAsia="Times New Roman" w:hAnsi="Segoe UI" w:cs="Segoe UI"/>
          <w:lang w:val="en"/>
        </w:rPr>
        <w:t>31.2 Model B — Perpetual Licence / One-Time Purchase</w:t>
      </w:r>
      <w:bookmarkEnd w:id="52"/>
    </w:p>
    <w:p w14:paraId="15CEAF15"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15% of licence value, payable annually in advance. Implementation, deployment, branding setup, and training are included in the one-time licence fee, with no separate charges. Major new features are excluded un</w:t>
      </w:r>
      <w:r>
        <w:rPr>
          <w:rFonts w:ascii="Segoe UI" w:hAnsi="Segoe UI" w:cs="Segoe UI"/>
          <w:color w:val="1F2933"/>
          <w:sz w:val="21"/>
          <w:szCs w:val="21"/>
          <w:lang w:val="en"/>
        </w:rPr>
        <w:t>less separately agreed, and infrastructure costs are excluded unless explicitly listed in the quotation.</w:t>
      </w:r>
    </w:p>
    <w:p w14:paraId="351F7A0B" w14:textId="77777777" w:rsidR="00B66A6A" w:rsidRDefault="00B66A6A">
      <w:pPr>
        <w:pStyle w:val="Heading2"/>
        <w:rPr>
          <w:rFonts w:ascii="Segoe UI" w:eastAsia="Times New Roman" w:hAnsi="Segoe UI" w:cs="Segoe UI"/>
          <w:lang w:val="en"/>
        </w:rPr>
      </w:pPr>
      <w:bookmarkStart w:id="53" w:name="_Toc236138724"/>
      <w:r>
        <w:rPr>
          <w:rFonts w:ascii="Segoe UI" w:eastAsia="Times New Roman" w:hAnsi="Segoe UI" w:cs="Segoe UI"/>
          <w:lang w:val="en"/>
        </w:rPr>
        <w:t>31.3 Model C — Enterprise Custom Development Partnership</w:t>
      </w:r>
      <w:bookmarkEnd w:id="53"/>
    </w:p>
    <w:p w14:paraId="1399C16E"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(Section 36); and dedicated development hours or a retainer arrangement.</w:t>
      </w:r>
    </w:p>
    <w:p w14:paraId="0C9E4CBD" w14:textId="77777777" w:rsidR="00B66A6A" w:rsidRDefault="00B66A6A">
      <w:pPr>
        <w:pStyle w:val="Heading2"/>
        <w:rPr>
          <w:rFonts w:ascii="Segoe UI" w:eastAsia="Times New Roman" w:hAnsi="Segoe UI" w:cs="Segoe UI"/>
          <w:lang w:val="en"/>
        </w:rPr>
      </w:pPr>
      <w:bookmarkStart w:id="54" w:name="_Toc236138725"/>
      <w:r>
        <w:rPr>
          <w:rFonts w:ascii="Segoe UI" w:eastAsia="Times New Roman" w:hAnsi="Segoe UI" w:cs="Segoe UI"/>
          <w:lang w:val="en"/>
        </w:rPr>
        <w:t>31.4 Model Comparison</w:t>
      </w:r>
      <w:bookmarkEnd w:id="54"/>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51C4045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F2B5D8" w14:textId="77777777" w:rsidR="00B66A6A" w:rsidRDefault="00B66A6A">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36E861"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7D7A9A"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D5239C"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 Enterprise Partnership</w:t>
            </w:r>
          </w:p>
        </w:tc>
      </w:tr>
      <w:tr w:rsidR="00000000" w14:paraId="68AE078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E67FF3"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C7760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07C1D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A3F9A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09463B3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63FAB1"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95560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1242F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9F608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 scoped by engagement</w:t>
            </w:r>
          </w:p>
        </w:tc>
      </w:tr>
      <w:tr w:rsidR="00000000" w14:paraId="1C43D7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5A5451"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618F2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BCA77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70C50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 (Section 17)</w:t>
            </w:r>
          </w:p>
        </w:tc>
      </w:tr>
      <w:tr w:rsidR="00000000" w14:paraId="187AEA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ACD67A"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ACEAA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B2C48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2A9AA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0904AE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89E708"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71053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E294C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72892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13B3D90E" w14:textId="77777777" w:rsidR="00B66A6A" w:rsidRDefault="00B66A6A">
      <w:pPr>
        <w:pStyle w:val="Heading1"/>
        <w:rPr>
          <w:rFonts w:ascii="Segoe UI" w:eastAsia="Times New Roman" w:hAnsi="Segoe UI" w:cs="Segoe UI"/>
          <w:lang w:val="en"/>
        </w:rPr>
      </w:pPr>
      <w:bookmarkStart w:id="55" w:name="_Toc236138726"/>
      <w:r>
        <w:rPr>
          <w:rFonts w:ascii="Segoe UI" w:eastAsia="Times New Roman" w:hAnsi="Segoe UI" w:cs="Segoe UI"/>
          <w:lang w:val="en"/>
        </w:rPr>
        <w:t>32. Pricing Approach</w:t>
      </w:r>
      <w:bookmarkEnd w:id="55"/>
    </w:p>
    <w:p w14:paraId="759A9FFC"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Firm pricing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is set out in the accompanying </w:t>
      </w:r>
      <w:r>
        <w:rPr>
          <w:rStyle w:val="Strong"/>
          <w:rFonts w:ascii="Segoe UI" w:hAnsi="Segoe UI" w:cs="Segoe UI"/>
          <w:color w:val="1F2933"/>
          <w:sz w:val="21"/>
          <w:szCs w:val="21"/>
          <w:lang w:val="en"/>
        </w:rPr>
        <w:t>Commercial Quotation (ref. ATD-LQP-2026-003-Q)</w:t>
      </w:r>
      <w:r>
        <w:rPr>
          <w:rFonts w:ascii="Segoe UI" w:hAnsi="Segoe UI" w:cs="Segoe UI"/>
          <w:color w:val="1F2933"/>
          <w:sz w:val="21"/>
          <w:szCs w:val="21"/>
          <w:lang w:val="en"/>
        </w:rPr>
        <w:t xml:space="preserve">, which is the sole pricing document for this engagement and should be read together with this proposal. The headline figures are summarised below for convenience; the Commercial Quotation governs in the event of any difference.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is scoped and quoted separately per engagement.</w:t>
      </w:r>
    </w:p>
    <w:tbl>
      <w:tblPr>
        <w:tblW w:w="5000" w:type="pct"/>
        <w:tblCellMar>
          <w:top w:w="15" w:type="dxa"/>
          <w:left w:w="15" w:type="dxa"/>
          <w:bottom w:w="15" w:type="dxa"/>
          <w:right w:w="15" w:type="dxa"/>
        </w:tblCellMar>
        <w:tblLook w:val="04A0" w:firstRow="1" w:lastRow="0" w:firstColumn="1" w:lastColumn="0" w:noHBand="0" w:noVBand="1"/>
      </w:tblPr>
      <w:tblGrid>
        <w:gridCol w:w="5267"/>
        <w:gridCol w:w="4352"/>
      </w:tblGrid>
      <w:tr w:rsidR="00000000" w14:paraId="14DB2F0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7F885B3"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Commercial model</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2E074F"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 (OMR, exclusive of applicable taxes)</w:t>
            </w:r>
          </w:p>
        </w:tc>
      </w:tr>
      <w:tr w:rsidR="00000000" w14:paraId="68EEE36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A7E46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 Annual subscription,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F21A7C"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71C49E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97F1B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 Annual subscription,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21C662"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711FA7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11D7B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Model B — </w:t>
            </w:r>
            <w:r>
              <w:rPr>
                <w:rFonts w:ascii="Segoe UI" w:eastAsia="Times New Roman" w:hAnsi="Segoe UI" w:cs="Segoe UI"/>
                <w:color w:val="1F2933"/>
                <w:sz w:val="19"/>
                <w:szCs w:val="19"/>
              </w:rPr>
              <w:t>Perpetual licence, one-time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8D7DCC"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79EB50B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62AEB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 Annual maintenance (optional,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D53F5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1579DD2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85004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 Source-code licence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67B43A"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4C99AE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25F0F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C — Enterprise custom development partnership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9A1EB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3EB8B78B" w14:textId="77777777" w:rsidR="00B66A6A" w:rsidRDefault="00B66A6A">
      <w:pPr>
        <w:pStyle w:val="muted"/>
        <w:spacing w:before="120" w:beforeAutospacing="0" w:after="120" w:afterAutospacing="0"/>
        <w:rPr>
          <w:rFonts w:ascii="Segoe UI" w:hAnsi="Segoe UI" w:cs="Segoe UI"/>
          <w:lang w:val="en"/>
        </w:rPr>
      </w:pPr>
      <w:r>
        <w:rPr>
          <w:rFonts w:ascii="Segoe UI" w:hAnsi="Segoe UI" w:cs="Segoe UI"/>
          <w:lang w:val="en"/>
        </w:rPr>
        <w:t>Model A and Model B prices are all-inclusive: implementation, deployment, branding setup, and training are included, with no separate setup, implementation, or training charges. Model A includes an AI usage allowance of 500 generations per month, with overage at OMR 60 per additional 500 generations. Optional items are listed in Section 3 of the Commercial Quotation.</w:t>
      </w:r>
    </w:p>
    <w:p w14:paraId="4F662DC1" w14:textId="77777777" w:rsidR="00B66A6A" w:rsidRDefault="00B66A6A">
      <w:pPr>
        <w:pStyle w:val="Heading2"/>
        <w:rPr>
          <w:rFonts w:ascii="Segoe UI" w:eastAsia="Times New Roman" w:hAnsi="Segoe UI" w:cs="Segoe UI"/>
          <w:lang w:val="en"/>
        </w:rPr>
      </w:pPr>
      <w:bookmarkStart w:id="56" w:name="_Toc236138727"/>
      <w:r>
        <w:rPr>
          <w:rFonts w:ascii="Segoe UI" w:eastAsia="Times New Roman" w:hAnsi="Segoe UI" w:cs="Segoe UI"/>
          <w:lang w:val="en"/>
        </w:rPr>
        <w:t>32.1 Pricing Methodology</w:t>
      </w:r>
      <w:bookmarkEnd w:id="56"/>
    </w:p>
    <w:p w14:paraId="1DF63249"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Model A and Model B are priced as stated above. Pricing for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and for the optional items listed in the Commercial Quotation depends on a defined set of factors, confirmed during discovery: number of organisations/departments · expected concurrent users · number of live sessions · hosting model · data residency · AI usage · level of customisation · system integrations · support SLA · cybersecurity requirements · source-code requirements · reporting requirements · language requirements · training requirements · project duration.</w:t>
      </w:r>
    </w:p>
    <w:p w14:paraId="08F3E6F3" w14:textId="77777777" w:rsidR="00B66A6A" w:rsidRDefault="00B66A6A">
      <w:pPr>
        <w:pStyle w:val="Heading1"/>
        <w:rPr>
          <w:rFonts w:ascii="Segoe UI" w:eastAsia="Times New Roman" w:hAnsi="Segoe UI" w:cs="Segoe UI"/>
          <w:lang w:val="en"/>
        </w:rPr>
      </w:pPr>
      <w:bookmarkStart w:id="57" w:name="_Toc236138728"/>
      <w:r>
        <w:rPr>
          <w:rFonts w:ascii="Segoe UI" w:eastAsia="Times New Roman" w:hAnsi="Segoe UI" w:cs="Segoe UI"/>
          <w:lang w:val="en"/>
        </w:rPr>
        <w:t>33. Assumptions</w:t>
      </w:r>
      <w:bookmarkEnd w:id="57"/>
    </w:p>
    <w:p w14:paraId="0FEFB63F"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and the pricing set out in the accompanying Commercial Quotation (ref. ATD-LQP-2026-003-Q), are prepared on the basis of the following assumptions. Where an assumption does not hold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scope and pricing are revisited during discovery.</w:t>
      </w:r>
    </w:p>
    <w:p w14:paraId="7A2F4AAD"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timely access to relevant stakeholders throughout the engagement.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branding material (logo, colour palette, style guidance) required for UI customisation. 3.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provides infrastructure for an on-premises deployment, where selected. 4.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reviews and approves security and network configurations as they are proposed. 5. Third-party software licences are excluded from pricing unless explicitly listed in the commercial agreement. 6. AI API costs beyond the agreed allowance may be billed separately. 7. Internet connectivity is required to use cloud-based AI generation features. 8. On-premises AI deployment, if pursued, may require separate, dedicated infrastructure. 9. Requirements identified outside the agreed scope are handled through the chan</w:t>
      </w:r>
      <w:r>
        <w:rPr>
          <w:rFonts w:ascii="Segoe UI" w:hAnsi="Segoe UI" w:cs="Segoe UI"/>
          <w:color w:val="1F2933"/>
          <w:sz w:val="21"/>
          <w:szCs w:val="21"/>
          <w:lang w:val="en"/>
        </w:rPr>
        <w:t>ge-request process (Section 36). 10. Final integration scope depends on the availability of the relevant third-party APIs. 11.</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responsible for the accuracy of its own content, unless an AI content-review service is separately included in scope. 12. AI-generated content should be reviewed by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it is used in a live or published context. 13. Production rollout depends on successful completion of User Acceptance Testing (Section 28).</w:t>
      </w:r>
    </w:p>
    <w:p w14:paraId="0350CD1B" w14:textId="77777777" w:rsidR="00B66A6A" w:rsidRDefault="00B66A6A">
      <w:pPr>
        <w:pStyle w:val="Heading1"/>
        <w:rPr>
          <w:rFonts w:ascii="Segoe UI" w:eastAsia="Times New Roman" w:hAnsi="Segoe UI" w:cs="Segoe UI"/>
          <w:lang w:val="en"/>
        </w:rPr>
      </w:pPr>
      <w:bookmarkStart w:id="58" w:name="_Toc236138729"/>
      <w:r>
        <w:rPr>
          <w:rFonts w:ascii="Segoe UI" w:eastAsia="Times New Roman" w:hAnsi="Segoe UI" w:cs="Segoe UI"/>
          <w:lang w:val="en"/>
        </w:rPr>
        <w:t>34. Exclusions</w:t>
      </w:r>
      <w:bookmarkEnd w:id="58"/>
    </w:p>
    <w:p w14:paraId="4DD93AD5"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items are excluded from this proposal and, unless separately listed in the commercial agreement, are not included in the pricing set out in the accompanying Commercial Quotation.</w:t>
      </w:r>
    </w:p>
    <w:p w14:paraId="21B2D5CC"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Hardware procurement.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data-centre costs. 3. Third-party software licences. 4. Microsoft licences. 5. SMS charges. 6. Email service charges. 7. AI API overage charges beyond the agreed allowance. 8. External penetration testing (available as an optional service, Section 18). 9. Data migration from unknown or undocumented legacy systems. 10. Unsupported third-party integrations. 11. Major scope changes (handled via </w:t>
      </w:r>
      <w:r>
        <w:rPr>
          <w:rFonts w:ascii="Segoe UI" w:hAnsi="Segoe UI" w:cs="Segoe UI"/>
          <w:color w:val="1F2933"/>
          <w:sz w:val="21"/>
          <w:szCs w:val="21"/>
          <w:lang w:val="en"/>
        </w:rPr>
        <w:t>the change-request process, Section 36). 12. Custom mobile applications, unless explicitly included in scope. 13. 24/7 support, unless purchased as part of the Gold package (Section 29). 14. Legal or regulatory certification. 15. Cybersecurity certification. 16. Formal compliance accreditation. 17. Travel outside Muscat, unless separately agreed.</w:t>
      </w:r>
    </w:p>
    <w:p w14:paraId="64C0CA79" w14:textId="77777777" w:rsidR="00B66A6A" w:rsidRDefault="00B66A6A">
      <w:pPr>
        <w:pStyle w:val="Heading1"/>
        <w:rPr>
          <w:rFonts w:ascii="Segoe UI" w:eastAsia="Times New Roman" w:hAnsi="Segoe UI" w:cs="Segoe UI"/>
          <w:lang w:val="en"/>
        </w:rPr>
      </w:pPr>
      <w:bookmarkStart w:id="59" w:name="_Toc236138730"/>
      <w:r>
        <w:rPr>
          <w:rFonts w:ascii="Segoe UI" w:eastAsia="Times New Roman" w:hAnsi="Segoe UI" w:cs="Segoe UI"/>
          <w:lang w:val="en"/>
        </w:rPr>
        <w:t>35. Risk and Mitigation</w:t>
      </w:r>
      <w:bookmarkEnd w:id="59"/>
    </w:p>
    <w:p w14:paraId="53247C37"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sets out the risks Altanfith typically manages on an engagement of this type, and how each is mitigated. Likelihood is confirmed jointly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614"/>
        <w:gridCol w:w="1173"/>
        <w:gridCol w:w="940"/>
        <w:gridCol w:w="4892"/>
      </w:tblGrid>
      <w:tr w:rsidR="00000000" w14:paraId="69BEB6F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BE3847"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Risk</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81BDA7"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Likelihood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955A2E8"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Impact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57860E"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Mitigation</w:t>
            </w:r>
          </w:p>
        </w:tc>
      </w:tr>
      <w:tr w:rsidR="00000000" w14:paraId="749192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7D8FB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Infrastructure readiness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007BC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9AA3D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8C61D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Early technical assessment (Phase 2); readiness checklist confirmed before deployment</w:t>
            </w:r>
          </w:p>
        </w:tc>
      </w:tr>
      <w:tr w:rsidR="00000000" w14:paraId="24BA59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B3D09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approval delays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55BBB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0F68A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2E63E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security team engaged from Phase 3; architecture submitted early for review</w:t>
            </w:r>
          </w:p>
        </w:tc>
      </w:tr>
      <w:tr w:rsidR="00000000" w14:paraId="49AE00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14B82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 changes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E8F14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7E07F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04654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change-request process (Section 36); milestone-based sign-offs</w:t>
            </w:r>
          </w:p>
        </w:tc>
      </w:tr>
      <w:tr w:rsidR="00000000" w14:paraId="5383B7A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523E5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Third-party API limitations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2D8D8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9B67A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E47C5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APIs validated during discovery; fallback approaches designed where needed</w:t>
            </w:r>
          </w:p>
        </w:tc>
      </w:tr>
      <w:tr w:rsidR="00000000" w14:paraId="208AF95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29608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service availability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68F33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4816B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9B72A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features degrade gracefully; the core platform operates independently of AI services</w:t>
            </w:r>
          </w:p>
        </w:tc>
      </w:tr>
      <w:tr w:rsidR="00000000" w14:paraId="72EA52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8B613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adoption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1C20D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25A17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B1252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training, bilingual materials, and a hypercare period after go-live</w:t>
            </w:r>
          </w:p>
        </w:tc>
      </w:tr>
      <w:tr w:rsidR="00000000" w14:paraId="1EEB47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655D9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Poor venue/participant internet connectivity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C38A0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92D5C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21209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Automatic session reconnection; venue network checklist ahead of live events</w:t>
            </w:r>
          </w:p>
        </w:tc>
      </w:tr>
      <w:tr w:rsidR="00000000" w14:paraId="1882D7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277CC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concurrent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EB766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2919A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CA71F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Load testing before go-live; sizing based on the validated baseline of 400+ concurrent participants per live session</w:t>
            </w:r>
          </w:p>
        </w:tc>
      </w:tr>
      <w:tr w:rsidR="00000000" w14:paraId="1A78CC6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82565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Delayed client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36F7F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D26BC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7EB1D3"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Weekly governance cadence; agreed review SLAs built into the project plan</w:t>
            </w:r>
          </w:p>
        </w:tc>
      </w:tr>
      <w:tr w:rsidR="00000000" w14:paraId="4E975E0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45B88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migration complexity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C5B0B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1A59B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F0A28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Migration treated as a scoped, optional phase with its own assessment (Phase 12)</w:t>
            </w:r>
          </w:p>
        </w:tc>
      </w:tr>
      <w:tr w:rsidR="00000000" w14:paraId="542890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FFBFE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delays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72276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5EB1D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D9AF5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phased separately (Phase 8); core go-live is not blocked by integration work</w:t>
            </w:r>
          </w:p>
        </w:tc>
      </w:tr>
      <w:tr w:rsidR="00000000" w14:paraId="7DE56A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48979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testing findings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EB4FE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64E33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6D01A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Remediation window built into the plan; retest before go-live (Phase 10)</w:t>
            </w:r>
          </w:p>
        </w:tc>
      </w:tr>
      <w:tr w:rsidR="00000000" w14:paraId="5E83DB9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37E81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change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D0B41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98E2F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48020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Sponsor-led communication plan; departmental change champions</w:t>
            </w:r>
          </w:p>
        </w:tc>
      </w:tr>
    </w:tbl>
    <w:p w14:paraId="038CA134" w14:textId="77777777" w:rsidR="00B66A6A" w:rsidRDefault="00B66A6A">
      <w:pPr>
        <w:pStyle w:val="Heading1"/>
        <w:rPr>
          <w:rFonts w:ascii="Segoe UI" w:eastAsia="Times New Roman" w:hAnsi="Segoe UI" w:cs="Segoe UI"/>
          <w:lang w:val="en"/>
        </w:rPr>
      </w:pPr>
      <w:bookmarkStart w:id="60" w:name="_Toc236138731"/>
      <w:r>
        <w:rPr>
          <w:rFonts w:ascii="Segoe UI" w:eastAsia="Times New Roman" w:hAnsi="Segoe UI" w:cs="Segoe UI"/>
          <w:lang w:val="en"/>
        </w:rPr>
        <w:lastRenderedPageBreak/>
        <w:t>36. Change Request Process</w:t>
      </w:r>
      <w:bookmarkEnd w:id="60"/>
    </w:p>
    <w:p w14:paraId="4510FDD7"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Any requirement outside the agreed scope is handled through a formal change-request process, so that scope, cost, and schedule remain visible and agreed by both parties at every step: a change is requested by either party; Altanfith assesses its impact on scope, cost, and schedule; a written quotation is provided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the change proceeds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's written approval; and, once approved, delivery is scheduled into the project plan. No change work is carried out without prior written approval.</w:t>
      </w:r>
    </w:p>
    <w:p w14:paraId="37E6F28E" w14:textId="77777777" w:rsidR="00B66A6A" w:rsidRDefault="00B66A6A">
      <w:pPr>
        <w:pStyle w:val="Heading1"/>
        <w:rPr>
          <w:rFonts w:ascii="Segoe UI" w:eastAsia="Times New Roman" w:hAnsi="Segoe UI" w:cs="Segoe UI"/>
          <w:lang w:val="en"/>
        </w:rPr>
      </w:pPr>
      <w:bookmarkStart w:id="61" w:name="_Toc236138732"/>
      <w:r>
        <w:rPr>
          <w:rFonts w:ascii="Segoe UI" w:eastAsia="Times New Roman" w:hAnsi="Segoe UI" w:cs="Segoe UI"/>
          <w:lang w:val="en"/>
        </w:rPr>
        <w:t>37. Intellectual Property</w:t>
      </w:r>
      <w:bookmarkEnd w:id="61"/>
    </w:p>
    <w:p w14:paraId="31F3F612"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Intellectual property ownership is set out clearly and is linked to the commercial model selected (Section 31).</w:t>
      </w:r>
    </w:p>
    <w:p w14:paraId="7733EB20" w14:textId="77777777" w:rsidR="00B66A6A" w:rsidRDefault="00B66A6A">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intellectual property remains with Altanfith unless expressly transferred by separate agreement.</w:t>
      </w:r>
    </w:p>
    <w:p w14:paraId="1DD01B9F" w14:textId="77777777" w:rsidR="00B66A6A" w:rsidRDefault="00B66A6A">
      <w:pPr>
        <w:numPr>
          <w:ilvl w:val="0"/>
          <w:numId w:val="3"/>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's content and data — including quiz content, participant data, and reports — remain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 (see also Section 20).</w:t>
      </w:r>
    </w:p>
    <w:p w14:paraId="53C052F1" w14:textId="77777777" w:rsidR="00B66A6A" w:rsidRDefault="00B66A6A">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included by default under any commercial model; it applies only where expressly stated in the signed commercial agreement (see Model B, Section 31.2).</w:t>
      </w:r>
    </w:p>
    <w:p w14:paraId="143AB986" w14:textId="77777777" w:rsidR="00B66A6A" w:rsidRDefault="00B66A6A">
      <w:pPr>
        <w:pStyle w:val="Heading1"/>
        <w:rPr>
          <w:rFonts w:ascii="Segoe UI" w:eastAsia="Times New Roman" w:hAnsi="Segoe UI" w:cs="Segoe UI"/>
          <w:lang w:val="en"/>
        </w:rPr>
      </w:pPr>
      <w:bookmarkStart w:id="62" w:name="_Toc236138733"/>
      <w:r>
        <w:rPr>
          <w:rFonts w:ascii="Segoe UI" w:eastAsia="Times New Roman" w:hAnsi="Segoe UI" w:cs="Segoe UI"/>
          <w:lang w:val="en"/>
        </w:rPr>
        <w:t>38. Proposal Validity</w:t>
      </w:r>
      <w:bookmarkEnd w:id="62"/>
    </w:p>
    <w:p w14:paraId="2BEC1895"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the commercial terms set out in Sections 31, 32, and 39,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Altanfith.</w:t>
      </w:r>
    </w:p>
    <w:p w14:paraId="1B77C9DF" w14:textId="77777777" w:rsidR="00B66A6A" w:rsidRDefault="00B66A6A">
      <w:pPr>
        <w:pStyle w:val="Heading1"/>
        <w:rPr>
          <w:rFonts w:ascii="Segoe UI" w:eastAsia="Times New Roman" w:hAnsi="Segoe UI" w:cs="Segoe UI"/>
          <w:lang w:val="en"/>
        </w:rPr>
      </w:pPr>
      <w:bookmarkStart w:id="63" w:name="_Toc236138734"/>
      <w:r>
        <w:rPr>
          <w:rFonts w:ascii="Segoe UI" w:eastAsia="Times New Roman" w:hAnsi="Segoe UI" w:cs="Segoe UI"/>
          <w:lang w:val="en"/>
        </w:rPr>
        <w:t>39. Payment Terms</w:t>
      </w:r>
      <w:bookmarkEnd w:id="63"/>
    </w:p>
    <w:p w14:paraId="5D883D43" w14:textId="77777777" w:rsidR="00B66A6A" w:rsidRDefault="00B66A6A">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payment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4EA31798" w14:textId="77777777" w:rsidR="00B66A6A" w:rsidRDefault="00B66A6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61CCFD68" w14:textId="77777777" w:rsidR="00B66A6A" w:rsidRDefault="00B66A6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10225ACC" w14:textId="77777777" w:rsidR="00B66A6A" w:rsidRDefault="00B66A6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1101F9B0" w14:textId="77777777" w:rsidR="00B66A6A" w:rsidRDefault="00B66A6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13D4838C" w14:textId="77777777" w:rsidR="00B66A6A" w:rsidRDefault="00B66A6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(Section 36): quoted and invoiced separately.</w:t>
      </w:r>
    </w:p>
    <w:p w14:paraId="5AC74496" w14:textId="77777777" w:rsidR="00B66A6A" w:rsidRDefault="00B66A6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299F0735" w14:textId="77777777" w:rsidR="00B66A6A" w:rsidRDefault="00B66A6A">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54E4587D" w14:textId="77777777" w:rsidR="00B66A6A" w:rsidRDefault="00B66A6A">
      <w:pPr>
        <w:pStyle w:val="Heading1"/>
        <w:rPr>
          <w:rFonts w:ascii="Segoe UI" w:eastAsia="Times New Roman" w:hAnsi="Segoe UI" w:cs="Segoe UI"/>
          <w:lang w:val="en"/>
        </w:rPr>
      </w:pPr>
      <w:bookmarkStart w:id="64" w:name="_Toc236138735"/>
      <w:r>
        <w:rPr>
          <w:rFonts w:ascii="Segoe UI" w:eastAsia="Times New Roman" w:hAnsi="Segoe UI" w:cs="Segoe UI"/>
          <w:lang w:val="en"/>
        </w:rPr>
        <w:lastRenderedPageBreak/>
        <w:t>40. Termination and Exit</w:t>
      </w:r>
      <w:bookmarkEnd w:id="64"/>
    </w:p>
    <w:p w14:paraId="5723A440"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Either party may terminate the agreement on the notice period set out in the signed contract. On termination, Altanfith provides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with an export of its data in an agreed format, carries out an orderly handover of the platform and any outstanding documentation, and deletes client data in line with the retention terms agreed in the contract. For on-premises deployments, </w:t>
      </w:r>
      <w:r>
        <w:rPr>
          <w:rStyle w:val="Strong"/>
          <w:rFonts w:ascii="Segoe UI" w:hAnsi="Segoe UI" w:cs="Segoe UI"/>
          <w:color w:val="1F2933"/>
          <w:sz w:val="21"/>
          <w:szCs w:val="21"/>
          <w:lang w:val="en"/>
        </w:rPr>
        <w:t>PDO</w:t>
      </w:r>
      <w:r>
        <w:rPr>
          <w:rFonts w:ascii="Segoe UI" w:hAnsi="Segoe UI" w:cs="Segoe UI"/>
          <w:color w:val="1F2933"/>
          <w:sz w:val="21"/>
          <w:szCs w:val="21"/>
          <w:lang w:val="en"/>
        </w:rPr>
        <w:t>'s data never leaves its own environment at any point, including at termination, since it was never hosted outside client control.</w:t>
      </w:r>
    </w:p>
    <w:p w14:paraId="0D611A39" w14:textId="77777777" w:rsidR="00B66A6A" w:rsidRDefault="00B66A6A">
      <w:pPr>
        <w:pStyle w:val="Heading1"/>
        <w:rPr>
          <w:rFonts w:ascii="Segoe UI" w:eastAsia="Times New Roman" w:hAnsi="Segoe UI" w:cs="Segoe UI"/>
          <w:lang w:val="en"/>
        </w:rPr>
      </w:pPr>
      <w:bookmarkStart w:id="65" w:name="_Toc236138736"/>
      <w:r>
        <w:rPr>
          <w:rFonts w:ascii="Segoe UI" w:eastAsia="Times New Roman" w:hAnsi="Segoe UI" w:cs="Segoe UI"/>
          <w:lang w:val="en"/>
        </w:rPr>
        <w:t>41. Future Roadmap</w:t>
      </w:r>
      <w:bookmarkEnd w:id="65"/>
    </w:p>
    <w:p w14:paraId="6137B08E"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represent Altanfith's future development direction for the Live Quiz Platform. All roadmap items are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or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are not part of the current platform, and their delivery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subject to a separate agreement.</w:t>
      </w:r>
    </w:p>
    <w:p w14:paraId="307D2C1A" w14:textId="77777777" w:rsidR="00B66A6A" w:rsidRDefault="00B66A6A">
      <w:pPr>
        <w:pStyle w:val="Heading2"/>
        <w:rPr>
          <w:rFonts w:ascii="Segoe UI" w:eastAsia="Times New Roman" w:hAnsi="Segoe UI" w:cs="Segoe UI"/>
          <w:lang w:val="en"/>
        </w:rPr>
      </w:pPr>
      <w:bookmarkStart w:id="66" w:name="_Toc236138737"/>
      <w:r>
        <w:rPr>
          <w:rFonts w:ascii="Segoe UI" w:eastAsia="Times New Roman" w:hAnsi="Segoe UI" w:cs="Segoe UI"/>
          <w:lang w:val="en"/>
        </w:rPr>
        <w:t>41.1 Learning &amp; Assessment</w:t>
      </w:r>
      <w:bookmarkEnd w:id="66"/>
    </w:p>
    <w:p w14:paraId="4D11A63B"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LMS module · employee certification · training course management · interview assessment module · recruitment assessment · HSE compliance assessments · employee performance evaluation · employee learning profiles · automated certificate generation · gamification, badges &amp; achievements. </w:t>
      </w:r>
      <w:r>
        <w:rPr>
          <w:rStyle w:val="badge-fut1"/>
          <w:rFonts w:ascii="Segoe UI" w:hAnsi="Segoe UI" w:cs="Segoe UI"/>
          <w:sz w:val="21"/>
          <w:szCs w:val="21"/>
          <w:lang w:val="en"/>
        </w:rPr>
        <w:t>Future enhancement</w:t>
      </w:r>
    </w:p>
    <w:p w14:paraId="3922F588" w14:textId="77777777" w:rsidR="00B66A6A" w:rsidRDefault="00B66A6A">
      <w:pPr>
        <w:pStyle w:val="Heading2"/>
        <w:rPr>
          <w:rFonts w:ascii="Segoe UI" w:eastAsia="Times New Roman" w:hAnsi="Segoe UI" w:cs="Segoe UI"/>
          <w:lang w:val="en"/>
        </w:rPr>
      </w:pPr>
      <w:bookmarkStart w:id="67" w:name="_Toc236138738"/>
      <w:r>
        <w:rPr>
          <w:rFonts w:ascii="Segoe UI" w:eastAsia="Times New Roman" w:hAnsi="Segoe UI" w:cs="Segoe UI"/>
          <w:lang w:val="en"/>
        </w:rPr>
        <w:t>41.2 AI</w:t>
      </w:r>
      <w:bookmarkEnd w:id="67"/>
    </w:p>
    <w:p w14:paraId="0D3242EB"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AI-generated reports · AI recommendations · chatbot assistant · private, on-premises AI deployment. </w:t>
      </w:r>
      <w:r>
        <w:rPr>
          <w:rStyle w:val="badge-fut1"/>
          <w:rFonts w:ascii="Segoe UI" w:hAnsi="Segoe UI" w:cs="Segoe UI"/>
          <w:sz w:val="21"/>
          <w:szCs w:val="21"/>
          <w:lang w:val="en"/>
        </w:rPr>
        <w:t>Future enhancement</w:t>
      </w:r>
    </w:p>
    <w:p w14:paraId="5C3DE30C" w14:textId="77777777" w:rsidR="00B66A6A" w:rsidRDefault="00B66A6A">
      <w:pPr>
        <w:pStyle w:val="Heading2"/>
        <w:rPr>
          <w:rFonts w:ascii="Segoe UI" w:eastAsia="Times New Roman" w:hAnsi="Segoe UI" w:cs="Segoe UI"/>
          <w:lang w:val="en"/>
        </w:rPr>
      </w:pPr>
      <w:bookmarkStart w:id="68" w:name="_Toc236138739"/>
      <w:r>
        <w:rPr>
          <w:rFonts w:ascii="Segoe UI" w:eastAsia="Times New Roman" w:hAnsi="Segoe UI" w:cs="Segoe UI"/>
          <w:lang w:val="en"/>
        </w:rPr>
        <w:t>41.3 Integrations</w:t>
      </w:r>
      <w:bookmarkEnd w:id="68"/>
    </w:p>
    <w:p w14:paraId="4D3C2D9B"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Microsoft Teams · Outlook · Microsoft Entra ID SSO · Active Directory · SAP SuccessFactors (or other HR systems) · Power BI.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(scoped under Model C, Section 31.3)</w:t>
      </w:r>
    </w:p>
    <w:p w14:paraId="18AE82E1" w14:textId="77777777" w:rsidR="00B66A6A" w:rsidRDefault="00B66A6A">
      <w:pPr>
        <w:pStyle w:val="Heading2"/>
        <w:rPr>
          <w:rFonts w:ascii="Segoe UI" w:eastAsia="Times New Roman" w:hAnsi="Segoe UI" w:cs="Segoe UI"/>
          <w:lang w:val="en"/>
        </w:rPr>
      </w:pPr>
      <w:bookmarkStart w:id="69" w:name="_Toc236138740"/>
      <w:r>
        <w:rPr>
          <w:rFonts w:ascii="Segoe UI" w:eastAsia="Times New Roman" w:hAnsi="Segoe UI" w:cs="Segoe UI"/>
          <w:lang w:val="en"/>
        </w:rPr>
        <w:t>41.4 Platform</w:t>
      </w:r>
      <w:bookmarkEnd w:id="69"/>
    </w:p>
    <w:p w14:paraId="79DFB6F8"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Mobile application · offline mode · advanced multilingual support · Oman-based hosting. </w:t>
      </w:r>
      <w:r>
        <w:rPr>
          <w:rStyle w:val="badge-fut1"/>
          <w:rFonts w:ascii="Segoe UI" w:hAnsi="Segoe UI" w:cs="Segoe UI"/>
          <w:sz w:val="21"/>
          <w:szCs w:val="21"/>
          <w:lang w:val="en"/>
        </w:rPr>
        <w:t>Future enhancement</w:t>
      </w:r>
    </w:p>
    <w:p w14:paraId="167B4201" w14:textId="77777777" w:rsidR="00B66A6A" w:rsidRDefault="00B66A6A">
      <w:pPr>
        <w:pStyle w:val="Heading1"/>
        <w:rPr>
          <w:rFonts w:ascii="Segoe UI" w:eastAsia="Times New Roman" w:hAnsi="Segoe UI" w:cs="Segoe UI"/>
          <w:lang w:val="en"/>
        </w:rPr>
      </w:pPr>
      <w:bookmarkStart w:id="70" w:name="_Toc236138741"/>
      <w:r>
        <w:rPr>
          <w:rFonts w:ascii="Segoe UI" w:eastAsia="Times New Roman" w:hAnsi="Segoe UI" w:cs="Segoe UI"/>
          <w:lang w:val="en"/>
        </w:rPr>
        <w:t>42. Why Al Tanfith Al Dwaliah SPC</w:t>
      </w:r>
      <w:bookmarkEnd w:id="70"/>
    </w:p>
    <w:p w14:paraId="119FE839"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Selecting a delivery partner for a platform of this kind is as much about the partner as it is about the software. The reasons set out below are ordered by the value they bring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 with our local presence as the foundation that supports the offer, not the offer itself.</w:t>
      </w:r>
    </w:p>
    <w:p w14:paraId="3E9C8D9A"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An enterprise engagement and assessment platform, already proven in real operational use (Section 10) — not a concept or a demonstration environment. Deep customisation across branding, workflows, reporting, and integrations, rather than a fixed, one-size-fits-all product. In-house AI development capability, already reflecte</w:t>
      </w:r>
      <w:r>
        <w:rPr>
          <w:rFonts w:ascii="Segoe UI" w:hAnsi="Segoe UI" w:cs="Segoe UI"/>
          <w:color w:val="1F2933"/>
          <w:sz w:val="21"/>
          <w:szCs w:val="21"/>
          <w:lang w:val="en"/>
        </w:rPr>
        <w:t xml:space="preserve">d in the platform's current AI-assisted generation (Section 12). Flexible </w:t>
      </w:r>
      <w:r>
        <w:rPr>
          <w:rFonts w:ascii="Segoe UI" w:hAnsi="Segoe UI" w:cs="Segoe UI"/>
          <w:color w:val="1F2933"/>
          <w:sz w:val="21"/>
          <w:szCs w:val="21"/>
          <w:lang w:val="en"/>
        </w:rPr>
        <w:lastRenderedPageBreak/>
        <w:t>commercial models — SaaS, perpetual licence, and enterprise partnership (Section 31). Cloud, on-premises, and hybrid deployment options (Section 17). A structured support and maintenance model (Section 29). A continuous improvement roadmap (Section 41). A long-term partnership approach to delivery and support. And, underpinning all of it: an Omani company, with local understanding, direct technical support, and fast communication in A</w:t>
      </w:r>
      <w:r>
        <w:rPr>
          <w:rFonts w:ascii="Segoe UI" w:hAnsi="Segoe UI" w:cs="Segoe UI"/>
          <w:color w:val="1F2933"/>
          <w:sz w:val="21"/>
          <w:szCs w:val="21"/>
          <w:lang w:val="en"/>
        </w:rPr>
        <w:t>rabic and English, without offshore handover delays.</w:t>
      </w:r>
    </w:p>
    <w:p w14:paraId="16F11DF2" w14:textId="77777777" w:rsidR="00B66A6A" w:rsidRDefault="00B66A6A">
      <w:pPr>
        <w:pStyle w:val="Heading1"/>
        <w:rPr>
          <w:rFonts w:ascii="Segoe UI" w:eastAsia="Times New Roman" w:hAnsi="Segoe UI" w:cs="Segoe UI"/>
          <w:lang w:val="en"/>
        </w:rPr>
      </w:pPr>
      <w:bookmarkStart w:id="71" w:name="_Toc236138742"/>
      <w:r>
        <w:rPr>
          <w:rFonts w:ascii="Segoe UI" w:eastAsia="Times New Roman" w:hAnsi="Segoe UI" w:cs="Segoe UI"/>
          <w:lang w:val="en"/>
        </w:rPr>
        <w:t>43. Next Steps</w:t>
      </w:r>
      <w:bookmarkEnd w:id="71"/>
    </w:p>
    <w:p w14:paraId="3B168DF4"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propose the following steps to move from this proposal to a signed agreement and, ultimately, a live platform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536"/>
        <w:gridCol w:w="7083"/>
      </w:tblGrid>
      <w:tr w:rsidR="00000000" w14:paraId="694C926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509697"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AE0D9A"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r>
      <w:tr w:rsidR="00000000" w14:paraId="298F4E6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9961D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Proposal review meeting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4C636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 this proposal together, answer questions, and clarify any assumptions</w:t>
            </w:r>
          </w:p>
        </w:tc>
      </w:tr>
      <w:tr w:rsidR="00000000" w14:paraId="4833780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BE836D"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Discovery workshop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C4E28A"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 detailed requirements, infrastructure, and integration scope (Section 23, Phase 1)</w:t>
            </w:r>
          </w:p>
        </w:tc>
      </w:tr>
      <w:tr w:rsidR="00000000" w14:paraId="0B057B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8FE78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Confirmed scope &amp; pricing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B2EB9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Finalise scope and issue confirmed pricing based on the factors in Section 32.1</w:t>
            </w:r>
          </w:p>
        </w:tc>
      </w:tr>
      <w:tr w:rsidR="00000000" w14:paraId="04BD235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727B3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Contract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EDD2C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Execute the signed commercial agreement, including final terms (Sections 31, 39)</w:t>
            </w:r>
          </w:p>
        </w:tc>
      </w:tr>
      <w:tr w:rsidR="00000000" w14:paraId="74CB73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01C03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Project kickoff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3797E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Begin delivery under the methodology set out in Section 23</w:t>
            </w:r>
          </w:p>
        </w:tc>
      </w:tr>
    </w:tbl>
    <w:p w14:paraId="3C123606" w14:textId="77777777" w:rsidR="00B66A6A" w:rsidRDefault="00B66A6A">
      <w:pPr>
        <w:pStyle w:val="Heading1"/>
        <w:rPr>
          <w:rFonts w:ascii="Segoe UI" w:eastAsia="Times New Roman" w:hAnsi="Segoe UI" w:cs="Segoe UI"/>
          <w:lang w:val="en"/>
        </w:rPr>
      </w:pPr>
      <w:bookmarkStart w:id="72" w:name="_Toc236138743"/>
      <w:r>
        <w:rPr>
          <w:rFonts w:ascii="Segoe UI" w:eastAsia="Times New Roman" w:hAnsi="Segoe UI" w:cs="Segoe UI"/>
          <w:lang w:val="en"/>
        </w:rPr>
        <w:t>44. Acceptance Page</w:t>
      </w:r>
      <w:bookmarkEnd w:id="72"/>
    </w:p>
    <w:p w14:paraId="21AF45BE"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This proposal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0D97780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C136163"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8C0B39"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00AD14B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E3803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BAFDF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095A76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FF93B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D3471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47D034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84300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340C7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2EF229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8D810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9B254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1B218986" w14:textId="77777777" w:rsidR="00B66A6A" w:rsidRDefault="00B66A6A">
      <w:pPr>
        <w:pStyle w:val="Heading1"/>
        <w:rPr>
          <w:rFonts w:ascii="Segoe UI" w:eastAsia="Times New Roman" w:hAnsi="Segoe UI" w:cs="Segoe UI"/>
          <w:lang w:val="en"/>
        </w:rPr>
      </w:pPr>
      <w:bookmarkStart w:id="73" w:name="_Toc236138744"/>
      <w:r>
        <w:rPr>
          <w:rFonts w:ascii="Segoe UI" w:eastAsia="Times New Roman" w:hAnsi="Segoe UI" w:cs="Segoe UI"/>
          <w:lang w:val="en"/>
        </w:rPr>
        <w:t>45. Contact Details</w:t>
      </w:r>
      <w:bookmarkEnd w:id="73"/>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58CC5A37" w14:textId="77777777">
        <w:tc>
          <w:tcPr>
            <w:tcW w:w="1600" w:type="pct"/>
            <w:tcBorders>
              <w:top w:val="nil"/>
              <w:left w:val="nil"/>
              <w:bottom w:val="nil"/>
              <w:right w:val="nil"/>
            </w:tcBorders>
            <w:tcMar>
              <w:top w:w="40" w:type="dxa"/>
              <w:left w:w="120" w:type="dxa"/>
              <w:bottom w:w="40" w:type="dxa"/>
              <w:right w:w="120" w:type="dxa"/>
            </w:tcMar>
            <w:hideMark/>
          </w:tcPr>
          <w:p w14:paraId="70A590AD"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1AAC232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218B9BD8" w14:textId="77777777">
        <w:tc>
          <w:tcPr>
            <w:tcW w:w="0" w:type="auto"/>
            <w:tcBorders>
              <w:top w:val="nil"/>
              <w:left w:val="nil"/>
              <w:bottom w:val="nil"/>
              <w:right w:val="nil"/>
            </w:tcBorders>
            <w:tcMar>
              <w:top w:w="40" w:type="dxa"/>
              <w:left w:w="120" w:type="dxa"/>
              <w:bottom w:w="40" w:type="dxa"/>
              <w:right w:w="120" w:type="dxa"/>
            </w:tcMar>
            <w:hideMark/>
          </w:tcPr>
          <w:p w14:paraId="32ADD6C9"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5215989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544D3B3B" w14:textId="77777777">
        <w:tc>
          <w:tcPr>
            <w:tcW w:w="0" w:type="auto"/>
            <w:tcBorders>
              <w:top w:val="nil"/>
              <w:left w:val="nil"/>
              <w:bottom w:val="nil"/>
              <w:right w:val="nil"/>
            </w:tcBorders>
            <w:tcMar>
              <w:top w:w="40" w:type="dxa"/>
              <w:left w:w="120" w:type="dxa"/>
              <w:bottom w:w="40" w:type="dxa"/>
              <w:right w:w="120" w:type="dxa"/>
            </w:tcMar>
            <w:hideMark/>
          </w:tcPr>
          <w:p w14:paraId="03E66FC9"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3A5B1BF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7E692C84" w14:textId="77777777">
        <w:tc>
          <w:tcPr>
            <w:tcW w:w="0" w:type="auto"/>
            <w:tcBorders>
              <w:top w:val="nil"/>
              <w:left w:val="nil"/>
              <w:bottom w:val="nil"/>
              <w:right w:val="nil"/>
            </w:tcBorders>
            <w:tcMar>
              <w:top w:w="40" w:type="dxa"/>
              <w:left w:w="120" w:type="dxa"/>
              <w:bottom w:w="40" w:type="dxa"/>
              <w:right w:w="120" w:type="dxa"/>
            </w:tcMar>
            <w:hideMark/>
          </w:tcPr>
          <w:p w14:paraId="31E6387A"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6811655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1DB88876" w14:textId="77777777">
        <w:tc>
          <w:tcPr>
            <w:tcW w:w="0" w:type="auto"/>
            <w:tcBorders>
              <w:top w:val="nil"/>
              <w:left w:val="nil"/>
              <w:bottom w:val="nil"/>
              <w:right w:val="nil"/>
            </w:tcBorders>
            <w:tcMar>
              <w:top w:w="40" w:type="dxa"/>
              <w:left w:w="120" w:type="dxa"/>
              <w:bottom w:w="40" w:type="dxa"/>
              <w:right w:w="120" w:type="dxa"/>
            </w:tcMar>
            <w:hideMark/>
          </w:tcPr>
          <w:p w14:paraId="23DDBE77"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0CE08E1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712CE883" w14:textId="77777777">
        <w:tc>
          <w:tcPr>
            <w:tcW w:w="0" w:type="auto"/>
            <w:tcBorders>
              <w:top w:val="nil"/>
              <w:left w:val="nil"/>
              <w:bottom w:val="nil"/>
              <w:right w:val="nil"/>
            </w:tcBorders>
            <w:tcMar>
              <w:top w:w="40" w:type="dxa"/>
              <w:left w:w="120" w:type="dxa"/>
              <w:bottom w:w="40" w:type="dxa"/>
              <w:right w:w="120" w:type="dxa"/>
            </w:tcMar>
            <w:hideMark/>
          </w:tcPr>
          <w:p w14:paraId="4B57EADD" w14:textId="77777777" w:rsidR="00B66A6A" w:rsidRDefault="00B66A6A">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06D9EB8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62E0E751" w14:textId="77777777" w:rsidR="00B66A6A" w:rsidRDefault="00B66A6A">
      <w:pPr>
        <w:pStyle w:val="Heading1"/>
        <w:rPr>
          <w:rFonts w:ascii="Segoe UI" w:eastAsia="Times New Roman" w:hAnsi="Segoe UI" w:cs="Segoe UI"/>
          <w:lang w:val="en"/>
        </w:rPr>
      </w:pPr>
      <w:bookmarkStart w:id="74" w:name="_Toc236138745"/>
      <w:r>
        <w:rPr>
          <w:rFonts w:ascii="Segoe UI" w:eastAsia="Times New Roman" w:hAnsi="Segoe UI" w:cs="Segoe UI"/>
          <w:lang w:val="en"/>
        </w:rPr>
        <w:t>46. Appendices</w:t>
      </w:r>
      <w:bookmarkEnd w:id="74"/>
    </w:p>
    <w:p w14:paraId="691706D5" w14:textId="77777777" w:rsidR="00B66A6A" w:rsidRDefault="00B66A6A">
      <w:pPr>
        <w:pStyle w:val="Heading2"/>
        <w:rPr>
          <w:rFonts w:ascii="Segoe UI" w:eastAsia="Times New Roman" w:hAnsi="Segoe UI" w:cs="Segoe UI"/>
          <w:lang w:val="en"/>
        </w:rPr>
      </w:pPr>
      <w:bookmarkStart w:id="75" w:name="_Toc236138746"/>
      <w:r>
        <w:rPr>
          <w:rFonts w:ascii="Segoe UI" w:eastAsia="Times New Roman" w:hAnsi="Segoe UI" w:cs="Segoe UI"/>
          <w:lang w:val="en"/>
        </w:rPr>
        <w:t>46.1 Appendix A — Glossary</w:t>
      </w:r>
      <w:bookmarkEnd w:id="75"/>
    </w:p>
    <w:tbl>
      <w:tblPr>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2AC0B7A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6E159C"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3FE1A8" w14:textId="77777777" w:rsidR="00B66A6A" w:rsidRDefault="00B66A6A">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r>
      <w:tr w:rsidR="00000000" w14:paraId="102D35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5288C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558DC8"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Programming Interface — the interface through which systems exchange data</w:t>
            </w:r>
          </w:p>
        </w:tc>
      </w:tr>
      <w:tr w:rsidR="00000000" w14:paraId="7EB669B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79CFB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21549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period of heightened, close-support monitoring immediately following go-live (Section 23, Phase 16)</w:t>
            </w:r>
          </w:p>
        </w:tc>
      </w:tr>
      <w:tr w:rsidR="00000000" w14:paraId="6ED831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03457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8BA22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JSON Web Token — a common secure, token-based authentication format</w:t>
            </w:r>
          </w:p>
        </w:tc>
      </w:tr>
      <w:tr w:rsidR="00000000" w14:paraId="253CE3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F8363C"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45864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w:t>
            </w:r>
          </w:p>
        </w:tc>
      </w:tr>
      <w:tr w:rsidR="00000000" w14:paraId="770501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E6F47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3CD6B0"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Multi-Factor Authentication</w:t>
            </w:r>
          </w:p>
        </w:tc>
      </w:tr>
      <w:tr w:rsidR="00000000" w14:paraId="551FB5B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266D8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43DA6F"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Control — access permissions governed by assigned roles</w:t>
            </w:r>
          </w:p>
        </w:tc>
      </w:tr>
      <w:tr w:rsidR="00000000" w14:paraId="119616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8BA5D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6714CE"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Row-Level Security — database-enforced, per-record data isolation</w:t>
            </w:r>
          </w:p>
        </w:tc>
      </w:tr>
      <w:tr w:rsidR="00000000" w14:paraId="3C6EF9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F95D4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7B6F7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Right-to-Left — the text layout direction required for Arabic</w:t>
            </w:r>
          </w:p>
        </w:tc>
      </w:tr>
      <w:tr w:rsidR="00000000" w14:paraId="2904FB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77A617"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2B666B"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Service Level Agreement — defined response and resolution targets for support</w:t>
            </w:r>
          </w:p>
        </w:tc>
      </w:tr>
      <w:tr w:rsidR="00000000" w14:paraId="2958656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25B5C2"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BAB256"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 Sign-On — authentication against a shared identity provider</w:t>
            </w:r>
          </w:p>
        </w:tc>
      </w:tr>
      <w:tr w:rsidR="00000000" w14:paraId="5F2FC2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382525"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F5E3C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Transport Layer Security — encryption protocol used to secure data in transit</w:t>
            </w:r>
          </w:p>
        </w:tc>
      </w:tr>
      <w:tr w:rsidR="00000000" w14:paraId="3F56A5E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4767B9"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630F8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Acceptance Testing — client-led testing against agreed acceptance criteria before go-live</w:t>
            </w:r>
          </w:p>
        </w:tc>
      </w:tr>
      <w:tr w:rsidR="00000000" w14:paraId="31408F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2740D1"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EE9114" w14:textId="77777777" w:rsidR="00B66A6A" w:rsidRDefault="00B66A6A">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persistent connection protocol used for the platform's real-time features</w:t>
            </w:r>
          </w:p>
        </w:tc>
      </w:tr>
    </w:tbl>
    <w:p w14:paraId="14CFBB30" w14:textId="77777777" w:rsidR="00B66A6A" w:rsidRDefault="00B66A6A">
      <w:pPr>
        <w:pStyle w:val="Heading2"/>
        <w:rPr>
          <w:rFonts w:ascii="Segoe UI" w:eastAsia="Times New Roman" w:hAnsi="Segoe UI" w:cs="Segoe UI"/>
          <w:lang w:val="en"/>
        </w:rPr>
      </w:pPr>
      <w:bookmarkStart w:id="76" w:name="_Toc236138747"/>
      <w:r>
        <w:rPr>
          <w:rFonts w:ascii="Segoe UI" w:eastAsia="Times New Roman" w:hAnsi="Segoe UI" w:cs="Segoe UI"/>
          <w:lang w:val="en"/>
        </w:rPr>
        <w:t>46.2 Appendix B — Placeholder Index</w:t>
      </w:r>
      <w:bookmarkEnd w:id="76"/>
    </w:p>
    <w:p w14:paraId="004CE54D"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following placeholders are used in this proposal and should be completed before contract signature: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(risk likelihood, Section 35), confirmed jointly during discovery. Firm pricing is summarised in Section 32 and set out in full in the accompanying Commercial Quotation, which governs (ref. ATD-LQP-2026-003-Q).</w:t>
      </w:r>
    </w:p>
    <w:p w14:paraId="21056BAE" w14:textId="77777777" w:rsidR="00B66A6A" w:rsidRDefault="00B66A6A">
      <w:pPr>
        <w:pStyle w:val="Heading2"/>
        <w:rPr>
          <w:rFonts w:ascii="Segoe UI" w:eastAsia="Times New Roman" w:hAnsi="Segoe UI" w:cs="Segoe UI"/>
          <w:lang w:val="en"/>
        </w:rPr>
      </w:pPr>
      <w:bookmarkStart w:id="77" w:name="_Toc236138748"/>
      <w:r>
        <w:rPr>
          <w:rFonts w:ascii="Segoe UI" w:eastAsia="Times New Roman" w:hAnsi="Segoe UI" w:cs="Segoe UI"/>
          <w:lang w:val="en"/>
        </w:rPr>
        <w:t>46.3 Appendix C — Referenced Documents</w:t>
      </w:r>
      <w:bookmarkEnd w:id="77"/>
    </w:p>
    <w:p w14:paraId="6800A83C" w14:textId="77777777" w:rsidR="00B66A6A" w:rsidRDefault="00B66A6A">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documents are expected to be referenced by, or read together with, this proposal; the final list is confirmed during discovery:</w:t>
      </w:r>
    </w:p>
    <w:p w14:paraId="7C42EC98" w14:textId="77777777" w:rsidR="00B66A6A" w:rsidRDefault="00B66A6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RFQ / RFP / Statement of Work (where applicable)</w:t>
      </w:r>
    </w:p>
    <w:p w14:paraId="2E7B8B84" w14:textId="77777777" w:rsidR="00B66A6A" w:rsidRDefault="00B66A6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Non-Disclosure Agreement (NDA)</w:t>
      </w:r>
    </w:p>
    <w:p w14:paraId="54A40A03" w14:textId="77777777" w:rsidR="00B66A6A" w:rsidRDefault="00B66A6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Project Charter</w:t>
      </w:r>
    </w:p>
    <w:p w14:paraId="342104BC" w14:textId="77777777" w:rsidR="00B66A6A" w:rsidRDefault="00B66A6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Technical Design Document</w:t>
      </w:r>
    </w:p>
    <w:p w14:paraId="71BF6C7F" w14:textId="77777777" w:rsidR="00B66A6A" w:rsidRDefault="00B66A6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Solution Architecture Document</w:t>
      </w:r>
    </w:p>
    <w:p w14:paraId="57B239EC" w14:textId="77777777" w:rsidR="00B66A6A" w:rsidRDefault="00B66A6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Security Review Report</w:t>
      </w:r>
    </w:p>
    <w:p w14:paraId="6B650140" w14:textId="77777777" w:rsidR="00B66A6A" w:rsidRDefault="00B66A6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Risk Assessment</w:t>
      </w:r>
    </w:p>
    <w:p w14:paraId="1CEDF162" w14:textId="77777777" w:rsidR="00B66A6A" w:rsidRDefault="00B66A6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Information Security Standards</w:t>
      </w:r>
    </w:p>
    <w:p w14:paraId="6F51FD43" w14:textId="77777777" w:rsidR="00B66A6A" w:rsidRDefault="00B66A6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Classification Policy</w:t>
      </w:r>
    </w:p>
    <w:p w14:paraId="376DEA2D" w14:textId="77777777" w:rsidR="00B66A6A" w:rsidRDefault="00B66A6A">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HSE Training Standards (where applicable)</w:t>
      </w:r>
    </w:p>
    <w:sectPr w:rsidR="00B66A6A" w:rsidSect="00F25D79">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37677" w14:textId="77777777" w:rsidR="00B66A6A" w:rsidRDefault="00B66A6A" w:rsidP="00F25D79">
      <w:r>
        <w:separator/>
      </w:r>
    </w:p>
  </w:endnote>
  <w:endnote w:type="continuationSeparator" w:id="0">
    <w:p w14:paraId="4C4C7F05" w14:textId="77777777" w:rsidR="00B66A6A" w:rsidRDefault="00B66A6A" w:rsidP="00F25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B1A3" w14:textId="77777777" w:rsidR="00F25D79" w:rsidRDefault="00F25D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4B35" w14:textId="0361A34A" w:rsidR="00F25D79" w:rsidRPr="00F25D79" w:rsidRDefault="00F25D79" w:rsidP="00F25D79">
    <w:pPr>
      <w:pStyle w:val="Footer"/>
      <w:jc w:val="center"/>
      <w:rPr>
        <w:color w:val="5A6B7A"/>
        <w:sz w:val="16"/>
      </w:rPr>
    </w:pPr>
    <w:r w:rsidRPr="00F25D79">
      <w:rPr>
        <w:color w:val="5A6B7A"/>
        <w:sz w:val="16"/>
      </w:rPr>
      <w:t>Al Tanfith Al Dwaliah SPC  |  Page </w:t>
    </w:r>
    <w:r w:rsidRPr="00F25D79">
      <w:rPr>
        <w:color w:val="5A6B7A"/>
        <w:sz w:val="16"/>
      </w:rPr>
      <w:fldChar w:fldCharType="begin"/>
    </w:r>
    <w:r w:rsidRPr="00F25D79">
      <w:rPr>
        <w:color w:val="5A6B7A"/>
        <w:sz w:val="16"/>
      </w:rPr>
      <w:instrText xml:space="preserve"> PAGE  \* MERGEFORMAT </w:instrText>
    </w:r>
    <w:r w:rsidRPr="00F25D79">
      <w:rPr>
        <w:color w:val="5A6B7A"/>
        <w:sz w:val="16"/>
      </w:rPr>
      <w:fldChar w:fldCharType="separate"/>
    </w:r>
    <w:r w:rsidRPr="00F25D79">
      <w:rPr>
        <w:noProof/>
        <w:color w:val="5A6B7A"/>
        <w:sz w:val="16"/>
      </w:rPr>
      <w:t>1</w:t>
    </w:r>
    <w:r w:rsidRPr="00F25D79">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8184F" w14:textId="77777777" w:rsidR="00F25D79" w:rsidRDefault="00F25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3C22" w14:textId="77777777" w:rsidR="00B66A6A" w:rsidRDefault="00B66A6A" w:rsidP="00F25D79">
      <w:r>
        <w:separator/>
      </w:r>
    </w:p>
  </w:footnote>
  <w:footnote w:type="continuationSeparator" w:id="0">
    <w:p w14:paraId="0C1E867F" w14:textId="77777777" w:rsidR="00B66A6A" w:rsidRDefault="00B66A6A" w:rsidP="00F25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A43A" w14:textId="77777777" w:rsidR="00F25D79" w:rsidRDefault="00F25D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ABB0" w14:textId="77777777" w:rsidR="00F25D79" w:rsidRDefault="00F25D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52357" w14:textId="77777777" w:rsidR="00F25D79" w:rsidRDefault="00F25D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7D5"/>
    <w:multiLevelType w:val="multilevel"/>
    <w:tmpl w:val="621A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D6B04"/>
    <w:multiLevelType w:val="multilevel"/>
    <w:tmpl w:val="2FF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070F3"/>
    <w:multiLevelType w:val="multilevel"/>
    <w:tmpl w:val="D68A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4413E"/>
    <w:multiLevelType w:val="multilevel"/>
    <w:tmpl w:val="596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25A7A"/>
    <w:multiLevelType w:val="multilevel"/>
    <w:tmpl w:val="A6E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429146">
    <w:abstractNumId w:val="1"/>
  </w:num>
  <w:num w:numId="2" w16cid:durableId="83647827">
    <w:abstractNumId w:val="2"/>
  </w:num>
  <w:num w:numId="3" w16cid:durableId="1542980914">
    <w:abstractNumId w:val="4"/>
  </w:num>
  <w:num w:numId="4" w16cid:durableId="854148519">
    <w:abstractNumId w:val="0"/>
  </w:num>
  <w:num w:numId="5" w16cid:durableId="1918782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5D79"/>
    <w:rsid w:val="005D5C3D"/>
    <w:rsid w:val="00B66A6A"/>
    <w:rsid w:val="00F25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48776"/>
  <w15:chartTrackingRefBased/>
  <w15:docId w15:val="{B09523F1-2BAB-44D2-98AD-5B73BDE7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paragraph" w:styleId="Header">
    <w:name w:val="header"/>
    <w:basedOn w:val="Normal"/>
    <w:link w:val="HeaderChar"/>
    <w:uiPriority w:val="99"/>
    <w:unhideWhenUsed/>
    <w:rsid w:val="00F25D79"/>
    <w:pPr>
      <w:tabs>
        <w:tab w:val="center" w:pos="4680"/>
        <w:tab w:val="right" w:pos="9360"/>
      </w:tabs>
    </w:pPr>
  </w:style>
  <w:style w:type="character" w:customStyle="1" w:styleId="HeaderChar">
    <w:name w:val="Header Char"/>
    <w:basedOn w:val="DefaultParagraphFont"/>
    <w:link w:val="Header"/>
    <w:uiPriority w:val="99"/>
    <w:rsid w:val="00F25D79"/>
    <w:rPr>
      <w:rFonts w:eastAsiaTheme="minorEastAsia"/>
      <w:sz w:val="24"/>
      <w:szCs w:val="24"/>
    </w:rPr>
  </w:style>
  <w:style w:type="paragraph" w:styleId="Footer">
    <w:name w:val="footer"/>
    <w:basedOn w:val="Normal"/>
    <w:link w:val="FooterChar"/>
    <w:uiPriority w:val="99"/>
    <w:unhideWhenUsed/>
    <w:rsid w:val="00F25D79"/>
    <w:pPr>
      <w:tabs>
        <w:tab w:val="center" w:pos="4680"/>
        <w:tab w:val="right" w:pos="9360"/>
      </w:tabs>
    </w:pPr>
  </w:style>
  <w:style w:type="character" w:customStyle="1" w:styleId="FooterChar">
    <w:name w:val="Footer Char"/>
    <w:basedOn w:val="DefaultParagraphFont"/>
    <w:link w:val="Footer"/>
    <w:uiPriority w:val="99"/>
    <w:rsid w:val="00F25D79"/>
    <w:rPr>
      <w:rFonts w:eastAsiaTheme="minorEastAsia"/>
      <w:sz w:val="24"/>
      <w:szCs w:val="24"/>
    </w:rPr>
  </w:style>
  <w:style w:type="paragraph" w:styleId="TOC1">
    <w:name w:val="toc 1"/>
    <w:basedOn w:val="Normal"/>
    <w:next w:val="Normal"/>
    <w:autoRedefine/>
    <w:uiPriority w:val="39"/>
    <w:unhideWhenUsed/>
    <w:rsid w:val="00F25D79"/>
    <w:pPr>
      <w:spacing w:after="100"/>
    </w:pPr>
  </w:style>
  <w:style w:type="paragraph" w:styleId="TOC2">
    <w:name w:val="toc 2"/>
    <w:basedOn w:val="Normal"/>
    <w:next w:val="Normal"/>
    <w:autoRedefine/>
    <w:uiPriority w:val="39"/>
    <w:unhideWhenUsed/>
    <w:rsid w:val="00F25D7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11135</Words>
  <Characters>68868</Characters>
  <Application>Microsoft Office Word</Application>
  <DocSecurity>0</DocSecurity>
  <Lines>1922</Lines>
  <Paragraphs>1236</Paragraphs>
  <ScaleCrop>false</ScaleCrop>
  <Company/>
  <LinksUpToDate>false</LinksUpToDate>
  <CharactersWithSpaces>78881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Technical &amp; Commercial Proposal</dc:title>
  <dc:subject/>
  <dc:creator>Haitham Al Lamki</dc:creator>
  <cp:keywords/>
  <dc:description/>
  <cp:lastModifiedBy>Haitham Al Lamki</cp:lastModifiedBy>
  <cp:revision>2</cp:revision>
  <dcterms:created xsi:type="dcterms:W3CDTF">2026-07-28T09:42:00Z</dcterms:created>
  <dcterms:modified xsi:type="dcterms:W3CDTF">2026-07-28T09:42:00Z</dcterms:modified>
</cp:coreProperties>
</file>