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D4B9611"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509F660B" w14:textId="77777777" w:rsidR="000317BC" w:rsidRDefault="000317BC">
            <w:pPr>
              <w:pStyle w:val="NormalWeb"/>
              <w:rPr>
                <w:rFonts w:ascii="Segoe UI" w:hAnsi="Segoe UI" w:cs="Segoe UI"/>
                <w:color w:val="FFFFFF"/>
                <w:spacing w:val="20"/>
              </w:rPr>
            </w:pPr>
            <w:r>
              <w:rPr>
                <w:rFonts w:ascii="Segoe UI" w:hAnsi="Segoe UI" w:cs="Segoe UI"/>
                <w:color w:val="FFFFFF"/>
                <w:spacing w:val="20"/>
              </w:rPr>
              <w:t>AL TANFITH AL DWALIAH SPC</w:t>
            </w:r>
          </w:p>
          <w:p w14:paraId="0E1A9781" w14:textId="77777777" w:rsidR="000317BC" w:rsidRDefault="000317BC">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2D32EBBC" w14:textId="77777777" w:rsidR="000317BC" w:rsidRDefault="000317BC">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158A43CC" w14:textId="77777777" w:rsidR="000317BC" w:rsidRDefault="000317BC">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74579AEF" w14:textId="77777777" w:rsidR="000317BC" w:rsidRDefault="000317BC">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5FDFBB02" w14:textId="77777777" w:rsidR="000317BC" w:rsidRDefault="000317BC">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1.0</w:t>
            </w:r>
          </w:p>
          <w:p w14:paraId="2516230E" w14:textId="77777777" w:rsidR="000317BC" w:rsidRDefault="000317BC">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22/07/2026</w:t>
            </w:r>
          </w:p>
        </w:tc>
      </w:tr>
    </w:tbl>
    <w:p w14:paraId="37C8FD0B" w14:textId="77777777" w:rsidR="000317BC" w:rsidRDefault="000317BC">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34A053EE"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an enterprise engagement, assessment, and knowledge-evaluation platform, offered as a flexible, customisable alternative to general public quiz tools, and already proven in real operational use.</w:t>
      </w:r>
    </w:p>
    <w:p w14:paraId="05C0AF80"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4C197367"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figures in this document are editable placeholders, shown to illustrate the pricing structure only. Final pricing for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confirmed after the discovery phase described in the full proposal, once the factors listed in Section 4 (Pricing Methodology) are known.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7DED477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6D0F36"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0E603B4A"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DB403A"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3BBA2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3ED372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F3B50"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31B1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420ACF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DBE82C"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6B3C2"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6AF1C41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D2B966"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1F544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Placeholder structure only — final pricing confirmed after discovery</w:t>
            </w:r>
          </w:p>
        </w:tc>
      </w:tr>
      <w:tr w:rsidR="00000000" w14:paraId="1542B1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FBC5EC"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E4D16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22/07/2026</w:t>
            </w:r>
          </w:p>
        </w:tc>
      </w:tr>
    </w:tbl>
    <w:p w14:paraId="3AAC5E64" w14:textId="77777777" w:rsidR="000317BC" w:rsidRDefault="000317BC">
      <w:pPr>
        <w:pStyle w:val="Heading1"/>
        <w:rPr>
          <w:rFonts w:ascii="Segoe UI" w:eastAsia="Times New Roman" w:hAnsi="Segoe UI" w:cs="Segoe UI"/>
          <w:lang w:val="en"/>
        </w:rPr>
      </w:pPr>
      <w:r>
        <w:rPr>
          <w:rFonts w:ascii="Segoe UI" w:eastAsia="Times New Roman" w:hAnsi="Segoe UI" w:cs="Segoe UI"/>
          <w:lang w:val="en"/>
        </w:rPr>
        <w:t>2. Pricing Tables</w:t>
      </w:r>
    </w:p>
    <w:p w14:paraId="01ADF667"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can select the ownership, cost, and delivery structure that best fits its procurement approach. The subsections below summarise each model; the comparison table that follows sets them side by side. All amounts are shown as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or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placeholders and are provided to illustrate the pricing structure only.</w:t>
      </w:r>
    </w:p>
    <w:p w14:paraId="09D27941" w14:textId="77777777" w:rsidR="000317BC" w:rsidRDefault="000317BC">
      <w:pPr>
        <w:pStyle w:val="Heading2"/>
        <w:rPr>
          <w:rFonts w:ascii="Segoe UI" w:eastAsia="Times New Roman" w:hAnsi="Segoe UI" w:cs="Segoe UI"/>
          <w:lang w:val="en"/>
        </w:rPr>
      </w:pPr>
      <w:r>
        <w:rPr>
          <w:rFonts w:ascii="Segoe UI" w:eastAsia="Times New Roman" w:hAnsi="Segoe UI" w:cs="Segoe UI"/>
          <w:lang w:val="en"/>
        </w:rPr>
        <w:t>2.1 Model A — Annual SaaS Subscription</w:t>
      </w:r>
    </w:p>
    <w:p w14:paraId="6A82700E"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behalf. Includes: annual licence; cloud hosting; maintenance; security updates; backup; monitoring; </w:t>
      </w:r>
      <w:r>
        <w:rPr>
          <w:rFonts w:ascii="Segoe UI" w:hAnsi="Segoe UI" w:cs="Segoe UI"/>
          <w:color w:val="1F2933"/>
          <w:sz w:val="21"/>
          <w:szCs w:val="21"/>
          <w:lang w:val="en"/>
        </w:rPr>
        <w:lastRenderedPageBreak/>
        <w:t>support; standard upgrades; unlimited named administrative accounts and unlimited participant access (see Section 14 of the full proposal), with an agreed number of sessions; an AI usage allowance, with optional overage pricing; customisation priced separately from the base subscription.</w:t>
      </w:r>
    </w:p>
    <w:tbl>
      <w:tblPr>
        <w:tblW w:w="5000" w:type="pct"/>
        <w:tblCellMar>
          <w:top w:w="15" w:type="dxa"/>
          <w:left w:w="15" w:type="dxa"/>
          <w:bottom w:w="15" w:type="dxa"/>
          <w:right w:w="15" w:type="dxa"/>
        </w:tblCellMar>
        <w:tblLook w:val="04A0" w:firstRow="1" w:lastRow="0" w:firstColumn="1" w:lastColumn="0" w:noHBand="0" w:noVBand="1"/>
      </w:tblPr>
      <w:tblGrid>
        <w:gridCol w:w="6892"/>
        <w:gridCol w:w="2727"/>
      </w:tblGrid>
      <w:tr w:rsidR="00000000" w14:paraId="6ABCF84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11B7D3"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C5CFAD"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5C55A8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D091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A1AC24"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7FA4C7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27BB1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42398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7C10F2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95D20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A7C3D7"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3140CC84" w14:textId="77777777" w:rsidR="000317BC" w:rsidRDefault="000317BC">
      <w:pPr>
        <w:pStyle w:val="Heading2"/>
        <w:rPr>
          <w:rFonts w:ascii="Segoe UI" w:eastAsia="Times New Roman" w:hAnsi="Segoe UI" w:cs="Segoe UI"/>
          <w:lang w:val="en"/>
        </w:rPr>
      </w:pPr>
      <w:r>
        <w:rPr>
          <w:rFonts w:ascii="Segoe UI" w:eastAsia="Times New Roman" w:hAnsi="Segoe UI" w:cs="Segoe UI"/>
          <w:lang w:val="en"/>
        </w:rPr>
        <w:t>2.2 Model B — Perpetual Licence / One-Time Purchase</w:t>
      </w:r>
    </w:p>
    <w:p w14:paraId="1DF2B69A"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optional annual maintenance, recommended at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w:t>
      </w:r>
      <w:r>
        <w:rPr>
          <w:rFonts w:ascii="Segoe UI" w:hAnsi="Segoe UI" w:cs="Segoe UI"/>
          <w:color w:val="1F2933"/>
          <w:sz w:val="21"/>
          <w:szCs w:val="21"/>
          <w:lang w:val="en"/>
        </w:rPr>
        <w:t>of software value, payable annually in advance.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7513"/>
        <w:gridCol w:w="2106"/>
      </w:tblGrid>
      <w:tr w:rsidR="00000000" w14:paraId="45E4751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53F2D6"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97BAC2"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7DC6E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6D420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One-Time Licence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A1F3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018417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8EB9B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682C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1E9685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89A2BE"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5374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36DBB9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8A3A6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EF995F"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2665D50E" w14:textId="77777777" w:rsidR="000317BC" w:rsidRDefault="000317BC">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2BAB4BFC"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6845"/>
        <w:gridCol w:w="2774"/>
      </w:tblGrid>
      <w:tr w:rsidR="00000000" w14:paraId="74D4D1B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8ECA7A"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FA928C"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234B19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F011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8FF6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A2834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2D02E4"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D4AE1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20C0D8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6E164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5A502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E324E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484AFE"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1B4CF"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2AF794B9" w14:textId="77777777" w:rsidR="000317BC" w:rsidRDefault="000317BC">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2C6758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1150F9" w14:textId="77777777" w:rsidR="000317BC" w:rsidRDefault="000317BC">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5C6381"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62403A"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46CE5A"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3D61B0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B5E9CA"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D6A37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A68E4"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A6F06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76E8FE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ADCBFB"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743A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6B7E5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D9ADAF"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57067D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7CF0C0"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2CF19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3DAAD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CECFC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2D9F42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0D7B80"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47AF5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DC41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F978E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4EE525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CAF951"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B7D6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97B91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A51A0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47C9B83C" w14:textId="77777777" w:rsidR="000317BC" w:rsidRDefault="000317BC">
      <w:pPr>
        <w:pStyle w:val="Heading1"/>
        <w:rPr>
          <w:rFonts w:ascii="Segoe UI" w:eastAsia="Times New Roman" w:hAnsi="Segoe UI" w:cs="Segoe UI"/>
          <w:lang w:val="en"/>
        </w:rPr>
      </w:pPr>
      <w:r>
        <w:rPr>
          <w:rFonts w:ascii="Segoe UI" w:eastAsia="Times New Roman" w:hAnsi="Segoe UI" w:cs="Segoe UI"/>
          <w:lang w:val="en"/>
        </w:rPr>
        <w:t>3. Optional Items</w:t>
      </w:r>
    </w:p>
    <w:p w14:paraId="20ADAEF7"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All amounts are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placeholders,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1655"/>
        <w:gridCol w:w="6094"/>
        <w:gridCol w:w="1018"/>
        <w:gridCol w:w="852"/>
      </w:tblGrid>
      <w:tr w:rsidR="00000000" w14:paraId="6354E8E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1DF30D"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0211D7"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732FF5"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03B575"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13E2A0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79D84"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Training add-ons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2B94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administrator, quiz-creator, or support-team training; recorded training; train-the-trainer sessions; Arabic and English training material beyond the base package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E9C676" w14:textId="77777777" w:rsidR="000317BC" w:rsidRDefault="000317B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6F5A2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65BECF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3BE0A5"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6102E"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478077" w14:textId="77777777" w:rsidR="000317BC" w:rsidRDefault="000317B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182136"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57C964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D463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1C417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075722" w14:textId="77777777" w:rsidR="000317BC" w:rsidRDefault="000317B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A666F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0AECD3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1EA11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177E26"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4F3C83" w14:textId="77777777" w:rsidR="000317BC" w:rsidRDefault="000317B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D15D15"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50DF4E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7162A5"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E21B5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400325" w14:textId="77777777" w:rsidR="000317BC" w:rsidRDefault="000317BC">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C565CE"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21D83235" w14:textId="77777777" w:rsidR="000317BC" w:rsidRDefault="000317BC">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7E0AEC2C" w14:textId="77777777" w:rsidR="000317BC" w:rsidRDefault="000317BC">
      <w:pPr>
        <w:pStyle w:val="Heading1"/>
        <w:rPr>
          <w:rFonts w:ascii="Segoe UI" w:eastAsia="Times New Roman" w:hAnsi="Segoe UI" w:cs="Segoe UI"/>
          <w:lang w:val="en"/>
        </w:rPr>
      </w:pPr>
      <w:r>
        <w:rPr>
          <w:rFonts w:ascii="Segoe UI" w:eastAsia="Times New Roman" w:hAnsi="Segoe UI" w:cs="Segoe UI"/>
          <w:lang w:val="en"/>
        </w:rPr>
        <w:t>4. Pricing Methodology</w:t>
      </w:r>
    </w:p>
    <w:p w14:paraId="04135AC9"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not a single fixed figure; it depends on a defined set of factors, confirmed during the discovery phase described in the full proposal. The placeholders in Section 2 are replaced with confirmed figures once these factors are known.</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38655C6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8E7BCD"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305CCF"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4F749B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97726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BB03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4215E2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8715A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73EE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2E9E1CA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B0E18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953BD"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54CB88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BE05D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2D46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0DBCBB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473F1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C6B4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73A6AA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634172"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D27A32"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0BDC36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5F942"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98400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623BF3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308CB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3A55E"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7A61BA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F07C07"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D2E9D8"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39B496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A0E4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72D07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013CF7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EF07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AD227"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026A569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A726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43F3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47CEE8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87ED9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B304E1"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16B04A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CBC1D6"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82FD9"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108018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15099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1CF8C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1D4045EC" w14:textId="77777777" w:rsidR="000317BC" w:rsidRDefault="000317BC">
      <w:pPr>
        <w:pStyle w:val="Heading1"/>
        <w:rPr>
          <w:rFonts w:ascii="Segoe UI" w:eastAsia="Times New Roman" w:hAnsi="Segoe UI" w:cs="Segoe UI"/>
          <w:lang w:val="en"/>
        </w:rPr>
      </w:pPr>
      <w:r>
        <w:rPr>
          <w:rFonts w:ascii="Segoe UI" w:eastAsia="Times New Roman" w:hAnsi="Segoe UI" w:cs="Segoe UI"/>
          <w:lang w:val="en"/>
        </w:rPr>
        <w:t>5. Commercial Terms</w:t>
      </w:r>
    </w:p>
    <w:p w14:paraId="45C73FBB" w14:textId="77777777" w:rsidR="000317BC" w:rsidRDefault="000317BC">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07E4D057"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70194031"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Milestone payment structure for project-based engagements: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13C0868C"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SaaS subscription (Model A): annual payment in advance.</w:t>
      </w:r>
    </w:p>
    <w:p w14:paraId="5BF66E51"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17F301E1"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609BD028"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548D69F1" w14:textId="77777777" w:rsidR="000317BC" w:rsidRDefault="000317BC">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50263378" w14:textId="77777777" w:rsidR="000317BC" w:rsidRDefault="000317BC">
      <w:pPr>
        <w:pStyle w:val="Heading1"/>
        <w:rPr>
          <w:rFonts w:ascii="Segoe UI" w:eastAsia="Times New Roman" w:hAnsi="Segoe UI" w:cs="Segoe UI"/>
          <w:lang w:val="en"/>
        </w:rPr>
      </w:pPr>
      <w:r>
        <w:rPr>
          <w:rFonts w:ascii="Segoe UI" w:eastAsia="Times New Roman" w:hAnsi="Segoe UI" w:cs="Segoe UI"/>
          <w:lang w:val="en"/>
        </w:rPr>
        <w:t>6. Validity &amp; Acceptance</w:t>
      </w:r>
    </w:p>
    <w:p w14:paraId="6491522A"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Beyond this period, pricing and availability are subject to reconfirmation by Al Tanfith Al Dwaliah SPC.</w:t>
      </w:r>
    </w:p>
    <w:p w14:paraId="360A11B7" w14:textId="77777777" w:rsidR="000317BC" w:rsidRDefault="000317BC">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587E2CC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566802"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E0D5FC" w14:textId="77777777" w:rsidR="000317BC" w:rsidRDefault="000317BC">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250C4C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883DB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B529AB"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6ED215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F1F41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D744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518CE9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98E6F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1CD46"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192DE8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D62DEF"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CEDD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112C912C" w14:textId="77777777" w:rsidR="000317BC" w:rsidRDefault="000317BC">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B87239D" w14:textId="77777777">
        <w:tc>
          <w:tcPr>
            <w:tcW w:w="1600" w:type="pct"/>
            <w:tcBorders>
              <w:top w:val="nil"/>
              <w:left w:val="nil"/>
              <w:bottom w:val="nil"/>
              <w:right w:val="nil"/>
            </w:tcBorders>
            <w:tcMar>
              <w:top w:w="40" w:type="dxa"/>
              <w:left w:w="120" w:type="dxa"/>
              <w:bottom w:w="40" w:type="dxa"/>
              <w:right w:w="120" w:type="dxa"/>
            </w:tcMar>
            <w:hideMark/>
          </w:tcPr>
          <w:p w14:paraId="75C9F2EA"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5F78E21C"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24724B2C" w14:textId="77777777">
        <w:tc>
          <w:tcPr>
            <w:tcW w:w="0" w:type="auto"/>
            <w:tcBorders>
              <w:top w:val="nil"/>
              <w:left w:val="nil"/>
              <w:bottom w:val="nil"/>
              <w:right w:val="nil"/>
            </w:tcBorders>
            <w:tcMar>
              <w:top w:w="40" w:type="dxa"/>
              <w:left w:w="120" w:type="dxa"/>
              <w:bottom w:w="40" w:type="dxa"/>
              <w:right w:w="120" w:type="dxa"/>
            </w:tcMar>
            <w:hideMark/>
          </w:tcPr>
          <w:p w14:paraId="4A6E16E6"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7C715FBA"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0BDF2999" w14:textId="77777777">
        <w:tc>
          <w:tcPr>
            <w:tcW w:w="0" w:type="auto"/>
            <w:tcBorders>
              <w:top w:val="nil"/>
              <w:left w:val="nil"/>
              <w:bottom w:val="nil"/>
              <w:right w:val="nil"/>
            </w:tcBorders>
            <w:tcMar>
              <w:top w:w="40" w:type="dxa"/>
              <w:left w:w="120" w:type="dxa"/>
              <w:bottom w:w="40" w:type="dxa"/>
              <w:right w:w="120" w:type="dxa"/>
            </w:tcMar>
            <w:hideMark/>
          </w:tcPr>
          <w:p w14:paraId="4FBAA057"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45A5FCC7"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51951CED" w14:textId="77777777">
        <w:tc>
          <w:tcPr>
            <w:tcW w:w="0" w:type="auto"/>
            <w:tcBorders>
              <w:top w:val="nil"/>
              <w:left w:val="nil"/>
              <w:bottom w:val="nil"/>
              <w:right w:val="nil"/>
            </w:tcBorders>
            <w:tcMar>
              <w:top w:w="40" w:type="dxa"/>
              <w:left w:w="120" w:type="dxa"/>
              <w:bottom w:w="40" w:type="dxa"/>
              <w:right w:w="120" w:type="dxa"/>
            </w:tcMar>
            <w:hideMark/>
          </w:tcPr>
          <w:p w14:paraId="0B4B9B1E"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6E8A7AC7"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0AB85963" w14:textId="77777777">
        <w:tc>
          <w:tcPr>
            <w:tcW w:w="0" w:type="auto"/>
            <w:tcBorders>
              <w:top w:val="nil"/>
              <w:left w:val="nil"/>
              <w:bottom w:val="nil"/>
              <w:right w:val="nil"/>
            </w:tcBorders>
            <w:tcMar>
              <w:top w:w="40" w:type="dxa"/>
              <w:left w:w="120" w:type="dxa"/>
              <w:bottom w:w="40" w:type="dxa"/>
              <w:right w:w="120" w:type="dxa"/>
            </w:tcMar>
            <w:hideMark/>
          </w:tcPr>
          <w:p w14:paraId="60839B05"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33DEF060"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7CA27EDB" w14:textId="77777777">
        <w:tc>
          <w:tcPr>
            <w:tcW w:w="0" w:type="auto"/>
            <w:tcBorders>
              <w:top w:val="nil"/>
              <w:left w:val="nil"/>
              <w:bottom w:val="nil"/>
              <w:right w:val="nil"/>
            </w:tcBorders>
            <w:tcMar>
              <w:top w:w="40" w:type="dxa"/>
              <w:left w:w="120" w:type="dxa"/>
              <w:bottom w:w="40" w:type="dxa"/>
              <w:right w:w="120" w:type="dxa"/>
            </w:tcMar>
            <w:hideMark/>
          </w:tcPr>
          <w:p w14:paraId="5D49DB84" w14:textId="77777777" w:rsidR="000317BC" w:rsidRDefault="000317BC">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75774BC3" w14:textId="77777777" w:rsidR="000317BC" w:rsidRDefault="000317BC">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0E9A40E" w14:textId="77777777" w:rsidR="000317BC" w:rsidRDefault="000317BC">
      <w:pPr>
        <w:rPr>
          <w:rFonts w:eastAsia="Times New Roman"/>
        </w:rPr>
      </w:pPr>
    </w:p>
    <w:sectPr w:rsidR="000317BC" w:rsidSect="006E5A08">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BF21" w14:textId="77777777" w:rsidR="000317BC" w:rsidRDefault="000317BC" w:rsidP="006E5A08">
      <w:r>
        <w:separator/>
      </w:r>
    </w:p>
  </w:endnote>
  <w:endnote w:type="continuationSeparator" w:id="0">
    <w:p w14:paraId="44E9A08C" w14:textId="77777777" w:rsidR="000317BC" w:rsidRDefault="000317BC" w:rsidP="006E5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DB9A4" w14:textId="77777777" w:rsidR="006E5A08" w:rsidRDefault="006E5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28B3" w14:textId="718F6365" w:rsidR="006E5A08" w:rsidRPr="006E5A08" w:rsidRDefault="006E5A08" w:rsidP="006E5A08">
    <w:pPr>
      <w:pStyle w:val="Footer"/>
      <w:jc w:val="center"/>
      <w:rPr>
        <w:color w:val="5A6B7A"/>
        <w:sz w:val="16"/>
      </w:rPr>
    </w:pPr>
    <w:r w:rsidRPr="006E5A08">
      <w:rPr>
        <w:color w:val="5A6B7A"/>
        <w:sz w:val="16"/>
      </w:rPr>
      <w:t xml:space="preserve">Al Tanfith Al Dwaliah SPC  |  Page </w:t>
    </w:r>
    <w:r w:rsidRPr="006E5A08">
      <w:rPr>
        <w:color w:val="5A6B7A"/>
        <w:sz w:val="16"/>
      </w:rPr>
      <w:fldChar w:fldCharType="begin"/>
    </w:r>
    <w:r w:rsidRPr="006E5A08">
      <w:rPr>
        <w:color w:val="5A6B7A"/>
        <w:sz w:val="16"/>
      </w:rPr>
      <w:instrText xml:space="preserve"> PAGE  \* MERGEFORMAT </w:instrText>
    </w:r>
    <w:r w:rsidRPr="006E5A08">
      <w:rPr>
        <w:color w:val="5A6B7A"/>
        <w:sz w:val="16"/>
      </w:rPr>
      <w:fldChar w:fldCharType="separate"/>
    </w:r>
    <w:r w:rsidRPr="006E5A08">
      <w:rPr>
        <w:noProof/>
        <w:color w:val="5A6B7A"/>
        <w:sz w:val="16"/>
      </w:rPr>
      <w:t>1</w:t>
    </w:r>
    <w:r w:rsidRPr="006E5A08">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7F5A" w14:textId="77777777" w:rsidR="006E5A08" w:rsidRDefault="006E5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ECCD" w14:textId="77777777" w:rsidR="000317BC" w:rsidRDefault="000317BC" w:rsidP="006E5A08">
      <w:r>
        <w:separator/>
      </w:r>
    </w:p>
  </w:footnote>
  <w:footnote w:type="continuationSeparator" w:id="0">
    <w:p w14:paraId="7373BD1A" w14:textId="77777777" w:rsidR="000317BC" w:rsidRDefault="000317BC" w:rsidP="006E5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1E39" w14:textId="77777777" w:rsidR="006E5A08" w:rsidRDefault="006E5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D2CC" w14:textId="77777777" w:rsidR="006E5A08" w:rsidRDefault="006E5A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346D" w14:textId="77777777" w:rsidR="006E5A08" w:rsidRDefault="006E5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B97"/>
    <w:multiLevelType w:val="multilevel"/>
    <w:tmpl w:val="7D8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33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5A08"/>
    <w:rsid w:val="000317BC"/>
    <w:rsid w:val="006E5A08"/>
    <w:rsid w:val="0078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8B02A"/>
  <w15:chartTrackingRefBased/>
  <w15:docId w15:val="{66976909-613F-4709-9F56-24FEDED2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6E5A08"/>
    <w:pPr>
      <w:tabs>
        <w:tab w:val="center" w:pos="4680"/>
        <w:tab w:val="right" w:pos="9360"/>
      </w:tabs>
    </w:pPr>
  </w:style>
  <w:style w:type="character" w:customStyle="1" w:styleId="HeaderChar">
    <w:name w:val="Header Char"/>
    <w:basedOn w:val="DefaultParagraphFont"/>
    <w:link w:val="Header"/>
    <w:uiPriority w:val="99"/>
    <w:rsid w:val="006E5A08"/>
    <w:rPr>
      <w:rFonts w:eastAsiaTheme="minorEastAsia"/>
      <w:sz w:val="24"/>
      <w:szCs w:val="24"/>
    </w:rPr>
  </w:style>
  <w:style w:type="paragraph" w:styleId="Footer">
    <w:name w:val="footer"/>
    <w:basedOn w:val="Normal"/>
    <w:link w:val="FooterChar"/>
    <w:uiPriority w:val="99"/>
    <w:unhideWhenUsed/>
    <w:rsid w:val="006E5A08"/>
    <w:pPr>
      <w:tabs>
        <w:tab w:val="center" w:pos="4680"/>
        <w:tab w:val="right" w:pos="9360"/>
      </w:tabs>
    </w:pPr>
  </w:style>
  <w:style w:type="character" w:customStyle="1" w:styleId="FooterChar">
    <w:name w:val="Footer Char"/>
    <w:basedOn w:val="DefaultParagraphFont"/>
    <w:link w:val="Footer"/>
    <w:uiPriority w:val="99"/>
    <w:rsid w:val="006E5A0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1215</Words>
  <Characters>7727</Characters>
  <Application>Microsoft Office Word</Application>
  <DocSecurity>0</DocSecurity>
  <Lines>254</Lines>
  <Paragraphs>178</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2026-07-26T05:18:00Z</dcterms:created>
  <dcterms:modified xsi:type="dcterms:W3CDTF">2026-07-26T05:18:00Z</dcterms:modified>
</cp:coreProperties>
</file>