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CellMar>
          <w:top w:w="15" w:type="dxa"/>
          <w:left w:w="15" w:type="dxa"/>
          <w:bottom w:w="15" w:type="dxa"/>
          <w:right w:w="15" w:type="dxa"/>
        </w:tblCellMar>
        <w:tblLook w:val="04A0" w:firstRow="1" w:lastRow="0" w:firstColumn="1" w:lastColumn="0" w:noHBand="0" w:noVBand="1"/>
      </w:tblPr>
      <w:tblGrid>
        <w:gridCol w:w="9639"/>
      </w:tblGrid>
      <w:tr w:rsidR="00000000" w14:paraId="44421322" w14:textId="77777777">
        <w:tc>
          <w:tcPr>
            <w:tcW w:w="0" w:type="auto"/>
            <w:tcBorders>
              <w:top w:val="nil"/>
              <w:left w:val="nil"/>
              <w:bottom w:val="nil"/>
              <w:right w:val="nil"/>
            </w:tcBorders>
            <w:shd w:val="clear" w:color="auto" w:fill="0B2239"/>
            <w:tcMar>
              <w:top w:w="1200" w:type="dxa"/>
              <w:left w:w="800" w:type="dxa"/>
              <w:bottom w:w="1200" w:type="dxa"/>
              <w:right w:w="800" w:type="dxa"/>
            </w:tcMar>
            <w:hideMark/>
          </w:tcPr>
          <w:p w14:paraId="7191504A" w14:textId="77777777" w:rsidR="00712FD4" w:rsidRDefault="00712FD4">
            <w:pPr>
              <w:pStyle w:val="NormalWeb"/>
              <w:rPr>
                <w:rFonts w:ascii="Segoe UI" w:hAnsi="Segoe UI" w:cs="Segoe UI"/>
                <w:color w:val="FFFFFF"/>
                <w:spacing w:val="20"/>
              </w:rPr>
            </w:pPr>
            <w:r>
              <w:rPr>
                <w:rFonts w:ascii="Segoe UI" w:hAnsi="Segoe UI" w:cs="Segoe UI"/>
                <w:color w:val="FFFFFF"/>
                <w:spacing w:val="20"/>
              </w:rPr>
              <w:t>AL TANFITH AL DWALIAH SPC</w:t>
            </w:r>
          </w:p>
          <w:p w14:paraId="6EC20930" w14:textId="77777777" w:rsidR="00712FD4" w:rsidRDefault="00712FD4">
            <w:pPr>
              <w:pStyle w:val="NormalWeb"/>
              <w:spacing w:before="480" w:after="0"/>
              <w:rPr>
                <w:rFonts w:ascii="Segoe UI" w:hAnsi="Segoe UI" w:cs="Segoe UI"/>
                <w:b/>
                <w:bCs/>
                <w:color w:val="FFFFFF"/>
                <w:sz w:val="60"/>
                <w:szCs w:val="60"/>
              </w:rPr>
            </w:pPr>
            <w:r>
              <w:rPr>
                <w:rFonts w:ascii="Segoe UI" w:hAnsi="Segoe UI" w:cs="Segoe UI"/>
                <w:b/>
                <w:bCs/>
                <w:color w:val="FFFFFF"/>
                <w:sz w:val="60"/>
                <w:szCs w:val="60"/>
              </w:rPr>
              <w:t>LIVE QUIZ PLATFORM</w:t>
            </w:r>
          </w:p>
          <w:p w14:paraId="24E75C44" w14:textId="77777777" w:rsidR="00712FD4" w:rsidRDefault="00712FD4">
            <w:pPr>
              <w:pStyle w:val="NormalWeb"/>
              <w:spacing w:before="0"/>
              <w:rPr>
                <w:rFonts w:ascii="Segoe UI" w:hAnsi="Segoe UI" w:cs="Segoe UI"/>
                <w:color w:val="FFFFFF"/>
                <w:sz w:val="30"/>
                <w:szCs w:val="30"/>
              </w:rPr>
            </w:pPr>
            <w:r>
              <w:rPr>
                <w:rFonts w:ascii="Segoe UI" w:hAnsi="Segoe UI" w:cs="Segoe UI"/>
                <w:color w:val="FFFFFF"/>
                <w:sz w:val="30"/>
                <w:szCs w:val="30"/>
              </w:rPr>
              <w:t>Commercial Quotation</w:t>
            </w:r>
          </w:p>
          <w:p w14:paraId="5ACB70D9" w14:textId="77777777" w:rsidR="00712FD4" w:rsidRDefault="00712FD4">
            <w:pPr>
              <w:pStyle w:val="NormalWeb"/>
              <w:spacing w:before="720"/>
              <w:rPr>
                <w:rFonts w:ascii="Segoe UI" w:hAnsi="Segoe UI" w:cs="Segoe UI"/>
                <w:color w:val="FFFFFF"/>
                <w:sz w:val="19"/>
                <w:szCs w:val="19"/>
              </w:rPr>
            </w:pPr>
            <w:r>
              <w:rPr>
                <w:rFonts w:ascii="Segoe UI" w:hAnsi="Segoe UI" w:cs="Segoe UI"/>
                <w:color w:val="FFFFFF"/>
                <w:sz w:val="19"/>
                <w:szCs w:val="19"/>
              </w:rPr>
              <w:t xml:space="preserve">Prepared for: </w:t>
            </w:r>
            <w:r>
              <w:rPr>
                <w:rStyle w:val="Strong"/>
                <w:rFonts w:ascii="Segoe UI" w:hAnsi="Segoe UI" w:cs="Segoe UI"/>
                <w:color w:val="FFFFFF"/>
                <w:sz w:val="19"/>
                <w:szCs w:val="19"/>
              </w:rPr>
              <w:t>Petroleum Development Oman (PDO)</w:t>
            </w:r>
          </w:p>
          <w:p w14:paraId="49B50DFF" w14:textId="77777777" w:rsidR="00712FD4" w:rsidRDefault="00712FD4">
            <w:pPr>
              <w:pStyle w:val="NormalWeb"/>
              <w:rPr>
                <w:rFonts w:ascii="Segoe UI" w:hAnsi="Segoe UI" w:cs="Segoe UI"/>
                <w:color w:val="FFFFFF"/>
                <w:sz w:val="19"/>
                <w:szCs w:val="19"/>
              </w:rPr>
            </w:pPr>
            <w:r>
              <w:rPr>
                <w:rFonts w:ascii="Segoe UI" w:hAnsi="Segoe UI" w:cs="Segoe UI"/>
                <w:color w:val="FFFFFF"/>
                <w:sz w:val="19"/>
                <w:szCs w:val="19"/>
              </w:rPr>
              <w:t xml:space="preserve">Reference: </w:t>
            </w:r>
            <w:r>
              <w:rPr>
                <w:rStyle w:val="Strong"/>
                <w:rFonts w:ascii="Segoe UI" w:hAnsi="Segoe UI" w:cs="Segoe UI"/>
                <w:color w:val="FFFFFF"/>
                <w:sz w:val="19"/>
                <w:szCs w:val="19"/>
              </w:rPr>
              <w:t>ATD-LQP-2026-003-Q</w:t>
            </w:r>
          </w:p>
          <w:p w14:paraId="41E6CF52" w14:textId="77777777" w:rsidR="00712FD4" w:rsidRDefault="00712FD4">
            <w:pPr>
              <w:pStyle w:val="NormalWeb"/>
              <w:rPr>
                <w:rFonts w:ascii="Segoe UI" w:hAnsi="Segoe UI" w:cs="Segoe UI"/>
                <w:color w:val="FFFFFF"/>
                <w:sz w:val="19"/>
                <w:szCs w:val="19"/>
              </w:rPr>
            </w:pPr>
            <w:r>
              <w:rPr>
                <w:rFonts w:ascii="Segoe UI" w:hAnsi="Segoe UI" w:cs="Segoe UI"/>
                <w:color w:val="FFFFFF"/>
                <w:sz w:val="19"/>
                <w:szCs w:val="19"/>
              </w:rPr>
              <w:t xml:space="preserve">Version: </w:t>
            </w:r>
            <w:r>
              <w:rPr>
                <w:rStyle w:val="Strong"/>
                <w:rFonts w:ascii="Segoe UI" w:hAnsi="Segoe UI" w:cs="Segoe UI"/>
                <w:color w:val="FFFFFF"/>
                <w:sz w:val="19"/>
                <w:szCs w:val="19"/>
              </w:rPr>
              <w:t>1.2</w:t>
            </w:r>
          </w:p>
          <w:p w14:paraId="4EAC54E7" w14:textId="77777777" w:rsidR="00712FD4" w:rsidRDefault="00712FD4">
            <w:pPr>
              <w:pStyle w:val="NormalWeb"/>
              <w:rPr>
                <w:rFonts w:ascii="Segoe UI" w:hAnsi="Segoe UI" w:cs="Segoe UI"/>
                <w:color w:val="FFFFFF"/>
                <w:sz w:val="19"/>
                <w:szCs w:val="19"/>
              </w:rPr>
            </w:pPr>
            <w:r>
              <w:rPr>
                <w:rFonts w:ascii="Segoe UI" w:hAnsi="Segoe UI" w:cs="Segoe UI"/>
                <w:color w:val="FFFFFF"/>
                <w:sz w:val="19"/>
                <w:szCs w:val="19"/>
              </w:rPr>
              <w:t xml:space="preserve">Date: </w:t>
            </w:r>
            <w:r>
              <w:rPr>
                <w:rStyle w:val="Strong"/>
                <w:rFonts w:ascii="Segoe UI" w:hAnsi="Segoe UI" w:cs="Segoe UI"/>
                <w:color w:val="FFFFFF"/>
                <w:sz w:val="19"/>
                <w:szCs w:val="19"/>
              </w:rPr>
              <w:t>28/07/2026</w:t>
            </w:r>
          </w:p>
        </w:tc>
      </w:tr>
    </w:tbl>
    <w:p w14:paraId="35E4EACD" w14:textId="77777777" w:rsidR="00712FD4" w:rsidRDefault="00712FD4">
      <w:pPr>
        <w:pStyle w:val="Heading1"/>
        <w:pageBreakBefore/>
        <w:rPr>
          <w:rFonts w:ascii="Segoe UI" w:eastAsia="Times New Roman" w:hAnsi="Segoe UI" w:cs="Segoe UI"/>
          <w:lang w:val="en"/>
        </w:rPr>
      </w:pPr>
      <w:r>
        <w:rPr>
          <w:rFonts w:ascii="Segoe UI" w:eastAsia="Times New Roman" w:hAnsi="Segoe UI" w:cs="Segoe UI"/>
          <w:lang w:val="en"/>
        </w:rPr>
        <w:lastRenderedPageBreak/>
        <w:t>1. Quotation Summary</w:t>
      </w:r>
    </w:p>
    <w:p w14:paraId="2A108015" w14:textId="77777777" w:rsidR="00712FD4" w:rsidRDefault="00712FD4">
      <w:pPr>
        <w:pStyle w:val="NormalWeb"/>
        <w:rPr>
          <w:rFonts w:ascii="Segoe UI" w:hAnsi="Segoe UI" w:cs="Segoe UI"/>
          <w:color w:val="1F2933"/>
          <w:sz w:val="21"/>
          <w:szCs w:val="21"/>
          <w:lang w:val="en"/>
        </w:rPr>
      </w:pPr>
      <w:r>
        <w:rPr>
          <w:rFonts w:ascii="Segoe UI" w:hAnsi="Segoe UI" w:cs="Segoe UI"/>
          <w:color w:val="1F2933"/>
          <w:sz w:val="21"/>
          <w:szCs w:val="21"/>
          <w:lang w:val="en"/>
        </w:rPr>
        <w:t xml:space="preserve">Al Tanfith Al Dwaliah SPC is pleased to present this commercial quotation for the </w:t>
      </w:r>
      <w:r>
        <w:rPr>
          <w:rStyle w:val="Strong"/>
          <w:rFonts w:ascii="Segoe UI" w:hAnsi="Segoe UI" w:cs="Segoe UI"/>
          <w:color w:val="1F2933"/>
          <w:sz w:val="21"/>
          <w:szCs w:val="21"/>
          <w:lang w:val="en"/>
        </w:rPr>
        <w:t>Live Quiz Platform</w:t>
      </w:r>
      <w:r>
        <w:rPr>
          <w:rFonts w:ascii="Segoe UI" w:hAnsi="Segoe UI" w:cs="Segoe UI"/>
          <w:color w:val="1F2933"/>
          <w:sz w:val="21"/>
          <w:szCs w:val="21"/>
          <w:lang w:val="en"/>
        </w:rPr>
        <w:t xml:space="preserve"> to </w:t>
      </w:r>
      <w:r>
        <w:rPr>
          <w:rStyle w:val="Strong"/>
          <w:rFonts w:ascii="Segoe UI" w:hAnsi="Segoe UI" w:cs="Segoe UI"/>
          <w:color w:val="1F2933"/>
          <w:sz w:val="21"/>
          <w:szCs w:val="21"/>
          <w:lang w:val="en"/>
        </w:rPr>
        <w:t>Petroleum Development Oman (PDO)</w:t>
      </w:r>
      <w:r>
        <w:rPr>
          <w:rFonts w:ascii="Segoe UI" w:hAnsi="Segoe UI" w:cs="Segoe UI"/>
          <w:color w:val="1F2933"/>
          <w:sz w:val="21"/>
          <w:szCs w:val="21"/>
          <w:lang w:val="en"/>
        </w:rPr>
        <w:t xml:space="preserve"> </w:t>
      </w:r>
      <w:r>
        <w:rPr>
          <w:rFonts w:ascii="Segoe UI" w:hAnsi="Segoe UI" w:cs="Segoe UI"/>
          <w:color w:val="1F2933"/>
          <w:sz w:val="21"/>
          <w:szCs w:val="21"/>
          <w:lang w:val="en"/>
        </w:rPr>
        <w:t>— an enterprise engagement, assessment, and knowledge-evaluation platform, offered as a flexible, customisable alternative to general public quiz tools, and already proven in real operational use.</w:t>
      </w:r>
    </w:p>
    <w:p w14:paraId="560E75A7" w14:textId="77777777" w:rsidR="00712FD4" w:rsidRDefault="00712FD4">
      <w:pPr>
        <w:pStyle w:val="NormalWeb"/>
        <w:rPr>
          <w:rFonts w:ascii="Segoe UI" w:hAnsi="Segoe UI" w:cs="Segoe UI"/>
          <w:color w:val="1F2933"/>
          <w:sz w:val="21"/>
          <w:szCs w:val="21"/>
          <w:lang w:val="en"/>
        </w:rPr>
      </w:pPr>
      <w:r>
        <w:rPr>
          <w:rFonts w:ascii="Segoe UI" w:hAnsi="Segoe UI" w:cs="Segoe UI"/>
          <w:color w:val="1F2933"/>
          <w:sz w:val="21"/>
          <w:szCs w:val="21"/>
          <w:lang w:val="en"/>
        </w:rPr>
        <w:t>This quotation is a standalone commercial document. It accompanies, and should be read together with, the full technical and commercial proposal (</w:t>
      </w:r>
      <w:r>
        <w:rPr>
          <w:rStyle w:val="Emphasis"/>
          <w:rFonts w:ascii="Segoe UI" w:hAnsi="Segoe UI" w:cs="Segoe UI"/>
          <w:color w:val="1F2933"/>
          <w:sz w:val="21"/>
          <w:szCs w:val="21"/>
          <w:lang w:val="en"/>
        </w:rPr>
        <w:t>Live Quiz Platform — Technical &amp; Commercial Proposal</w:t>
      </w:r>
      <w:r>
        <w:rPr>
          <w:rFonts w:ascii="Segoe UI" w:hAnsi="Segoe UI" w:cs="Segoe UI"/>
          <w:color w:val="1F2933"/>
          <w:sz w:val="21"/>
          <w:szCs w:val="21"/>
          <w:lang w:val="en"/>
        </w:rPr>
        <w:t xml:space="preserve">, reference </w:t>
      </w:r>
      <w:r>
        <w:rPr>
          <w:rStyle w:val="Strong"/>
          <w:rFonts w:ascii="Segoe UI" w:hAnsi="Segoe UI" w:cs="Segoe UI"/>
          <w:color w:val="1F2933"/>
          <w:sz w:val="21"/>
          <w:szCs w:val="21"/>
          <w:lang w:val="en"/>
        </w:rPr>
        <w:t>ATD-LQP-2026-003</w:t>
      </w:r>
      <w:r>
        <w:rPr>
          <w:rFonts w:ascii="Segoe UI" w:hAnsi="Segoe UI" w:cs="Segoe UI"/>
          <w:color w:val="1F2933"/>
          <w:sz w:val="21"/>
          <w:szCs w:val="21"/>
          <w:lang w:val="en"/>
        </w:rPr>
        <w:t>), which sets out the functional scope, technical architecture, deployment options, cybersecurity approach, delivery methodology, support model, and legal terms in full. Where this quotation and the full proposal refer to the same item, the proposal is the definitive description of scope.</w:t>
      </w:r>
    </w:p>
    <w:p w14:paraId="03C46136" w14:textId="77777777" w:rsidR="00712FD4" w:rsidRDefault="00712FD4">
      <w:pPr>
        <w:pStyle w:val="NormalWeb"/>
        <w:rPr>
          <w:rFonts w:ascii="Segoe UI" w:hAnsi="Segoe UI" w:cs="Segoe UI"/>
          <w:color w:val="1F2933"/>
          <w:sz w:val="21"/>
          <w:szCs w:val="21"/>
          <w:lang w:val="en"/>
        </w:rPr>
      </w:pPr>
      <w:r>
        <w:rPr>
          <w:rFonts w:ascii="Segoe UI" w:hAnsi="Segoe UI" w:cs="Segoe UI"/>
          <w:color w:val="1F2933"/>
          <w:sz w:val="21"/>
          <w:szCs w:val="21"/>
          <w:lang w:val="en"/>
        </w:rPr>
        <w:t xml:space="preserve">The prices in Section 2 for </w:t>
      </w:r>
      <w:r>
        <w:rPr>
          <w:rStyle w:val="Strong"/>
          <w:rFonts w:ascii="Segoe UI" w:hAnsi="Segoe UI" w:cs="Segoe UI"/>
          <w:color w:val="1F2933"/>
          <w:sz w:val="21"/>
          <w:szCs w:val="21"/>
          <w:lang w:val="en"/>
        </w:rPr>
        <w:t>Model A</w:t>
      </w:r>
      <w:r>
        <w:rPr>
          <w:rFonts w:ascii="Segoe UI" w:hAnsi="Segoe UI" w:cs="Segoe UI"/>
          <w:color w:val="1F2933"/>
          <w:sz w:val="21"/>
          <w:szCs w:val="21"/>
          <w:lang w:val="en"/>
        </w:rPr>
        <w:t xml:space="preserve"> and </w:t>
      </w:r>
      <w:r>
        <w:rPr>
          <w:rStyle w:val="Strong"/>
          <w:rFonts w:ascii="Segoe UI" w:hAnsi="Segoe UI" w:cs="Segoe UI"/>
          <w:color w:val="1F2933"/>
          <w:sz w:val="21"/>
          <w:szCs w:val="21"/>
          <w:lang w:val="en"/>
        </w:rPr>
        <w:t>Model B</w:t>
      </w:r>
      <w:r>
        <w:rPr>
          <w:rFonts w:ascii="Segoe UI" w:hAnsi="Segoe UI" w:cs="Segoe UI"/>
          <w:color w:val="1F2933"/>
          <w:sz w:val="21"/>
          <w:szCs w:val="21"/>
          <w:lang w:val="en"/>
        </w:rPr>
        <w:t xml:space="preserve"> are firm and all-inclusive: implementation, deployment, branding setup, and training are included, with no separate setup, implementation, or training charges. </w:t>
      </w:r>
      <w:r>
        <w:rPr>
          <w:rStyle w:val="Strong"/>
          <w:rFonts w:ascii="Segoe UI" w:hAnsi="Segoe UI" w:cs="Segoe UI"/>
          <w:color w:val="1F2933"/>
          <w:sz w:val="21"/>
          <w:szCs w:val="21"/>
          <w:lang w:val="en"/>
        </w:rPr>
        <w:t>Model C</w:t>
      </w:r>
      <w:r>
        <w:rPr>
          <w:rFonts w:ascii="Segoe UI" w:hAnsi="Segoe UI" w:cs="Segoe UI"/>
          <w:color w:val="1F2933"/>
          <w:sz w:val="21"/>
          <w:szCs w:val="21"/>
          <w:lang w:val="en"/>
        </w:rPr>
        <w:t xml:space="preserve"> </w:t>
      </w:r>
      <w:r>
        <w:rPr>
          <w:rFonts w:ascii="Segoe UI" w:hAnsi="Segoe UI" w:cs="Segoe UI"/>
          <w:color w:val="1F2933"/>
          <w:sz w:val="21"/>
          <w:szCs w:val="21"/>
          <w:lang w:val="en"/>
        </w:rPr>
        <w:t xml:space="preserve">is scoped and quoted separately per engagement, using the factors listed in Section 4. This quotation is valid for </w:t>
      </w:r>
      <w:r>
        <w:rPr>
          <w:rStyle w:val="Strong"/>
          <w:rFonts w:ascii="Segoe UI" w:hAnsi="Segoe UI" w:cs="Segoe UI"/>
          <w:color w:val="1F2933"/>
          <w:sz w:val="21"/>
          <w:szCs w:val="21"/>
          <w:lang w:val="en"/>
        </w:rPr>
        <w:t>30 days</w:t>
      </w:r>
      <w:r>
        <w:rPr>
          <w:rFonts w:ascii="Segoe UI" w:hAnsi="Segoe UI" w:cs="Segoe UI"/>
          <w:color w:val="1F2933"/>
          <w:sz w:val="21"/>
          <w:szCs w:val="21"/>
          <w:lang w:val="en"/>
        </w:rPr>
        <w:t xml:space="preserve"> from </w:t>
      </w:r>
      <w:r>
        <w:rPr>
          <w:rStyle w:val="Strong"/>
          <w:rFonts w:ascii="Segoe UI" w:hAnsi="Segoe UI" w:cs="Segoe UI"/>
          <w:color w:val="1F2933"/>
          <w:sz w:val="21"/>
          <w:szCs w:val="21"/>
          <w:lang w:val="en"/>
        </w:rPr>
        <w:t>28/07/2026</w:t>
      </w:r>
      <w:r>
        <w:rPr>
          <w:rFonts w:ascii="Segoe UI" w:hAnsi="Segoe UI" w:cs="Segoe UI"/>
          <w:color w:val="1F2933"/>
          <w:sz w:val="21"/>
          <w:szCs w:val="21"/>
          <w:lang w:val="en"/>
        </w:rPr>
        <w:t xml:space="preserve"> (until </w:t>
      </w:r>
      <w:r>
        <w:rPr>
          <w:rStyle w:val="Strong"/>
          <w:rFonts w:ascii="Segoe UI" w:hAnsi="Segoe UI" w:cs="Segoe UI"/>
          <w:color w:val="1F2933"/>
          <w:sz w:val="21"/>
          <w:szCs w:val="21"/>
          <w:lang w:val="en"/>
        </w:rPr>
        <w:t>27/08/2026</w:t>
      </w:r>
      <w:r>
        <w:rPr>
          <w:rFonts w:ascii="Segoe UI" w:hAnsi="Segoe UI" w:cs="Segoe UI"/>
          <w:color w:val="1F2933"/>
          <w:sz w:val="21"/>
          <w:szCs w:val="21"/>
          <w:lang w:val="en"/>
        </w:rPr>
        <w:t>), as set out in Section 6.</w:t>
      </w:r>
    </w:p>
    <w:tbl>
      <w:tblPr>
        <w:tblW w:w="5000" w:type="pct"/>
        <w:tblCellMar>
          <w:top w:w="15" w:type="dxa"/>
          <w:left w:w="15" w:type="dxa"/>
          <w:bottom w:w="15" w:type="dxa"/>
          <w:right w:w="15" w:type="dxa"/>
        </w:tblCellMar>
        <w:tblLook w:val="04A0" w:firstRow="1" w:lastRow="0" w:firstColumn="1" w:lastColumn="0" w:noHBand="0" w:noVBand="1"/>
      </w:tblPr>
      <w:tblGrid>
        <w:gridCol w:w="3078"/>
        <w:gridCol w:w="6541"/>
      </w:tblGrid>
      <w:tr w:rsidR="00000000" w14:paraId="57E66E61" w14:textId="77777777">
        <w:tc>
          <w:tcPr>
            <w:tcW w:w="0" w:type="auto"/>
            <w:gridSpan w:val="2"/>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1FD20A6B" w14:textId="77777777" w:rsidR="00712FD4" w:rsidRDefault="00712FD4">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Quotation at a glance</w:t>
            </w:r>
          </w:p>
        </w:tc>
      </w:tr>
      <w:tr w:rsidR="00000000" w14:paraId="3888A6BB" w14:textId="77777777">
        <w:tc>
          <w:tcPr>
            <w:tcW w:w="1600" w:type="pct"/>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E257254" w14:textId="77777777" w:rsidR="00712FD4" w:rsidRDefault="00712FD4">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Solution</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D9FDA5B" w14:textId="77777777" w:rsidR="00712FD4" w:rsidRDefault="00712FD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Enterprise engagement, assessment &amp; analytics platform — Live Quiz Platform</w:t>
            </w:r>
          </w:p>
        </w:tc>
      </w:tr>
      <w:tr w:rsidR="00000000" w14:paraId="41902FFE"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D712D52" w14:textId="77777777" w:rsidR="00712FD4" w:rsidRDefault="00712FD4">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Commercial models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9E49761" w14:textId="77777777" w:rsidR="00712FD4" w:rsidRDefault="00712FD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Annual SaaS subscription · perpetual licence · enterprise custom development partnership</w:t>
            </w:r>
          </w:p>
        </w:tc>
      </w:tr>
      <w:tr w:rsidR="00000000" w14:paraId="7CEF2BDE"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38DEF40" w14:textId="77777777" w:rsidR="00712FD4" w:rsidRDefault="00712FD4">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Currency</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7204B23" w14:textId="77777777" w:rsidR="00712FD4" w:rsidRDefault="00712FD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Omani Rial (OMR), exclusive of applicable taxes unless otherwise stated</w:t>
            </w:r>
          </w:p>
        </w:tc>
      </w:tr>
      <w:tr w:rsidR="00000000" w14:paraId="12831B1C"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E72DFA7" w14:textId="77777777" w:rsidR="00712FD4" w:rsidRDefault="00712FD4">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Pricing status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7FAFB30" w14:textId="77777777" w:rsidR="00712FD4" w:rsidRDefault="00712FD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Firm prices for Models A &amp; B · Model C scoped per engagement</w:t>
            </w:r>
          </w:p>
        </w:tc>
      </w:tr>
      <w:tr w:rsidR="00000000" w14:paraId="38C782A3"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AB3BD44" w14:textId="77777777" w:rsidR="00712FD4" w:rsidRDefault="00712FD4">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Validity</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C70A71A" w14:textId="77777777" w:rsidR="00712FD4" w:rsidRDefault="00712FD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 xml:space="preserve">30 days from </w:t>
            </w:r>
            <w:r>
              <w:rPr>
                <w:rStyle w:val="Strong"/>
                <w:rFonts w:ascii="Segoe UI" w:eastAsia="Times New Roman" w:hAnsi="Segoe UI" w:cs="Segoe UI"/>
                <w:color w:val="1F2933"/>
                <w:sz w:val="19"/>
                <w:szCs w:val="19"/>
              </w:rPr>
              <w:t>28/07/2026</w:t>
            </w:r>
            <w:r>
              <w:rPr>
                <w:rFonts w:ascii="Segoe UI" w:eastAsia="Times New Roman" w:hAnsi="Segoe UI" w:cs="Segoe UI"/>
                <w:color w:val="1F2933"/>
                <w:sz w:val="19"/>
                <w:szCs w:val="19"/>
              </w:rPr>
              <w:t xml:space="preserve"> — until </w:t>
            </w:r>
            <w:r>
              <w:rPr>
                <w:rStyle w:val="Strong"/>
                <w:rFonts w:ascii="Segoe UI" w:eastAsia="Times New Roman" w:hAnsi="Segoe UI" w:cs="Segoe UI"/>
                <w:color w:val="1F2933"/>
                <w:sz w:val="19"/>
                <w:szCs w:val="19"/>
              </w:rPr>
              <w:t>27/08/2026</w:t>
            </w:r>
          </w:p>
        </w:tc>
      </w:tr>
      <w:tr w:rsidR="00000000" w14:paraId="732828EC"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8EB7A29" w14:textId="77777777" w:rsidR="00712FD4" w:rsidRDefault="00712FD4">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Revision history</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CBA53A8" w14:textId="77777777" w:rsidR="00712FD4" w:rsidRDefault="00712FD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1.2 — Final all-inclusive pricing for Models A and B inserted. No other changes.</w:t>
            </w:r>
          </w:p>
        </w:tc>
      </w:tr>
    </w:tbl>
    <w:p w14:paraId="66B6DE38" w14:textId="77777777" w:rsidR="00712FD4" w:rsidRDefault="00712FD4">
      <w:pPr>
        <w:pStyle w:val="Heading1"/>
        <w:rPr>
          <w:rFonts w:ascii="Segoe UI" w:eastAsia="Times New Roman" w:hAnsi="Segoe UI" w:cs="Segoe UI"/>
          <w:lang w:val="en"/>
        </w:rPr>
      </w:pPr>
      <w:r>
        <w:rPr>
          <w:rFonts w:ascii="Segoe UI" w:eastAsia="Times New Roman" w:hAnsi="Segoe UI" w:cs="Segoe UI"/>
          <w:lang w:val="en"/>
        </w:rPr>
        <w:t>2. Pricing Tables</w:t>
      </w:r>
    </w:p>
    <w:p w14:paraId="1077E72F" w14:textId="77777777" w:rsidR="00712FD4" w:rsidRDefault="00712FD4">
      <w:pPr>
        <w:pStyle w:val="NormalWeb"/>
        <w:rPr>
          <w:rFonts w:ascii="Segoe UI" w:hAnsi="Segoe UI" w:cs="Segoe UI"/>
          <w:color w:val="1F2933"/>
          <w:sz w:val="21"/>
          <w:szCs w:val="21"/>
          <w:lang w:val="en"/>
        </w:rPr>
      </w:pPr>
      <w:r>
        <w:rPr>
          <w:rFonts w:ascii="Segoe UI" w:hAnsi="Segoe UI" w:cs="Segoe UI"/>
          <w:color w:val="1F2933"/>
          <w:sz w:val="21"/>
          <w:szCs w:val="21"/>
          <w:lang w:val="en"/>
        </w:rPr>
        <w:t xml:space="preserve">The Live Quiz Platform is offered under three distinct commercial models, so that </w:t>
      </w:r>
      <w:r>
        <w:rPr>
          <w:rStyle w:val="Strong"/>
          <w:rFonts w:ascii="Segoe UI" w:hAnsi="Segoe UI" w:cs="Segoe UI"/>
          <w:color w:val="1F2933"/>
          <w:sz w:val="21"/>
          <w:szCs w:val="21"/>
          <w:lang w:val="en"/>
        </w:rPr>
        <w:t>PDO</w:t>
      </w:r>
      <w:r>
        <w:rPr>
          <w:rFonts w:ascii="Segoe UI" w:hAnsi="Segoe UI" w:cs="Segoe UI"/>
          <w:color w:val="1F2933"/>
          <w:sz w:val="21"/>
          <w:szCs w:val="21"/>
          <w:lang w:val="en"/>
        </w:rPr>
        <w:t xml:space="preserve"> </w:t>
      </w:r>
      <w:r>
        <w:rPr>
          <w:rFonts w:ascii="Segoe UI" w:hAnsi="Segoe UI" w:cs="Segoe UI"/>
          <w:color w:val="1F2933"/>
          <w:sz w:val="21"/>
          <w:szCs w:val="21"/>
          <w:lang w:val="en"/>
        </w:rPr>
        <w:t>can select the ownership, cost, and delivery structure that best fits its procurement approach. The subsections below summarise each model; the comparison table that follows sets them side by side. Prices for Models A and B are firm and all-inclusive — implementation, deployment, branding setup, and training are included. Model C is scoped and quoted separately per engagement.</w:t>
      </w:r>
    </w:p>
    <w:p w14:paraId="62ECAB92" w14:textId="77777777" w:rsidR="00712FD4" w:rsidRDefault="00712FD4">
      <w:pPr>
        <w:pStyle w:val="Heading2"/>
        <w:rPr>
          <w:rFonts w:ascii="Segoe UI" w:eastAsia="Times New Roman" w:hAnsi="Segoe UI" w:cs="Segoe UI"/>
          <w:lang w:val="en"/>
        </w:rPr>
      </w:pPr>
      <w:r>
        <w:rPr>
          <w:rFonts w:ascii="Segoe UI" w:eastAsia="Times New Roman" w:hAnsi="Segoe UI" w:cs="Segoe UI"/>
          <w:lang w:val="en"/>
        </w:rPr>
        <w:lastRenderedPageBreak/>
        <w:t>2.1 Model A — Annual SaaS Subscription</w:t>
      </w:r>
    </w:p>
    <w:p w14:paraId="2C7EF467" w14:textId="77777777" w:rsidR="00712FD4" w:rsidRDefault="00712FD4">
      <w:pPr>
        <w:pStyle w:val="NormalWeb"/>
        <w:rPr>
          <w:rFonts w:ascii="Segoe UI" w:hAnsi="Segoe UI" w:cs="Segoe UI"/>
          <w:color w:val="1F2933"/>
          <w:sz w:val="21"/>
          <w:szCs w:val="21"/>
          <w:lang w:val="en"/>
        </w:rPr>
      </w:pPr>
      <w:r>
        <w:rPr>
          <w:rFonts w:ascii="Segoe UI" w:hAnsi="Segoe UI" w:cs="Segoe UI"/>
          <w:color w:val="1F2933"/>
          <w:sz w:val="21"/>
          <w:szCs w:val="21"/>
          <w:lang w:val="en"/>
        </w:rPr>
        <w:t xml:space="preserve">An annual, subscription-based model in which Altanfith hosts and operates the platform on </w:t>
      </w:r>
      <w:r>
        <w:rPr>
          <w:rStyle w:val="Strong"/>
          <w:rFonts w:ascii="Segoe UI" w:hAnsi="Segoe UI" w:cs="Segoe UI"/>
          <w:color w:val="1F2933"/>
          <w:sz w:val="21"/>
          <w:szCs w:val="21"/>
          <w:lang w:val="en"/>
        </w:rPr>
        <w:t>PDO</w:t>
      </w:r>
      <w:r>
        <w:rPr>
          <w:rFonts w:ascii="Segoe UI" w:hAnsi="Segoe UI" w:cs="Segoe UI"/>
          <w:color w:val="1F2933"/>
          <w:sz w:val="21"/>
          <w:szCs w:val="21"/>
          <w:lang w:val="en"/>
        </w:rPr>
        <w:t xml:space="preserve">'s behalf. Includes: annual licence; cloud hosting; maintenance; security updates; backup; monitoring; support; standard upgrades; unlimited named administrative accounts and unlimited participant access (see Section 13 of the full proposal), with an agreed number of sessions; implementation, deployment, branding setup, and training; and an AI usage allowance of 500 generations per month, with optional overage pricing. Two tiers are offered — single department and organisation-wide — </w:t>
      </w:r>
      <w:r>
        <w:rPr>
          <w:rFonts w:ascii="Segoe UI" w:hAnsi="Segoe UI" w:cs="Segoe UI"/>
          <w:color w:val="1F2933"/>
          <w:sz w:val="21"/>
          <w:szCs w:val="21"/>
          <w:lang w:val="en"/>
        </w:rPr>
        <w:t>each with unlimited hosts and unlimited participants. Deep customisation beyond the standard configuration is handled under Model C.</w:t>
      </w:r>
    </w:p>
    <w:tbl>
      <w:tblPr>
        <w:tblW w:w="5000" w:type="pct"/>
        <w:tblCellMar>
          <w:top w:w="15" w:type="dxa"/>
          <w:left w:w="15" w:type="dxa"/>
          <w:bottom w:w="15" w:type="dxa"/>
          <w:right w:w="15" w:type="dxa"/>
        </w:tblCellMar>
        <w:tblLook w:val="04A0" w:firstRow="1" w:lastRow="0" w:firstColumn="1" w:lastColumn="0" w:noHBand="0" w:noVBand="1"/>
      </w:tblPr>
      <w:tblGrid>
        <w:gridCol w:w="4915"/>
        <w:gridCol w:w="4704"/>
      </w:tblGrid>
      <w:tr w:rsidR="00000000" w14:paraId="7ED92CC5"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1D72F0A2" w14:textId="77777777" w:rsidR="00712FD4" w:rsidRDefault="00712FD4">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Item</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5D8628D4" w14:textId="77777777" w:rsidR="00712FD4" w:rsidRDefault="00712FD4">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Price</w:t>
            </w:r>
          </w:p>
        </w:tc>
      </w:tr>
      <w:tr w:rsidR="00000000" w14:paraId="45D6B5D7"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C978703" w14:textId="77777777" w:rsidR="00712FD4" w:rsidRDefault="00712FD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Annual Subscription — single department</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C236B44" w14:textId="77777777" w:rsidR="00712FD4" w:rsidRDefault="00712FD4">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OMR 300</w:t>
            </w:r>
            <w:r>
              <w:rPr>
                <w:rFonts w:ascii="Segoe UI" w:eastAsia="Times New Roman" w:hAnsi="Segoe UI" w:cs="Segoe UI"/>
                <w:color w:val="1F2933"/>
                <w:sz w:val="19"/>
                <w:szCs w:val="19"/>
              </w:rPr>
              <w:t xml:space="preserve"> / year</w:t>
            </w:r>
          </w:p>
        </w:tc>
      </w:tr>
      <w:tr w:rsidR="00000000" w14:paraId="37B53768"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90AE467" w14:textId="77777777" w:rsidR="00712FD4" w:rsidRDefault="00712FD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Annual Subscription — organisation-wide</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1E92175" w14:textId="77777777" w:rsidR="00712FD4" w:rsidRDefault="00712FD4">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OMR 1,200</w:t>
            </w:r>
            <w:r>
              <w:rPr>
                <w:rFonts w:ascii="Segoe UI" w:eastAsia="Times New Roman" w:hAnsi="Segoe UI" w:cs="Segoe UI"/>
                <w:color w:val="1F2933"/>
                <w:sz w:val="19"/>
                <w:szCs w:val="19"/>
              </w:rPr>
              <w:t xml:space="preserve"> / year</w:t>
            </w:r>
          </w:p>
        </w:tc>
      </w:tr>
      <w:tr w:rsidR="00000000" w14:paraId="76D9DC3E"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E1B6992" w14:textId="77777777" w:rsidR="00712FD4" w:rsidRDefault="00712FD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AI Consumption Allowance</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CADE93F" w14:textId="77777777" w:rsidR="00712FD4" w:rsidRDefault="00712FD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Included — 500 generations per month</w:t>
            </w:r>
          </w:p>
        </w:tc>
      </w:tr>
      <w:tr w:rsidR="00000000" w14:paraId="608A8541"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EE325DF" w14:textId="77777777" w:rsidR="00712FD4" w:rsidRDefault="00712FD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Overage (beyond agreed usage)</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B308C7E" w14:textId="77777777" w:rsidR="00712FD4" w:rsidRDefault="00712FD4">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OMR 60</w:t>
            </w:r>
            <w:r>
              <w:rPr>
                <w:rFonts w:ascii="Segoe UI" w:eastAsia="Times New Roman" w:hAnsi="Segoe UI" w:cs="Segoe UI"/>
                <w:color w:val="1F2933"/>
                <w:sz w:val="19"/>
                <w:szCs w:val="19"/>
              </w:rPr>
              <w:t xml:space="preserve"> per additional 500 generations</w:t>
            </w:r>
          </w:p>
        </w:tc>
      </w:tr>
    </w:tbl>
    <w:p w14:paraId="3D26F364" w14:textId="77777777" w:rsidR="00712FD4" w:rsidRDefault="00712FD4">
      <w:pPr>
        <w:pStyle w:val="Heading2"/>
        <w:rPr>
          <w:rFonts w:ascii="Segoe UI" w:eastAsia="Times New Roman" w:hAnsi="Segoe UI" w:cs="Segoe UI"/>
          <w:lang w:val="en"/>
        </w:rPr>
      </w:pPr>
      <w:r>
        <w:rPr>
          <w:rFonts w:ascii="Segoe UI" w:eastAsia="Times New Roman" w:hAnsi="Segoe UI" w:cs="Segoe UI"/>
          <w:lang w:val="en"/>
        </w:rPr>
        <w:t>2.2 Model B — Perpetual Licence / One-Time Purchase</w:t>
      </w:r>
    </w:p>
    <w:p w14:paraId="1A5428EF" w14:textId="77777777" w:rsidR="00712FD4" w:rsidRDefault="00712FD4">
      <w:pPr>
        <w:pStyle w:val="NormalWeb"/>
        <w:rPr>
          <w:rFonts w:ascii="Segoe UI" w:hAnsi="Segoe UI" w:cs="Segoe UI"/>
          <w:color w:val="1F2933"/>
          <w:sz w:val="21"/>
          <w:szCs w:val="21"/>
          <w:lang w:val="en"/>
        </w:rPr>
      </w:pPr>
      <w:r>
        <w:rPr>
          <w:rFonts w:ascii="Segoe UI" w:hAnsi="Segoe UI" w:cs="Segoe UI"/>
          <w:color w:val="1F2933"/>
          <w:sz w:val="21"/>
          <w:szCs w:val="21"/>
          <w:lang w:val="en"/>
        </w:rPr>
        <w:t xml:space="preserve">A one-time purchase model suited to organisations that prefer to own the software outright. Includes: one-time software licence; deployment; initial configuration; training; documentation; an optional source-code licence; optional source-code ownership; and optional annual maintenance, recommended at </w:t>
      </w:r>
      <w:r>
        <w:rPr>
          <w:rStyle w:val="Strong"/>
          <w:rFonts w:ascii="Segoe UI" w:hAnsi="Segoe UI" w:cs="Segoe UI"/>
          <w:color w:val="1F2933"/>
          <w:sz w:val="21"/>
          <w:szCs w:val="21"/>
          <w:lang w:val="en"/>
        </w:rPr>
        <w:t>15%</w:t>
      </w:r>
      <w:r>
        <w:rPr>
          <w:rFonts w:ascii="Segoe UI" w:hAnsi="Segoe UI" w:cs="Segoe UI"/>
          <w:color w:val="1F2933"/>
          <w:sz w:val="21"/>
          <w:szCs w:val="21"/>
          <w:lang w:val="en"/>
        </w:rPr>
        <w:t xml:space="preserve"> </w:t>
      </w:r>
      <w:r>
        <w:rPr>
          <w:rFonts w:ascii="Segoe UI" w:hAnsi="Segoe UI" w:cs="Segoe UI"/>
          <w:color w:val="1F2933"/>
          <w:sz w:val="21"/>
          <w:szCs w:val="21"/>
          <w:lang w:val="en"/>
        </w:rPr>
        <w:t>of licence value, payable annually in advance. Implementation, deployment, branding setup, and training are included in the one-time licence fee, with no separate charges. Major new features are excluded unless separately agreed, and infrastructure costs are excluded unless explicitly listed in this quotation.</w:t>
      </w:r>
    </w:p>
    <w:tbl>
      <w:tblPr>
        <w:tblW w:w="5000" w:type="pct"/>
        <w:tblCellMar>
          <w:top w:w="15" w:type="dxa"/>
          <w:left w:w="15" w:type="dxa"/>
          <w:bottom w:w="15" w:type="dxa"/>
          <w:right w:w="15" w:type="dxa"/>
        </w:tblCellMar>
        <w:tblLook w:val="04A0" w:firstRow="1" w:lastRow="0" w:firstColumn="1" w:lastColumn="0" w:noHBand="0" w:noVBand="1"/>
      </w:tblPr>
      <w:tblGrid>
        <w:gridCol w:w="5146"/>
        <w:gridCol w:w="4473"/>
      </w:tblGrid>
      <w:tr w:rsidR="00000000" w14:paraId="24D99547"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29B317FE" w14:textId="77777777" w:rsidR="00712FD4" w:rsidRDefault="00712FD4">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Item</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56AC2378" w14:textId="77777777" w:rsidR="00712FD4" w:rsidRDefault="00712FD4">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Price</w:t>
            </w:r>
          </w:p>
        </w:tc>
      </w:tr>
      <w:tr w:rsidR="00000000" w14:paraId="7CCDA9B1"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A4080BC" w14:textId="77777777" w:rsidR="00712FD4" w:rsidRDefault="00712FD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 xml:space="preserve">One-Time Licence </w:t>
            </w:r>
            <w:r>
              <w:rPr>
                <w:rStyle w:val="muted1"/>
                <w:rFonts w:ascii="Segoe UI" w:eastAsia="Times New Roman" w:hAnsi="Segoe UI" w:cs="Segoe UI"/>
              </w:rPr>
              <w:t>(all-inclusive)</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7979220" w14:textId="77777777" w:rsidR="00712FD4" w:rsidRDefault="00712FD4">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OMR 3,000</w:t>
            </w:r>
          </w:p>
        </w:tc>
      </w:tr>
      <w:tr w:rsidR="00000000" w14:paraId="2C6A6142"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8F3E3DB" w14:textId="77777777" w:rsidR="00712FD4" w:rsidRDefault="00712FD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Implementation</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F7952CD" w14:textId="77777777" w:rsidR="00712FD4" w:rsidRDefault="00712FD4">
            <w:pPr>
              <w:spacing w:before="160" w:after="160"/>
              <w:rPr>
                <w:rFonts w:ascii="Segoe UI" w:eastAsia="Times New Roman" w:hAnsi="Segoe UI" w:cs="Segoe UI"/>
                <w:color w:val="1F2933"/>
                <w:sz w:val="19"/>
                <w:szCs w:val="19"/>
              </w:rPr>
            </w:pPr>
            <w:r>
              <w:rPr>
                <w:rStyle w:val="badge-inc1"/>
                <w:rFonts w:ascii="Segoe UI" w:eastAsia="Times New Roman" w:hAnsi="Segoe UI" w:cs="Segoe UI"/>
                <w:sz w:val="19"/>
                <w:szCs w:val="19"/>
              </w:rPr>
              <w:t>Included</w:t>
            </w:r>
          </w:p>
        </w:tc>
      </w:tr>
      <w:tr w:rsidR="00000000" w14:paraId="7BFC368B"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821F234" w14:textId="77777777" w:rsidR="00712FD4" w:rsidRDefault="00712FD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Annual Maintenance (optional, recommended)</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9556479" w14:textId="77777777" w:rsidR="00712FD4" w:rsidRDefault="00712FD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 xml:space="preserve">15% of licence value — </w:t>
            </w:r>
            <w:r>
              <w:rPr>
                <w:rStyle w:val="Strong"/>
                <w:rFonts w:ascii="Segoe UI" w:eastAsia="Times New Roman" w:hAnsi="Segoe UI" w:cs="Segoe UI"/>
                <w:color w:val="1F2933"/>
                <w:sz w:val="19"/>
                <w:szCs w:val="19"/>
              </w:rPr>
              <w:t>OMR 450</w:t>
            </w:r>
            <w:r>
              <w:rPr>
                <w:rFonts w:ascii="Segoe UI" w:eastAsia="Times New Roman" w:hAnsi="Segoe UI" w:cs="Segoe UI"/>
                <w:color w:val="1F2933"/>
                <w:sz w:val="19"/>
                <w:szCs w:val="19"/>
              </w:rPr>
              <w:t xml:space="preserve"> / year</w:t>
            </w:r>
          </w:p>
        </w:tc>
      </w:tr>
      <w:tr w:rsidR="00000000" w14:paraId="5E23761F"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5C5625E" w14:textId="77777777" w:rsidR="00712FD4" w:rsidRDefault="00712FD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Source-Code Licence (optional)</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05B6AF7" w14:textId="77777777" w:rsidR="00712FD4" w:rsidRDefault="00712FD4">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OMR 1,250</w:t>
            </w:r>
          </w:p>
        </w:tc>
      </w:tr>
    </w:tbl>
    <w:p w14:paraId="11776EC9" w14:textId="77777777" w:rsidR="00712FD4" w:rsidRDefault="00712FD4">
      <w:pPr>
        <w:pStyle w:val="Heading2"/>
        <w:rPr>
          <w:rFonts w:ascii="Segoe UI" w:eastAsia="Times New Roman" w:hAnsi="Segoe UI" w:cs="Segoe UI"/>
          <w:lang w:val="en"/>
        </w:rPr>
      </w:pPr>
      <w:r>
        <w:rPr>
          <w:rFonts w:ascii="Segoe UI" w:eastAsia="Times New Roman" w:hAnsi="Segoe UI" w:cs="Segoe UI"/>
          <w:lang w:val="en"/>
        </w:rPr>
        <w:t>2.3 Model C — Enterprise Custom Development Partnership</w:t>
      </w:r>
    </w:p>
    <w:p w14:paraId="2DE1E199" w14:textId="77777777" w:rsidR="00712FD4" w:rsidRDefault="00712FD4">
      <w:pPr>
        <w:pStyle w:val="NormalWeb"/>
        <w:rPr>
          <w:rFonts w:ascii="Segoe UI" w:hAnsi="Segoe UI" w:cs="Segoe UI"/>
          <w:color w:val="1F2933"/>
          <w:sz w:val="21"/>
          <w:szCs w:val="21"/>
          <w:lang w:val="en"/>
        </w:rPr>
      </w:pPr>
      <w:r>
        <w:rPr>
          <w:rFonts w:ascii="Segoe UI" w:hAnsi="Segoe UI" w:cs="Segoe UI"/>
          <w:color w:val="1F2933"/>
          <w:sz w:val="21"/>
          <w:szCs w:val="21"/>
          <w:lang w:val="en"/>
        </w:rPr>
        <w:lastRenderedPageBreak/>
        <w:t>An ongoing partnership model for organisations requiring deep customisation and integration work. Includes: a discovery workshop; customised workflows; custom reports; system integrations (single sign-on, Microsoft Entra ID / Active Directory, SAP SuccessFactors (or other HR systems via supported integration methods), LMS, Microsoft Teams, Power BI); dedicated support; phased delivery; change requests handled and quoted separately; and dedicated development hours or a retainer arrangement.</w:t>
      </w:r>
    </w:p>
    <w:tbl>
      <w:tblPr>
        <w:tblW w:w="5000" w:type="pct"/>
        <w:tblCellMar>
          <w:top w:w="15" w:type="dxa"/>
          <w:left w:w="15" w:type="dxa"/>
          <w:bottom w:w="15" w:type="dxa"/>
          <w:right w:w="15" w:type="dxa"/>
        </w:tblCellMar>
        <w:tblLook w:val="04A0" w:firstRow="1" w:lastRow="0" w:firstColumn="1" w:lastColumn="0" w:noHBand="0" w:noVBand="1"/>
      </w:tblPr>
      <w:tblGrid>
        <w:gridCol w:w="3880"/>
        <w:gridCol w:w="5739"/>
      </w:tblGrid>
      <w:tr w:rsidR="00000000" w14:paraId="25C35202"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4D98767C" w14:textId="77777777" w:rsidR="00712FD4" w:rsidRDefault="00712FD4">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Item</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6D064CF5" w14:textId="77777777" w:rsidR="00712FD4" w:rsidRDefault="00712FD4">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Price</w:t>
            </w:r>
          </w:p>
        </w:tc>
      </w:tr>
      <w:tr w:rsidR="00000000" w14:paraId="762FAA47"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12DEC12" w14:textId="77777777" w:rsidR="00712FD4" w:rsidRDefault="00712FD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Discovery Workshop</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9C6441B" w14:textId="77777777" w:rsidR="00712FD4" w:rsidRDefault="00712FD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Scoped and quoted separately per engagement</w:t>
            </w:r>
          </w:p>
        </w:tc>
      </w:tr>
      <w:tr w:rsidR="00000000" w14:paraId="1D2478DC"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DA46A45" w14:textId="77777777" w:rsidR="00712FD4" w:rsidRDefault="00712FD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Custom Development Day Rate</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78D91F0" w14:textId="77777777" w:rsidR="00712FD4" w:rsidRDefault="00712FD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Scoped and quoted separately per engagement</w:t>
            </w:r>
          </w:p>
        </w:tc>
      </w:tr>
      <w:tr w:rsidR="00000000" w14:paraId="3A8C8BBF"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B3D4D24" w14:textId="77777777" w:rsidR="00712FD4" w:rsidRDefault="00712FD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Monthly Retainer</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9C520EB" w14:textId="77777777" w:rsidR="00712FD4" w:rsidRDefault="00712FD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Scoped and quoted separately per engagement</w:t>
            </w:r>
          </w:p>
        </w:tc>
      </w:tr>
      <w:tr w:rsidR="00000000" w14:paraId="0BD43C46"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CD9F6F4" w14:textId="77777777" w:rsidR="00712FD4" w:rsidRDefault="00712FD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Integration Package</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0E3BCF2" w14:textId="77777777" w:rsidR="00712FD4" w:rsidRDefault="00712FD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Scoped and quoted separately per engagement</w:t>
            </w:r>
          </w:p>
        </w:tc>
      </w:tr>
    </w:tbl>
    <w:p w14:paraId="68191149" w14:textId="77777777" w:rsidR="00712FD4" w:rsidRDefault="00712FD4">
      <w:pPr>
        <w:pStyle w:val="Heading2"/>
        <w:rPr>
          <w:rFonts w:ascii="Segoe UI" w:eastAsia="Times New Roman" w:hAnsi="Segoe UI" w:cs="Segoe UI"/>
          <w:lang w:val="en"/>
        </w:rPr>
      </w:pPr>
      <w:r>
        <w:rPr>
          <w:rFonts w:ascii="Segoe UI" w:eastAsia="Times New Roman" w:hAnsi="Segoe UI" w:cs="Segoe UI"/>
          <w:lang w:val="en"/>
        </w:rPr>
        <w:t>2.4 Model Comparison</w:t>
      </w:r>
    </w:p>
    <w:tbl>
      <w:tblPr>
        <w:tblW w:w="5000" w:type="pct"/>
        <w:tblCellMar>
          <w:top w:w="15" w:type="dxa"/>
          <w:left w:w="15" w:type="dxa"/>
          <w:bottom w:w="15" w:type="dxa"/>
          <w:right w:w="15" w:type="dxa"/>
        </w:tblCellMar>
        <w:tblLook w:val="04A0" w:firstRow="1" w:lastRow="0" w:firstColumn="1" w:lastColumn="0" w:noHBand="0" w:noVBand="1"/>
      </w:tblPr>
      <w:tblGrid>
        <w:gridCol w:w="1257"/>
        <w:gridCol w:w="2733"/>
        <w:gridCol w:w="2566"/>
        <w:gridCol w:w="3063"/>
      </w:tblGrid>
      <w:tr w:rsidR="00000000" w14:paraId="508F8E56"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24B8FEC7" w14:textId="77777777" w:rsidR="00712FD4" w:rsidRDefault="00712FD4">
            <w:pPr>
              <w:rPr>
                <w:rFonts w:ascii="Segoe UI" w:eastAsia="Times New Roman" w:hAnsi="Segoe UI" w:cs="Segoe UI"/>
                <w:lang w:val="en"/>
              </w:rPr>
            </w:pP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6812E94A" w14:textId="77777777" w:rsidR="00712FD4" w:rsidRDefault="00712FD4">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Model A — SaaS</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388CA349" w14:textId="77777777" w:rsidR="00712FD4" w:rsidRDefault="00712FD4">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Model B — Perpetual Licence</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0660F47A" w14:textId="77777777" w:rsidR="00712FD4" w:rsidRDefault="00712FD4">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Model C — Enterprise Partnership</w:t>
            </w:r>
          </w:p>
        </w:tc>
      </w:tr>
      <w:tr w:rsidR="00000000" w14:paraId="6F44AF88"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E5464EA" w14:textId="77777777" w:rsidR="00712FD4" w:rsidRDefault="00712FD4">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Ownership</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6B03F85" w14:textId="77777777" w:rsidR="00712FD4" w:rsidRDefault="00712FD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Altanfith-hosted; no source-code ownership by default</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281BB57" w14:textId="77777777" w:rsidR="00712FD4" w:rsidRDefault="00712FD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Client-owned licence; source code optional</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5FCD358" w14:textId="77777777" w:rsidR="00712FD4" w:rsidRDefault="00712FD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Per agreed scope; typically Altanfith-hosted with client-owned outputs</w:t>
            </w:r>
          </w:p>
        </w:tc>
      </w:tr>
      <w:tr w:rsidR="00000000" w14:paraId="41FF876F"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90EE912" w14:textId="77777777" w:rsidR="00712FD4" w:rsidRDefault="00712FD4">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Upfront cost</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C102A57" w14:textId="77777777" w:rsidR="00712FD4" w:rsidRDefault="00712FD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Low — annual subscription</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334F411" w14:textId="77777777" w:rsidR="00712FD4" w:rsidRDefault="00712FD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Higher — one-time licence fee</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1840D51" w14:textId="77777777" w:rsidR="00712FD4" w:rsidRDefault="00712FD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Variable — scoped by engagement</w:t>
            </w:r>
          </w:p>
        </w:tc>
      </w:tr>
      <w:tr w:rsidR="00000000" w14:paraId="218E54BE"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2FB9135" w14:textId="77777777" w:rsidR="00712FD4" w:rsidRDefault="00712FD4">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Hosting</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7FE6211" w14:textId="77777777" w:rsidR="00712FD4" w:rsidRDefault="00712FD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Altanfith Managed Cloud Infrastructure</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504E86A" w14:textId="77777777" w:rsidR="00712FD4" w:rsidRDefault="00712FD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Client-managed, on-premises or client-selected cloud</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8550ADB" w14:textId="77777777" w:rsidR="00712FD4" w:rsidRDefault="00712FD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Per final design</w:t>
            </w:r>
          </w:p>
        </w:tc>
      </w:tr>
      <w:tr w:rsidR="00000000" w14:paraId="15B08B29"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C55C70D" w14:textId="77777777" w:rsidR="00712FD4" w:rsidRDefault="00712FD4">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Upgrades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1C2293F" w14:textId="77777777" w:rsidR="00712FD4" w:rsidRDefault="00712FD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Included, standard upgrades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0B5228B" w14:textId="77777777" w:rsidR="00712FD4" w:rsidRDefault="00712FD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Major features excluded unless agreed</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FFADB01" w14:textId="77777777" w:rsidR="00712FD4" w:rsidRDefault="00712FD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Delivered as part of the ongoing partnership</w:t>
            </w:r>
          </w:p>
        </w:tc>
      </w:tr>
      <w:tr w:rsidR="00000000" w14:paraId="54E152A7"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30D76203" w14:textId="77777777" w:rsidR="00712FD4" w:rsidRDefault="00712FD4">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Best for</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1D7D6D2" w14:textId="77777777" w:rsidR="00712FD4" w:rsidRDefault="00712FD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Fastest implementation; lowest initial investment</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05905F0" w14:textId="77777777" w:rsidR="00712FD4" w:rsidRDefault="00712FD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Organisations preferring outright ownership</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245A53F" w14:textId="77777777" w:rsidR="00712FD4" w:rsidRDefault="00712FD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Organisations needing deep customisation and integration</w:t>
            </w:r>
          </w:p>
        </w:tc>
      </w:tr>
    </w:tbl>
    <w:p w14:paraId="632CB8AB" w14:textId="77777777" w:rsidR="00712FD4" w:rsidRDefault="00712FD4">
      <w:pPr>
        <w:pStyle w:val="Heading1"/>
        <w:rPr>
          <w:rFonts w:ascii="Segoe UI" w:eastAsia="Times New Roman" w:hAnsi="Segoe UI" w:cs="Segoe UI"/>
          <w:lang w:val="en"/>
        </w:rPr>
      </w:pPr>
      <w:r>
        <w:rPr>
          <w:rFonts w:ascii="Segoe UI" w:eastAsia="Times New Roman" w:hAnsi="Segoe UI" w:cs="Segoe UI"/>
          <w:lang w:val="en"/>
        </w:rPr>
        <w:lastRenderedPageBreak/>
        <w:t>3. Optional Items</w:t>
      </w:r>
    </w:p>
    <w:p w14:paraId="45B55675" w14:textId="77777777" w:rsidR="00712FD4" w:rsidRDefault="00712FD4">
      <w:pPr>
        <w:pStyle w:val="NormalWeb"/>
        <w:rPr>
          <w:rFonts w:ascii="Segoe UI" w:hAnsi="Segoe UI" w:cs="Segoe UI"/>
          <w:color w:val="1F2933"/>
          <w:sz w:val="21"/>
          <w:szCs w:val="21"/>
          <w:lang w:val="en"/>
        </w:rPr>
      </w:pPr>
      <w:r>
        <w:rPr>
          <w:rFonts w:ascii="Segoe UI" w:hAnsi="Segoe UI" w:cs="Segoe UI"/>
          <w:color w:val="1F2933"/>
          <w:sz w:val="21"/>
          <w:szCs w:val="21"/>
          <w:lang w:val="en"/>
        </w:rPr>
        <w:t xml:space="preserve">The items below are available as optional additions to any of the three commercial models. They are priced separately from the base model and are included only where listed in the signed commercial agreement. Administrator, quiz-creator, and support-team </w:t>
      </w:r>
      <w:r>
        <w:rPr>
          <w:rStyle w:val="Strong"/>
          <w:rFonts w:ascii="Segoe UI" w:hAnsi="Segoe UI" w:cs="Segoe UI"/>
          <w:color w:val="1F2933"/>
          <w:sz w:val="21"/>
          <w:szCs w:val="21"/>
          <w:lang w:val="en"/>
        </w:rPr>
        <w:t>training is included</w:t>
      </w:r>
      <w:r>
        <w:rPr>
          <w:rFonts w:ascii="Segoe UI" w:hAnsi="Segoe UI" w:cs="Segoe UI"/>
          <w:color w:val="1F2933"/>
          <w:sz w:val="21"/>
          <w:szCs w:val="21"/>
          <w:lang w:val="en"/>
        </w:rPr>
        <w:t xml:space="preserve"> in Models A and B and is not charged as an optional item.</w:t>
      </w:r>
    </w:p>
    <w:tbl>
      <w:tblPr>
        <w:tblW w:w="5000" w:type="pct"/>
        <w:tblCellMar>
          <w:top w:w="15" w:type="dxa"/>
          <w:left w:w="15" w:type="dxa"/>
          <w:bottom w:w="15" w:type="dxa"/>
          <w:right w:w="15" w:type="dxa"/>
        </w:tblCellMar>
        <w:tblLook w:val="04A0" w:firstRow="1" w:lastRow="0" w:firstColumn="1" w:lastColumn="0" w:noHBand="0" w:noVBand="1"/>
      </w:tblPr>
      <w:tblGrid>
        <w:gridCol w:w="1615"/>
        <w:gridCol w:w="4733"/>
        <w:gridCol w:w="1018"/>
        <w:gridCol w:w="2253"/>
      </w:tblGrid>
      <w:tr w:rsidR="00000000" w14:paraId="31952C22"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58C29447" w14:textId="77777777" w:rsidR="00712FD4" w:rsidRDefault="00712FD4">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Optional Item</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3BBF5676" w14:textId="77777777" w:rsidR="00712FD4" w:rsidRDefault="00712FD4">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Description</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3664D192" w14:textId="77777777" w:rsidR="00712FD4" w:rsidRDefault="00712FD4">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Status</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54C8ACAC" w14:textId="77777777" w:rsidR="00712FD4" w:rsidRDefault="00712FD4">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Price</w:t>
            </w:r>
          </w:p>
        </w:tc>
      </w:tr>
      <w:tr w:rsidR="00000000" w14:paraId="44EA26F9"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2CAF289" w14:textId="77777777" w:rsidR="00712FD4" w:rsidRDefault="00712FD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Penetration testing</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EC757F8" w14:textId="77777777" w:rsidR="00712FD4" w:rsidRDefault="00712FD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External penetration testing, available as an optional service and subject to a client-approved security scope</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086BC01" w14:textId="77777777" w:rsidR="00712FD4" w:rsidRDefault="00712FD4">
            <w:pPr>
              <w:spacing w:before="160" w:after="160"/>
              <w:rPr>
                <w:rFonts w:ascii="Segoe UI" w:eastAsia="Times New Roman" w:hAnsi="Segoe UI" w:cs="Segoe UI"/>
                <w:color w:val="1F2933"/>
                <w:sz w:val="19"/>
                <w:szCs w:val="19"/>
              </w:rPr>
            </w:pPr>
            <w:r>
              <w:rPr>
                <w:rStyle w:val="badge-opt1"/>
                <w:rFonts w:ascii="Segoe UI" w:eastAsia="Times New Roman" w:hAnsi="Segoe UI" w:cs="Segoe UI"/>
                <w:sz w:val="19"/>
                <w:szCs w:val="19"/>
              </w:rPr>
              <w:t>Optional</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BE75665" w14:textId="77777777" w:rsidR="00712FD4" w:rsidRDefault="00712FD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Scoped and quoted separately per engagement</w:t>
            </w:r>
          </w:p>
        </w:tc>
      </w:tr>
      <w:tr w:rsidR="00000000" w14:paraId="2D5DCE7B"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5E606D5" w14:textId="77777777" w:rsidR="00712FD4" w:rsidRDefault="00712FD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Source-code licence</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4A0F431" w14:textId="77777777" w:rsidR="00712FD4" w:rsidRDefault="00712FD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Optional source-code licence under Model B, where outright ownership or escrow is required; scope defined in the commercial agreement</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DC4DB55" w14:textId="77777777" w:rsidR="00712FD4" w:rsidRDefault="00712FD4">
            <w:pPr>
              <w:spacing w:before="160" w:after="160"/>
              <w:rPr>
                <w:rFonts w:ascii="Segoe UI" w:eastAsia="Times New Roman" w:hAnsi="Segoe UI" w:cs="Segoe UI"/>
                <w:color w:val="1F2933"/>
                <w:sz w:val="19"/>
                <w:szCs w:val="19"/>
              </w:rPr>
            </w:pPr>
            <w:r>
              <w:rPr>
                <w:rStyle w:val="badge-opt1"/>
                <w:rFonts w:ascii="Segoe UI" w:eastAsia="Times New Roman" w:hAnsi="Segoe UI" w:cs="Segoe UI"/>
                <w:sz w:val="19"/>
                <w:szCs w:val="19"/>
              </w:rPr>
              <w:t>Optional</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41F3C6C" w14:textId="77777777" w:rsidR="00712FD4" w:rsidRDefault="00712FD4">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OMR 1,250</w:t>
            </w:r>
          </w:p>
        </w:tc>
      </w:tr>
      <w:tr w:rsidR="00000000" w14:paraId="0BE9A421"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2C716F5" w14:textId="77777777" w:rsidR="00712FD4" w:rsidRDefault="00712FD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24/7 Gold support option</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AC8796A" w14:textId="77777777" w:rsidR="00712FD4" w:rsidRDefault="00712FD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24/7 coverage under the Gold support package, with dedicated support contact and proactive monitoring, available as a purchasable option</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7E6AB21" w14:textId="77777777" w:rsidR="00712FD4" w:rsidRDefault="00712FD4">
            <w:pPr>
              <w:spacing w:before="160" w:after="160"/>
              <w:rPr>
                <w:rFonts w:ascii="Segoe UI" w:eastAsia="Times New Roman" w:hAnsi="Segoe UI" w:cs="Segoe UI"/>
                <w:color w:val="1F2933"/>
                <w:sz w:val="19"/>
                <w:szCs w:val="19"/>
              </w:rPr>
            </w:pPr>
            <w:r>
              <w:rPr>
                <w:rStyle w:val="badge-opt1"/>
                <w:rFonts w:ascii="Segoe UI" w:eastAsia="Times New Roman" w:hAnsi="Segoe UI" w:cs="Segoe UI"/>
                <w:sz w:val="19"/>
                <w:szCs w:val="19"/>
              </w:rPr>
              <w:t>Optional</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73FF6BE" w14:textId="77777777" w:rsidR="00712FD4" w:rsidRDefault="00712FD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Scoped and quoted separately per engagement</w:t>
            </w:r>
          </w:p>
        </w:tc>
      </w:tr>
      <w:tr w:rsidR="00000000" w14:paraId="41E48F82"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D4A35F2" w14:textId="77777777" w:rsidR="00712FD4" w:rsidRDefault="00712FD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Additional language packs</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30441FB" w14:textId="77777777" w:rsidR="00712FD4" w:rsidRDefault="00712FD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Additional interface languages beyond the standard Arabic and English, subject to translation and layout review</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5641573" w14:textId="77777777" w:rsidR="00712FD4" w:rsidRDefault="00712FD4">
            <w:pPr>
              <w:spacing w:before="160" w:after="160"/>
              <w:rPr>
                <w:rFonts w:ascii="Segoe UI" w:eastAsia="Times New Roman" w:hAnsi="Segoe UI" w:cs="Segoe UI"/>
                <w:color w:val="1F2933"/>
                <w:sz w:val="19"/>
                <w:szCs w:val="19"/>
              </w:rPr>
            </w:pPr>
            <w:r>
              <w:rPr>
                <w:rStyle w:val="badge-opt1"/>
                <w:rFonts w:ascii="Segoe UI" w:eastAsia="Times New Roman" w:hAnsi="Segoe UI" w:cs="Segoe UI"/>
                <w:sz w:val="19"/>
                <w:szCs w:val="19"/>
              </w:rPr>
              <w:t>Optional</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B979965" w14:textId="77777777" w:rsidR="00712FD4" w:rsidRDefault="00712FD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Scoped and quoted separately per engagement</w:t>
            </w:r>
          </w:p>
        </w:tc>
      </w:tr>
    </w:tbl>
    <w:p w14:paraId="78624391" w14:textId="77777777" w:rsidR="00712FD4" w:rsidRDefault="00712FD4">
      <w:pPr>
        <w:pStyle w:val="muted"/>
        <w:spacing w:before="120" w:beforeAutospacing="0" w:after="120" w:afterAutospacing="0"/>
        <w:rPr>
          <w:rFonts w:ascii="Segoe UI" w:hAnsi="Segoe UI" w:cs="Segoe UI"/>
          <w:lang w:val="en"/>
        </w:rPr>
      </w:pPr>
      <w:r>
        <w:rPr>
          <w:rFonts w:ascii="Segoe UI" w:hAnsi="Segoe UI" w:cs="Segoe UI"/>
          <w:lang w:val="en"/>
        </w:rPr>
        <w:t>Arabic and English interface support, including full right-to-left (RTL) support for Arabic, is a standard, included capability of the platform. Additional languages are the optional item priced above.</w:t>
      </w:r>
    </w:p>
    <w:p w14:paraId="6CC70D9B" w14:textId="77777777" w:rsidR="00712FD4" w:rsidRDefault="00712FD4">
      <w:pPr>
        <w:pStyle w:val="Heading1"/>
        <w:rPr>
          <w:rFonts w:ascii="Segoe UI" w:eastAsia="Times New Roman" w:hAnsi="Segoe UI" w:cs="Segoe UI"/>
          <w:lang w:val="en"/>
        </w:rPr>
      </w:pPr>
      <w:r>
        <w:rPr>
          <w:rFonts w:ascii="Segoe UI" w:eastAsia="Times New Roman" w:hAnsi="Segoe UI" w:cs="Segoe UI"/>
          <w:lang w:val="en"/>
        </w:rPr>
        <w:t>4. Pricing Methodology</w:t>
      </w:r>
    </w:p>
    <w:p w14:paraId="2B61DDEF" w14:textId="77777777" w:rsidR="00712FD4" w:rsidRDefault="00712FD4">
      <w:pPr>
        <w:pStyle w:val="NormalWeb"/>
        <w:rPr>
          <w:rFonts w:ascii="Segoe UI" w:hAnsi="Segoe UI" w:cs="Segoe UI"/>
          <w:color w:val="1F2933"/>
          <w:sz w:val="21"/>
          <w:szCs w:val="21"/>
          <w:lang w:val="en"/>
        </w:rPr>
      </w:pPr>
      <w:r>
        <w:rPr>
          <w:rFonts w:ascii="Segoe UI" w:hAnsi="Segoe UI" w:cs="Segoe UI"/>
          <w:color w:val="1F2933"/>
          <w:sz w:val="21"/>
          <w:szCs w:val="21"/>
          <w:lang w:val="en"/>
        </w:rPr>
        <w:t xml:space="preserve">Prices for </w:t>
      </w:r>
      <w:r>
        <w:rPr>
          <w:rStyle w:val="Strong"/>
          <w:rFonts w:ascii="Segoe UI" w:hAnsi="Segoe UI" w:cs="Segoe UI"/>
          <w:color w:val="1F2933"/>
          <w:sz w:val="21"/>
          <w:szCs w:val="21"/>
          <w:lang w:val="en"/>
        </w:rPr>
        <w:t>Model A</w:t>
      </w:r>
      <w:r>
        <w:rPr>
          <w:rFonts w:ascii="Segoe UI" w:hAnsi="Segoe UI" w:cs="Segoe UI"/>
          <w:color w:val="1F2933"/>
          <w:sz w:val="21"/>
          <w:szCs w:val="21"/>
          <w:lang w:val="en"/>
        </w:rPr>
        <w:t xml:space="preserve"> and </w:t>
      </w:r>
      <w:r>
        <w:rPr>
          <w:rStyle w:val="Strong"/>
          <w:rFonts w:ascii="Segoe UI" w:hAnsi="Segoe UI" w:cs="Segoe UI"/>
          <w:color w:val="1F2933"/>
          <w:sz w:val="21"/>
          <w:szCs w:val="21"/>
          <w:lang w:val="en"/>
        </w:rPr>
        <w:t>Model B</w:t>
      </w:r>
      <w:r>
        <w:rPr>
          <w:rFonts w:ascii="Segoe UI" w:hAnsi="Segoe UI" w:cs="Segoe UI"/>
          <w:color w:val="1F2933"/>
          <w:sz w:val="21"/>
          <w:szCs w:val="21"/>
          <w:lang w:val="en"/>
        </w:rPr>
        <w:t xml:space="preserve"> are fixed and stated in Section 2. The factors below are used to scope and quote </w:t>
      </w:r>
      <w:r>
        <w:rPr>
          <w:rStyle w:val="Strong"/>
          <w:rFonts w:ascii="Segoe UI" w:hAnsi="Segoe UI" w:cs="Segoe UI"/>
          <w:color w:val="1F2933"/>
          <w:sz w:val="21"/>
          <w:szCs w:val="21"/>
          <w:lang w:val="en"/>
        </w:rPr>
        <w:t>Model C</w:t>
      </w:r>
      <w:r>
        <w:rPr>
          <w:rFonts w:ascii="Segoe UI" w:hAnsi="Segoe UI" w:cs="Segoe UI"/>
          <w:color w:val="1F2933"/>
          <w:sz w:val="21"/>
          <w:szCs w:val="21"/>
          <w:lang w:val="en"/>
        </w:rPr>
        <w:t xml:space="preserve"> and the optional items in Section 3, and are confirmed during the discovery phase described in the full proposal.</w:t>
      </w:r>
    </w:p>
    <w:tbl>
      <w:tblPr>
        <w:tblW w:w="5000" w:type="pct"/>
        <w:tblCellMar>
          <w:top w:w="15" w:type="dxa"/>
          <w:left w:w="15" w:type="dxa"/>
          <w:bottom w:w="15" w:type="dxa"/>
          <w:right w:w="15" w:type="dxa"/>
        </w:tblCellMar>
        <w:tblLook w:val="04A0" w:firstRow="1" w:lastRow="0" w:firstColumn="1" w:lastColumn="0" w:noHBand="0" w:noVBand="1"/>
      </w:tblPr>
      <w:tblGrid>
        <w:gridCol w:w="941"/>
        <w:gridCol w:w="8678"/>
      </w:tblGrid>
      <w:tr w:rsidR="00000000" w14:paraId="46BA84A7"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648BDF95" w14:textId="77777777" w:rsidR="00712FD4" w:rsidRDefault="00712FD4">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650D3516" w14:textId="77777777" w:rsidR="00712FD4" w:rsidRDefault="00712FD4">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Pricing factor</w:t>
            </w:r>
          </w:p>
        </w:tc>
      </w:tr>
      <w:tr w:rsidR="00000000" w14:paraId="365B568A"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7C7FD793" w14:textId="77777777" w:rsidR="00712FD4" w:rsidRDefault="00712FD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1</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F7E2B98" w14:textId="77777777" w:rsidR="00712FD4" w:rsidRDefault="00712FD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Number of departments</w:t>
            </w:r>
          </w:p>
        </w:tc>
      </w:tr>
      <w:tr w:rsidR="00000000" w14:paraId="0DCC30BA"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6913AA52" w14:textId="77777777" w:rsidR="00712FD4" w:rsidRDefault="00712FD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2</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27A02DA" w14:textId="77777777" w:rsidR="00712FD4" w:rsidRDefault="00712FD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Expected concurrent users</w:t>
            </w:r>
          </w:p>
        </w:tc>
      </w:tr>
      <w:tr w:rsidR="00000000" w14:paraId="16E4A833"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D7606A4" w14:textId="77777777" w:rsidR="00712FD4" w:rsidRDefault="00712FD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3</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3E9AED2" w14:textId="77777777" w:rsidR="00712FD4" w:rsidRDefault="00712FD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Number of live sessions</w:t>
            </w:r>
          </w:p>
        </w:tc>
      </w:tr>
      <w:tr w:rsidR="00000000" w14:paraId="15C6C308"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D15744F" w14:textId="77777777" w:rsidR="00712FD4" w:rsidRDefault="00712FD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lastRenderedPageBreak/>
              <w:t>4</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B1BD4FE" w14:textId="77777777" w:rsidR="00712FD4" w:rsidRDefault="00712FD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Hosting model (cloud, on-premises, or hybrid)</w:t>
            </w:r>
          </w:p>
        </w:tc>
      </w:tr>
      <w:tr w:rsidR="00000000" w14:paraId="62956593"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534CA93" w14:textId="77777777" w:rsidR="00712FD4" w:rsidRDefault="00712FD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5</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54C1383" w14:textId="77777777" w:rsidR="00712FD4" w:rsidRDefault="00712FD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Data residency</w:t>
            </w:r>
          </w:p>
        </w:tc>
      </w:tr>
      <w:tr w:rsidR="00000000" w14:paraId="4B2D4044"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1866A234" w14:textId="77777777" w:rsidR="00712FD4" w:rsidRDefault="00712FD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6</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4696AA6" w14:textId="77777777" w:rsidR="00712FD4" w:rsidRDefault="00712FD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AI usage</w:t>
            </w:r>
          </w:p>
        </w:tc>
      </w:tr>
      <w:tr w:rsidR="00000000" w14:paraId="28F08B7A"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2074201" w14:textId="77777777" w:rsidR="00712FD4" w:rsidRDefault="00712FD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7</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B7BD6EA" w14:textId="77777777" w:rsidR="00712FD4" w:rsidRDefault="00712FD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Level of customisation</w:t>
            </w:r>
          </w:p>
        </w:tc>
      </w:tr>
      <w:tr w:rsidR="00000000" w14:paraId="70CA405A"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F239133" w14:textId="77777777" w:rsidR="00712FD4" w:rsidRDefault="00712FD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8</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02862F1E" w14:textId="77777777" w:rsidR="00712FD4" w:rsidRDefault="00712FD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System integrations</w:t>
            </w:r>
          </w:p>
        </w:tc>
      </w:tr>
      <w:tr w:rsidR="00000000" w14:paraId="64ED112F"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A13AE37" w14:textId="77777777" w:rsidR="00712FD4" w:rsidRDefault="00712FD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9</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00F4595" w14:textId="77777777" w:rsidR="00712FD4" w:rsidRDefault="00712FD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Support SLA</w:t>
            </w:r>
          </w:p>
        </w:tc>
      </w:tr>
      <w:tr w:rsidR="00000000" w14:paraId="5150F304"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75B930C8" w14:textId="77777777" w:rsidR="00712FD4" w:rsidRDefault="00712FD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10</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C916808" w14:textId="77777777" w:rsidR="00712FD4" w:rsidRDefault="00712FD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Cybersecurity requirements</w:t>
            </w:r>
          </w:p>
        </w:tc>
      </w:tr>
      <w:tr w:rsidR="00000000" w14:paraId="14D22D40"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2987C0D0" w14:textId="77777777" w:rsidR="00712FD4" w:rsidRDefault="00712FD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11</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57FCB5AA" w14:textId="77777777" w:rsidR="00712FD4" w:rsidRDefault="00712FD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Source-code requirements</w:t>
            </w:r>
          </w:p>
        </w:tc>
      </w:tr>
      <w:tr w:rsidR="00000000" w14:paraId="418D3D4C"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E1EB8B4" w14:textId="77777777" w:rsidR="00712FD4" w:rsidRDefault="00712FD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12</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BA0C408" w14:textId="77777777" w:rsidR="00712FD4" w:rsidRDefault="00712FD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Reporting requirements</w:t>
            </w:r>
          </w:p>
        </w:tc>
      </w:tr>
      <w:tr w:rsidR="00000000" w14:paraId="323B4E01"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2757701" w14:textId="77777777" w:rsidR="00712FD4" w:rsidRDefault="00712FD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13</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F635EDE" w14:textId="77777777" w:rsidR="00712FD4" w:rsidRDefault="00712FD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Language requirements</w:t>
            </w:r>
          </w:p>
        </w:tc>
      </w:tr>
      <w:tr w:rsidR="00000000" w14:paraId="10BA03CC"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82C50A9" w14:textId="77777777" w:rsidR="00712FD4" w:rsidRDefault="00712FD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14</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471F2422" w14:textId="77777777" w:rsidR="00712FD4" w:rsidRDefault="00712FD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Training requirements</w:t>
            </w:r>
          </w:p>
        </w:tc>
      </w:tr>
      <w:tr w:rsidR="00000000" w14:paraId="7B7E9C11"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B305B9C" w14:textId="77777777" w:rsidR="00712FD4" w:rsidRDefault="00712FD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15</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93759D9" w14:textId="77777777" w:rsidR="00712FD4" w:rsidRDefault="00712FD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Project duration</w:t>
            </w:r>
          </w:p>
        </w:tc>
      </w:tr>
    </w:tbl>
    <w:p w14:paraId="433627E5" w14:textId="77777777" w:rsidR="00712FD4" w:rsidRDefault="00712FD4">
      <w:pPr>
        <w:pStyle w:val="Heading1"/>
        <w:rPr>
          <w:rFonts w:ascii="Segoe UI" w:eastAsia="Times New Roman" w:hAnsi="Segoe UI" w:cs="Segoe UI"/>
          <w:lang w:val="en"/>
        </w:rPr>
      </w:pPr>
      <w:r>
        <w:rPr>
          <w:rFonts w:ascii="Segoe UI" w:eastAsia="Times New Roman" w:hAnsi="Segoe UI" w:cs="Segoe UI"/>
          <w:lang w:val="en"/>
        </w:rPr>
        <w:t>5. Commercial Terms</w:t>
      </w:r>
    </w:p>
    <w:p w14:paraId="0FA54F71" w14:textId="77777777" w:rsidR="00712FD4" w:rsidRDefault="00712FD4">
      <w:pPr>
        <w:pStyle w:val="notice"/>
        <w:spacing w:before="120" w:beforeAutospacing="0" w:after="120" w:afterAutospacing="0"/>
        <w:rPr>
          <w:rFonts w:ascii="Segoe UI" w:hAnsi="Segoe UI" w:cs="Segoe UI"/>
          <w:color w:val="1F2933"/>
          <w:sz w:val="21"/>
          <w:szCs w:val="21"/>
          <w:lang w:val="en"/>
        </w:rPr>
      </w:pPr>
      <w:r>
        <w:rPr>
          <w:rStyle w:val="Strong"/>
          <w:rFonts w:ascii="Segoe UI" w:hAnsi="Segoe UI" w:cs="Segoe UI"/>
          <w:color w:val="1F2933"/>
          <w:sz w:val="21"/>
          <w:szCs w:val="21"/>
          <w:lang w:val="en"/>
        </w:rPr>
        <w:t>Proposed terms — subject to negotiation.</w:t>
      </w:r>
      <w:r>
        <w:rPr>
          <w:rFonts w:ascii="Segoe UI" w:hAnsi="Segoe UI" w:cs="Segoe UI"/>
          <w:color w:val="1F2933"/>
          <w:sz w:val="21"/>
          <w:szCs w:val="21"/>
          <w:lang w:val="en"/>
        </w:rPr>
        <w:t xml:space="preserve"> </w:t>
      </w:r>
      <w:r>
        <w:rPr>
          <w:rFonts w:ascii="Segoe UI" w:hAnsi="Segoe UI" w:cs="Segoe UI"/>
          <w:color w:val="1F2933"/>
          <w:sz w:val="21"/>
          <w:szCs w:val="21"/>
          <w:lang w:val="en"/>
        </w:rPr>
        <w:t xml:space="preserve">The terms below illustrate the structure Altanfith typically proposes; final commercial terms for </w:t>
      </w:r>
      <w:r>
        <w:rPr>
          <w:rStyle w:val="Strong"/>
          <w:rFonts w:ascii="Segoe UI" w:hAnsi="Segoe UI" w:cs="Segoe UI"/>
          <w:color w:val="1F2933"/>
          <w:sz w:val="21"/>
          <w:szCs w:val="21"/>
          <w:lang w:val="en"/>
        </w:rPr>
        <w:t>PDO</w:t>
      </w:r>
      <w:r>
        <w:rPr>
          <w:rFonts w:ascii="Segoe UI" w:hAnsi="Segoe UI" w:cs="Segoe UI"/>
          <w:color w:val="1F2933"/>
          <w:sz w:val="21"/>
          <w:szCs w:val="21"/>
          <w:lang w:val="en"/>
        </w:rPr>
        <w:t xml:space="preserve"> are agreed in the signed commercial agreement.</w:t>
      </w:r>
    </w:p>
    <w:p w14:paraId="53E54DF5" w14:textId="77777777" w:rsidR="00712FD4" w:rsidRDefault="00712FD4">
      <w:pPr>
        <w:numPr>
          <w:ilvl w:val="0"/>
          <w:numId w:val="1"/>
        </w:numPr>
        <w:spacing w:before="100" w:beforeAutospacing="1" w:after="100" w:afterAutospacing="1"/>
        <w:rPr>
          <w:rFonts w:ascii="Segoe UI" w:eastAsia="Times New Roman" w:hAnsi="Segoe UI" w:cs="Segoe UI"/>
          <w:color w:val="1F2933"/>
          <w:sz w:val="21"/>
          <w:szCs w:val="21"/>
          <w:lang w:val="en"/>
        </w:rPr>
      </w:pPr>
      <w:r>
        <w:rPr>
          <w:rFonts w:ascii="Segoe UI" w:eastAsia="Times New Roman" w:hAnsi="Segoe UI" w:cs="Segoe UI"/>
          <w:color w:val="1F2933"/>
          <w:sz w:val="21"/>
          <w:szCs w:val="21"/>
          <w:lang w:val="en"/>
        </w:rPr>
        <w:t>Currency: Omani Rial (OMR). Amounts are exclusive of applicable taxes unless otherwise stated.</w:t>
      </w:r>
    </w:p>
    <w:p w14:paraId="1EEC9AC7" w14:textId="77777777" w:rsidR="00712FD4" w:rsidRDefault="00712FD4">
      <w:pPr>
        <w:numPr>
          <w:ilvl w:val="0"/>
          <w:numId w:val="1"/>
        </w:numPr>
        <w:spacing w:before="100" w:beforeAutospacing="1" w:after="100" w:afterAutospacing="1"/>
        <w:rPr>
          <w:rFonts w:ascii="Segoe UI" w:eastAsia="Times New Roman" w:hAnsi="Segoe UI" w:cs="Segoe UI"/>
          <w:color w:val="1F2933"/>
          <w:sz w:val="21"/>
          <w:szCs w:val="21"/>
          <w:lang w:val="en"/>
        </w:rPr>
      </w:pPr>
      <w:r>
        <w:rPr>
          <w:rFonts w:ascii="Segoe UI" w:eastAsia="Times New Roman" w:hAnsi="Segoe UI" w:cs="Segoe UI"/>
          <w:color w:val="1F2933"/>
          <w:sz w:val="21"/>
          <w:szCs w:val="21"/>
          <w:lang w:val="en"/>
        </w:rPr>
        <w:t xml:space="preserve">Annual subscription (Model A): </w:t>
      </w:r>
      <w:r>
        <w:rPr>
          <w:rStyle w:val="Strong"/>
          <w:rFonts w:ascii="Segoe UI" w:eastAsia="Times New Roman" w:hAnsi="Segoe UI" w:cs="Segoe UI"/>
          <w:color w:val="1F2933"/>
          <w:sz w:val="21"/>
          <w:szCs w:val="21"/>
          <w:lang w:val="en"/>
        </w:rPr>
        <w:t>100%</w:t>
      </w:r>
      <w:r>
        <w:rPr>
          <w:rFonts w:ascii="Segoe UI" w:eastAsia="Times New Roman" w:hAnsi="Segoe UI" w:cs="Segoe UI"/>
          <w:color w:val="1F2933"/>
          <w:sz w:val="21"/>
          <w:szCs w:val="21"/>
          <w:lang w:val="en"/>
        </w:rPr>
        <w:t xml:space="preserve"> annually in advance against invoice.</w:t>
      </w:r>
    </w:p>
    <w:p w14:paraId="75FA97E9" w14:textId="77777777" w:rsidR="00712FD4" w:rsidRDefault="00712FD4">
      <w:pPr>
        <w:numPr>
          <w:ilvl w:val="0"/>
          <w:numId w:val="1"/>
        </w:numPr>
        <w:spacing w:before="100" w:beforeAutospacing="1" w:after="100" w:afterAutospacing="1"/>
        <w:rPr>
          <w:rFonts w:ascii="Segoe UI" w:eastAsia="Times New Roman" w:hAnsi="Segoe UI" w:cs="Segoe UI"/>
          <w:color w:val="1F2933"/>
          <w:sz w:val="21"/>
          <w:szCs w:val="21"/>
          <w:lang w:val="en"/>
        </w:rPr>
      </w:pPr>
      <w:r>
        <w:rPr>
          <w:rFonts w:ascii="Segoe UI" w:eastAsia="Times New Roman" w:hAnsi="Segoe UI" w:cs="Segoe UI"/>
          <w:color w:val="1F2933"/>
          <w:sz w:val="21"/>
          <w:szCs w:val="21"/>
          <w:lang w:val="en"/>
        </w:rPr>
        <w:t xml:space="preserve">Perpetual licence (Model B): </w:t>
      </w:r>
      <w:r>
        <w:rPr>
          <w:rStyle w:val="Strong"/>
          <w:rFonts w:ascii="Segoe UI" w:eastAsia="Times New Roman" w:hAnsi="Segoe UI" w:cs="Segoe UI"/>
          <w:color w:val="1F2933"/>
          <w:sz w:val="21"/>
          <w:szCs w:val="21"/>
          <w:lang w:val="en"/>
        </w:rPr>
        <w:t>40%</w:t>
      </w:r>
      <w:r>
        <w:rPr>
          <w:rFonts w:ascii="Segoe UI" w:eastAsia="Times New Roman" w:hAnsi="Segoe UI" w:cs="Segoe UI"/>
          <w:color w:val="1F2933"/>
          <w:sz w:val="21"/>
          <w:szCs w:val="21"/>
          <w:lang w:val="en"/>
        </w:rPr>
        <w:t xml:space="preserve"> upon contract signature, </w:t>
      </w:r>
      <w:r>
        <w:rPr>
          <w:rStyle w:val="Strong"/>
          <w:rFonts w:ascii="Segoe UI" w:eastAsia="Times New Roman" w:hAnsi="Segoe UI" w:cs="Segoe UI"/>
          <w:color w:val="1F2933"/>
          <w:sz w:val="21"/>
          <w:szCs w:val="21"/>
          <w:lang w:val="en"/>
        </w:rPr>
        <w:t>40%</w:t>
      </w:r>
      <w:r>
        <w:rPr>
          <w:rFonts w:ascii="Segoe UI" w:eastAsia="Times New Roman" w:hAnsi="Segoe UI" w:cs="Segoe UI"/>
          <w:color w:val="1F2933"/>
          <w:sz w:val="21"/>
          <w:szCs w:val="21"/>
          <w:lang w:val="en"/>
        </w:rPr>
        <w:t xml:space="preserve"> upon User Acceptance Testing (UAT) approval, </w:t>
      </w:r>
      <w:r>
        <w:rPr>
          <w:rStyle w:val="Strong"/>
          <w:rFonts w:ascii="Segoe UI" w:eastAsia="Times New Roman" w:hAnsi="Segoe UI" w:cs="Segoe UI"/>
          <w:color w:val="1F2933"/>
          <w:sz w:val="21"/>
          <w:szCs w:val="21"/>
          <w:lang w:val="en"/>
        </w:rPr>
        <w:t>20%</w:t>
      </w:r>
      <w:r>
        <w:rPr>
          <w:rFonts w:ascii="Segoe UI" w:eastAsia="Times New Roman" w:hAnsi="Segoe UI" w:cs="Segoe UI"/>
          <w:color w:val="1F2933"/>
          <w:sz w:val="21"/>
          <w:szCs w:val="21"/>
          <w:lang w:val="en"/>
        </w:rPr>
        <w:t xml:space="preserve"> </w:t>
      </w:r>
      <w:r>
        <w:rPr>
          <w:rFonts w:ascii="Segoe UI" w:eastAsia="Times New Roman" w:hAnsi="Segoe UI" w:cs="Segoe UI"/>
          <w:color w:val="1F2933"/>
          <w:sz w:val="21"/>
          <w:szCs w:val="21"/>
          <w:lang w:val="en"/>
        </w:rPr>
        <w:t>upon production go-live. This payment schedule is recommended and remains subject to commercial negotiation and mutual agreement.</w:t>
      </w:r>
    </w:p>
    <w:p w14:paraId="29A2BAC2" w14:textId="77777777" w:rsidR="00712FD4" w:rsidRDefault="00712FD4">
      <w:pPr>
        <w:numPr>
          <w:ilvl w:val="0"/>
          <w:numId w:val="1"/>
        </w:numPr>
        <w:spacing w:before="100" w:beforeAutospacing="1" w:after="100" w:afterAutospacing="1"/>
        <w:rPr>
          <w:rFonts w:ascii="Segoe UI" w:eastAsia="Times New Roman" w:hAnsi="Segoe UI" w:cs="Segoe UI"/>
          <w:color w:val="1F2933"/>
          <w:sz w:val="21"/>
          <w:szCs w:val="21"/>
          <w:lang w:val="en"/>
        </w:rPr>
      </w:pPr>
      <w:r>
        <w:rPr>
          <w:rFonts w:ascii="Segoe UI" w:eastAsia="Times New Roman" w:hAnsi="Segoe UI" w:cs="Segoe UI"/>
          <w:color w:val="1F2933"/>
          <w:sz w:val="21"/>
          <w:szCs w:val="21"/>
          <w:lang w:val="en"/>
        </w:rPr>
        <w:t>Maintenance (Model B, optional): annual payment in advance.</w:t>
      </w:r>
    </w:p>
    <w:p w14:paraId="62E37AB8" w14:textId="77777777" w:rsidR="00712FD4" w:rsidRDefault="00712FD4">
      <w:pPr>
        <w:numPr>
          <w:ilvl w:val="0"/>
          <w:numId w:val="1"/>
        </w:numPr>
        <w:spacing w:before="100" w:beforeAutospacing="1" w:after="100" w:afterAutospacing="1"/>
        <w:rPr>
          <w:rFonts w:ascii="Segoe UI" w:eastAsia="Times New Roman" w:hAnsi="Segoe UI" w:cs="Segoe UI"/>
          <w:color w:val="1F2933"/>
          <w:sz w:val="21"/>
          <w:szCs w:val="21"/>
          <w:lang w:val="en"/>
        </w:rPr>
      </w:pPr>
      <w:r>
        <w:rPr>
          <w:rFonts w:ascii="Segoe UI" w:eastAsia="Times New Roman" w:hAnsi="Segoe UI" w:cs="Segoe UI"/>
          <w:color w:val="1F2933"/>
          <w:sz w:val="21"/>
          <w:szCs w:val="21"/>
          <w:lang w:val="en"/>
        </w:rPr>
        <w:t>Change requests: quoted and invoiced separately.</w:t>
      </w:r>
    </w:p>
    <w:p w14:paraId="4BE7C14E" w14:textId="77777777" w:rsidR="00712FD4" w:rsidRDefault="00712FD4">
      <w:pPr>
        <w:numPr>
          <w:ilvl w:val="0"/>
          <w:numId w:val="1"/>
        </w:numPr>
        <w:spacing w:before="100" w:beforeAutospacing="1" w:after="100" w:afterAutospacing="1"/>
        <w:rPr>
          <w:rFonts w:ascii="Segoe UI" w:eastAsia="Times New Roman" w:hAnsi="Segoe UI" w:cs="Segoe UI"/>
          <w:color w:val="1F2933"/>
          <w:sz w:val="21"/>
          <w:szCs w:val="21"/>
          <w:lang w:val="en"/>
        </w:rPr>
      </w:pPr>
      <w:r>
        <w:rPr>
          <w:rFonts w:ascii="Segoe UI" w:eastAsia="Times New Roman" w:hAnsi="Segoe UI" w:cs="Segoe UI"/>
          <w:color w:val="1F2933"/>
          <w:sz w:val="21"/>
          <w:szCs w:val="21"/>
          <w:lang w:val="en"/>
        </w:rPr>
        <w:t>Travel outside Muscat: charged separately, where required and agreed in advance.</w:t>
      </w:r>
    </w:p>
    <w:p w14:paraId="14EFACB9" w14:textId="77777777" w:rsidR="00712FD4" w:rsidRDefault="00712FD4">
      <w:pPr>
        <w:numPr>
          <w:ilvl w:val="0"/>
          <w:numId w:val="1"/>
        </w:numPr>
        <w:spacing w:before="100" w:beforeAutospacing="1" w:after="100" w:afterAutospacing="1"/>
        <w:rPr>
          <w:rFonts w:ascii="Segoe UI" w:eastAsia="Times New Roman" w:hAnsi="Segoe UI" w:cs="Segoe UI"/>
          <w:color w:val="1F2933"/>
          <w:sz w:val="21"/>
          <w:szCs w:val="21"/>
          <w:lang w:val="en"/>
        </w:rPr>
      </w:pPr>
      <w:r>
        <w:rPr>
          <w:rFonts w:ascii="Segoe UI" w:eastAsia="Times New Roman" w:hAnsi="Segoe UI" w:cs="Segoe UI"/>
          <w:color w:val="1F2933"/>
          <w:sz w:val="21"/>
          <w:szCs w:val="21"/>
          <w:lang w:val="en"/>
        </w:rPr>
        <w:t>Third-party services: charged at cost, plus an agreed administration fee where applicable.</w:t>
      </w:r>
    </w:p>
    <w:p w14:paraId="49C1F173" w14:textId="77777777" w:rsidR="00712FD4" w:rsidRDefault="00712FD4">
      <w:pPr>
        <w:pStyle w:val="Heading1"/>
        <w:rPr>
          <w:rFonts w:ascii="Segoe UI" w:eastAsia="Times New Roman" w:hAnsi="Segoe UI" w:cs="Segoe UI"/>
          <w:lang w:val="en"/>
        </w:rPr>
      </w:pPr>
      <w:r>
        <w:rPr>
          <w:rFonts w:ascii="Segoe UI" w:eastAsia="Times New Roman" w:hAnsi="Segoe UI" w:cs="Segoe UI"/>
          <w:lang w:val="en"/>
        </w:rPr>
        <w:lastRenderedPageBreak/>
        <w:t>6. Validity &amp; Acceptance</w:t>
      </w:r>
    </w:p>
    <w:p w14:paraId="3058A41E" w14:textId="77777777" w:rsidR="00712FD4" w:rsidRDefault="00712FD4">
      <w:pPr>
        <w:pStyle w:val="NormalWeb"/>
        <w:rPr>
          <w:rFonts w:ascii="Segoe UI" w:hAnsi="Segoe UI" w:cs="Segoe UI"/>
          <w:color w:val="1F2933"/>
          <w:sz w:val="21"/>
          <w:szCs w:val="21"/>
          <w:lang w:val="en"/>
        </w:rPr>
      </w:pPr>
      <w:r>
        <w:rPr>
          <w:rFonts w:ascii="Segoe UI" w:hAnsi="Segoe UI" w:cs="Segoe UI"/>
          <w:color w:val="1F2933"/>
          <w:sz w:val="21"/>
          <w:szCs w:val="21"/>
          <w:lang w:val="en"/>
        </w:rPr>
        <w:t xml:space="preserve">This quotation, including the pricing in Sections 2 and 3 and the commercial terms in Section 5, is valid for a period of </w:t>
      </w:r>
      <w:r>
        <w:rPr>
          <w:rStyle w:val="Strong"/>
          <w:rFonts w:ascii="Segoe UI" w:hAnsi="Segoe UI" w:cs="Segoe UI"/>
          <w:color w:val="1F2933"/>
          <w:sz w:val="21"/>
          <w:szCs w:val="21"/>
          <w:lang w:val="en"/>
        </w:rPr>
        <w:t>30 days</w:t>
      </w:r>
      <w:r>
        <w:rPr>
          <w:rFonts w:ascii="Segoe UI" w:hAnsi="Segoe UI" w:cs="Segoe UI"/>
          <w:color w:val="1F2933"/>
          <w:sz w:val="21"/>
          <w:szCs w:val="21"/>
          <w:lang w:val="en"/>
        </w:rPr>
        <w:t xml:space="preserve"> from </w:t>
      </w:r>
      <w:r>
        <w:rPr>
          <w:rStyle w:val="Strong"/>
          <w:rFonts w:ascii="Segoe UI" w:hAnsi="Segoe UI" w:cs="Segoe UI"/>
          <w:color w:val="1F2933"/>
          <w:sz w:val="21"/>
          <w:szCs w:val="21"/>
          <w:lang w:val="en"/>
        </w:rPr>
        <w:t>28/07/2026</w:t>
      </w:r>
      <w:r>
        <w:rPr>
          <w:rFonts w:ascii="Segoe UI" w:hAnsi="Segoe UI" w:cs="Segoe UI"/>
          <w:color w:val="1F2933"/>
          <w:sz w:val="21"/>
          <w:szCs w:val="21"/>
          <w:lang w:val="en"/>
        </w:rPr>
        <w:t xml:space="preserve">, that is until </w:t>
      </w:r>
      <w:r>
        <w:rPr>
          <w:rStyle w:val="Strong"/>
          <w:rFonts w:ascii="Segoe UI" w:hAnsi="Segoe UI" w:cs="Segoe UI"/>
          <w:color w:val="1F2933"/>
          <w:sz w:val="21"/>
          <w:szCs w:val="21"/>
          <w:lang w:val="en"/>
        </w:rPr>
        <w:t>27/08/2026</w:t>
      </w:r>
      <w:r>
        <w:rPr>
          <w:rFonts w:ascii="Segoe UI" w:hAnsi="Segoe UI" w:cs="Segoe UI"/>
          <w:color w:val="1F2933"/>
          <w:sz w:val="21"/>
          <w:szCs w:val="21"/>
          <w:lang w:val="en"/>
        </w:rPr>
        <w:t>. Beyond this period, pricing and availability are subject to reconfirmation by Al Tanfith Al Dwaliah SPC.</w:t>
      </w:r>
    </w:p>
    <w:p w14:paraId="539CD67C" w14:textId="77777777" w:rsidR="00712FD4" w:rsidRDefault="00712FD4">
      <w:pPr>
        <w:pStyle w:val="NormalWeb"/>
        <w:rPr>
          <w:rFonts w:ascii="Segoe UI" w:hAnsi="Segoe UI" w:cs="Segoe UI"/>
          <w:color w:val="1F2933"/>
          <w:sz w:val="21"/>
          <w:szCs w:val="21"/>
          <w:lang w:val="en"/>
        </w:rPr>
      </w:pPr>
      <w:r>
        <w:rPr>
          <w:rFonts w:ascii="Segoe UI" w:hAnsi="Segoe UI" w:cs="Segoe UI"/>
          <w:color w:val="1F2933"/>
          <w:sz w:val="21"/>
          <w:szCs w:val="21"/>
          <w:lang w:val="en"/>
        </w:rPr>
        <w:t>This quotation is accepted and agreed by the signatories below on behalf of their respective organisations.</w:t>
      </w:r>
    </w:p>
    <w:tbl>
      <w:tblPr>
        <w:tblW w:w="5000" w:type="pct"/>
        <w:tblCellMar>
          <w:top w:w="15" w:type="dxa"/>
          <w:left w:w="15" w:type="dxa"/>
          <w:bottom w:w="15" w:type="dxa"/>
          <w:right w:w="15" w:type="dxa"/>
        </w:tblCellMar>
        <w:tblLook w:val="04A0" w:firstRow="1" w:lastRow="0" w:firstColumn="1" w:lastColumn="0" w:noHBand="0" w:noVBand="1"/>
      </w:tblPr>
      <w:tblGrid>
        <w:gridCol w:w="5211"/>
        <w:gridCol w:w="4408"/>
      </w:tblGrid>
      <w:tr w:rsidR="00000000" w14:paraId="396F7712" w14:textId="77777777">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42DD26BE" w14:textId="77777777" w:rsidR="00712FD4" w:rsidRDefault="00712FD4">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 xml:space="preserve">For </w:t>
            </w:r>
            <w:r>
              <w:rPr>
                <w:rStyle w:val="Strong"/>
                <w:rFonts w:ascii="Segoe UI" w:eastAsia="Times New Roman" w:hAnsi="Segoe UI" w:cs="Segoe UI"/>
                <w:color w:val="FFFFFF"/>
                <w:sz w:val="19"/>
                <w:szCs w:val="19"/>
              </w:rPr>
              <w:t>Petroleum Development Oman (PDO)</w:t>
            </w:r>
          </w:p>
        </w:tc>
        <w:tc>
          <w:tcPr>
            <w:tcW w:w="0" w:type="auto"/>
            <w:tcBorders>
              <w:top w:val="single" w:sz="8" w:space="0" w:color="0B2239"/>
              <w:left w:val="single" w:sz="8" w:space="0" w:color="0B2239"/>
              <w:bottom w:val="single" w:sz="8" w:space="0" w:color="0B2239"/>
              <w:right w:val="single" w:sz="8" w:space="0" w:color="0B2239"/>
            </w:tcBorders>
            <w:shd w:val="clear" w:color="auto" w:fill="0B2239"/>
            <w:tcMar>
              <w:top w:w="100" w:type="dxa"/>
              <w:left w:w="120" w:type="dxa"/>
              <w:bottom w:w="100" w:type="dxa"/>
              <w:right w:w="120" w:type="dxa"/>
            </w:tcMar>
            <w:vAlign w:val="center"/>
            <w:hideMark/>
          </w:tcPr>
          <w:p w14:paraId="39241CBE" w14:textId="77777777" w:rsidR="00712FD4" w:rsidRDefault="00712FD4">
            <w:pPr>
              <w:spacing w:before="160" w:after="160"/>
              <w:rPr>
                <w:rFonts w:ascii="Segoe UI" w:eastAsia="Times New Roman" w:hAnsi="Segoe UI" w:cs="Segoe UI"/>
                <w:b/>
                <w:bCs/>
                <w:color w:val="FFFFFF"/>
                <w:sz w:val="19"/>
                <w:szCs w:val="19"/>
              </w:rPr>
            </w:pPr>
            <w:r>
              <w:rPr>
                <w:rFonts w:ascii="Segoe UI" w:eastAsia="Times New Roman" w:hAnsi="Segoe UI" w:cs="Segoe UI"/>
                <w:b/>
                <w:bCs/>
                <w:color w:val="FFFFFF"/>
                <w:sz w:val="19"/>
                <w:szCs w:val="19"/>
              </w:rPr>
              <w:t>For Al Tanfith Al Dwaliah SPC</w:t>
            </w:r>
          </w:p>
        </w:tc>
      </w:tr>
      <w:tr w:rsidR="00000000" w14:paraId="259DC8D5"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0437C369" w14:textId="77777777" w:rsidR="00712FD4" w:rsidRDefault="00712FD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Name: ____________________________</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6A504CC3" w14:textId="77777777" w:rsidR="00712FD4" w:rsidRDefault="00712FD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Name: ____________________________</w:t>
            </w:r>
          </w:p>
        </w:tc>
      </w:tr>
      <w:tr w:rsidR="00000000" w14:paraId="632CEBC3"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312E4DC0" w14:textId="77777777" w:rsidR="00712FD4" w:rsidRDefault="00712FD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Title: ____________________________</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58698555" w14:textId="77777777" w:rsidR="00712FD4" w:rsidRDefault="00712FD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Title: ____________________________</w:t>
            </w:r>
          </w:p>
        </w:tc>
      </w:tr>
      <w:tr w:rsidR="00000000" w14:paraId="29D66D25" w14:textId="77777777">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4D5D8888" w14:textId="77777777" w:rsidR="00712FD4" w:rsidRDefault="00712FD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Signature: ____________________________</w:t>
            </w:r>
          </w:p>
        </w:tc>
        <w:tc>
          <w:tcPr>
            <w:tcW w:w="0" w:type="auto"/>
            <w:tcBorders>
              <w:top w:val="single" w:sz="8" w:space="0" w:color="D5DBE1"/>
              <w:left w:val="single" w:sz="8" w:space="0" w:color="D5DBE1"/>
              <w:bottom w:val="single" w:sz="8" w:space="0" w:color="D5DBE1"/>
              <w:right w:val="single" w:sz="8" w:space="0" w:color="D5DBE1"/>
            </w:tcBorders>
            <w:tcMar>
              <w:top w:w="100" w:type="dxa"/>
              <w:left w:w="120" w:type="dxa"/>
              <w:bottom w:w="100" w:type="dxa"/>
              <w:right w:w="120" w:type="dxa"/>
            </w:tcMar>
            <w:hideMark/>
          </w:tcPr>
          <w:p w14:paraId="184BAA71" w14:textId="77777777" w:rsidR="00712FD4" w:rsidRDefault="00712FD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Signature: ____________________________</w:t>
            </w:r>
          </w:p>
        </w:tc>
      </w:tr>
      <w:tr w:rsidR="00000000" w14:paraId="5073B18E" w14:textId="77777777">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225F1D8" w14:textId="77777777" w:rsidR="00712FD4" w:rsidRDefault="00712FD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Date: ____________________________</w:t>
            </w:r>
          </w:p>
        </w:tc>
        <w:tc>
          <w:tcPr>
            <w:tcW w:w="0" w:type="auto"/>
            <w:tcBorders>
              <w:top w:val="single" w:sz="8" w:space="0" w:color="D5DBE1"/>
              <w:left w:val="single" w:sz="8" w:space="0" w:color="D5DBE1"/>
              <w:bottom w:val="single" w:sz="8" w:space="0" w:color="D5DBE1"/>
              <w:right w:val="single" w:sz="8" w:space="0" w:color="D5DBE1"/>
            </w:tcBorders>
            <w:shd w:val="clear" w:color="auto" w:fill="F2F4F7"/>
            <w:tcMar>
              <w:top w:w="100" w:type="dxa"/>
              <w:left w:w="120" w:type="dxa"/>
              <w:bottom w:w="100" w:type="dxa"/>
              <w:right w:w="120" w:type="dxa"/>
            </w:tcMar>
            <w:hideMark/>
          </w:tcPr>
          <w:p w14:paraId="24BBB74C" w14:textId="77777777" w:rsidR="00712FD4" w:rsidRDefault="00712FD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Date: ____________________________</w:t>
            </w:r>
          </w:p>
        </w:tc>
      </w:tr>
    </w:tbl>
    <w:p w14:paraId="016F715A" w14:textId="77777777" w:rsidR="00712FD4" w:rsidRDefault="00712FD4">
      <w:pPr>
        <w:pStyle w:val="Heading2"/>
        <w:rPr>
          <w:rFonts w:ascii="Segoe UI" w:eastAsia="Times New Roman" w:hAnsi="Segoe UI" w:cs="Segoe UI"/>
          <w:lang w:val="en"/>
        </w:rPr>
      </w:pPr>
      <w:r>
        <w:rPr>
          <w:rFonts w:ascii="Segoe UI" w:eastAsia="Times New Roman" w:hAnsi="Segoe UI" w:cs="Segoe UI"/>
          <w:lang w:val="en"/>
        </w:rPr>
        <w:t>6.1 Contact</w:t>
      </w:r>
    </w:p>
    <w:tbl>
      <w:tblPr>
        <w:tblW w:w="5000" w:type="pct"/>
        <w:tblCellMar>
          <w:top w:w="15" w:type="dxa"/>
          <w:left w:w="15" w:type="dxa"/>
          <w:bottom w:w="15" w:type="dxa"/>
          <w:right w:w="15" w:type="dxa"/>
        </w:tblCellMar>
        <w:tblLook w:val="04A0" w:firstRow="1" w:lastRow="0" w:firstColumn="1" w:lastColumn="0" w:noHBand="0" w:noVBand="1"/>
      </w:tblPr>
      <w:tblGrid>
        <w:gridCol w:w="3084"/>
        <w:gridCol w:w="6555"/>
      </w:tblGrid>
      <w:tr w:rsidR="00000000" w14:paraId="0C16CF24" w14:textId="77777777">
        <w:tc>
          <w:tcPr>
            <w:tcW w:w="1600" w:type="pct"/>
            <w:tcBorders>
              <w:top w:val="nil"/>
              <w:left w:val="nil"/>
              <w:bottom w:val="nil"/>
              <w:right w:val="nil"/>
            </w:tcBorders>
            <w:tcMar>
              <w:top w:w="40" w:type="dxa"/>
              <w:left w:w="120" w:type="dxa"/>
              <w:bottom w:w="40" w:type="dxa"/>
              <w:right w:w="120" w:type="dxa"/>
            </w:tcMar>
            <w:hideMark/>
          </w:tcPr>
          <w:p w14:paraId="2B5C383A" w14:textId="77777777" w:rsidR="00712FD4" w:rsidRDefault="00712FD4">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Company</w:t>
            </w:r>
          </w:p>
        </w:tc>
        <w:tc>
          <w:tcPr>
            <w:tcW w:w="0" w:type="auto"/>
            <w:tcBorders>
              <w:top w:val="nil"/>
              <w:left w:val="nil"/>
              <w:bottom w:val="nil"/>
              <w:right w:val="nil"/>
            </w:tcBorders>
            <w:tcMar>
              <w:top w:w="40" w:type="dxa"/>
              <w:left w:w="120" w:type="dxa"/>
              <w:bottom w:w="40" w:type="dxa"/>
              <w:right w:w="120" w:type="dxa"/>
            </w:tcMar>
            <w:hideMark/>
          </w:tcPr>
          <w:p w14:paraId="0BE5DB32" w14:textId="77777777" w:rsidR="00712FD4" w:rsidRDefault="00712FD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Al Tanfith Al Dwaliah SPC</w:t>
            </w:r>
          </w:p>
        </w:tc>
      </w:tr>
      <w:tr w:rsidR="00000000" w14:paraId="0E79BE14" w14:textId="77777777">
        <w:tc>
          <w:tcPr>
            <w:tcW w:w="0" w:type="auto"/>
            <w:tcBorders>
              <w:top w:val="nil"/>
              <w:left w:val="nil"/>
              <w:bottom w:val="nil"/>
              <w:right w:val="nil"/>
            </w:tcBorders>
            <w:tcMar>
              <w:top w:w="40" w:type="dxa"/>
              <w:left w:w="120" w:type="dxa"/>
              <w:bottom w:w="40" w:type="dxa"/>
              <w:right w:w="120" w:type="dxa"/>
            </w:tcMar>
            <w:hideMark/>
          </w:tcPr>
          <w:p w14:paraId="62155C39" w14:textId="77777777" w:rsidR="00712FD4" w:rsidRDefault="00712FD4">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Solution</w:t>
            </w:r>
          </w:p>
        </w:tc>
        <w:tc>
          <w:tcPr>
            <w:tcW w:w="0" w:type="auto"/>
            <w:tcBorders>
              <w:top w:val="nil"/>
              <w:left w:val="nil"/>
              <w:bottom w:val="nil"/>
              <w:right w:val="nil"/>
            </w:tcBorders>
            <w:tcMar>
              <w:top w:w="40" w:type="dxa"/>
              <w:left w:w="120" w:type="dxa"/>
              <w:bottom w:w="40" w:type="dxa"/>
              <w:right w:w="120" w:type="dxa"/>
            </w:tcMar>
            <w:hideMark/>
          </w:tcPr>
          <w:p w14:paraId="687FEB7B" w14:textId="77777777" w:rsidR="00712FD4" w:rsidRDefault="00712FD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Live Quiz Platform</w:t>
            </w:r>
          </w:p>
        </w:tc>
      </w:tr>
      <w:tr w:rsidR="00000000" w14:paraId="659A7E66" w14:textId="77777777">
        <w:tc>
          <w:tcPr>
            <w:tcW w:w="0" w:type="auto"/>
            <w:tcBorders>
              <w:top w:val="nil"/>
              <w:left w:val="nil"/>
              <w:bottom w:val="nil"/>
              <w:right w:val="nil"/>
            </w:tcBorders>
            <w:tcMar>
              <w:top w:w="40" w:type="dxa"/>
              <w:left w:w="120" w:type="dxa"/>
              <w:bottom w:w="40" w:type="dxa"/>
              <w:right w:w="120" w:type="dxa"/>
            </w:tcMar>
            <w:hideMark/>
          </w:tcPr>
          <w:p w14:paraId="6F7DCA6C" w14:textId="77777777" w:rsidR="00712FD4" w:rsidRDefault="00712FD4">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Prepared by</w:t>
            </w:r>
          </w:p>
        </w:tc>
        <w:tc>
          <w:tcPr>
            <w:tcW w:w="0" w:type="auto"/>
            <w:tcBorders>
              <w:top w:val="nil"/>
              <w:left w:val="nil"/>
              <w:bottom w:val="nil"/>
              <w:right w:val="nil"/>
            </w:tcBorders>
            <w:tcMar>
              <w:top w:w="40" w:type="dxa"/>
              <w:left w:w="120" w:type="dxa"/>
              <w:bottom w:w="40" w:type="dxa"/>
              <w:right w:w="120" w:type="dxa"/>
            </w:tcMar>
            <w:hideMark/>
          </w:tcPr>
          <w:p w14:paraId="47CB842D" w14:textId="77777777" w:rsidR="00712FD4" w:rsidRDefault="00712FD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Haitham Al Lamki</w:t>
            </w:r>
          </w:p>
        </w:tc>
      </w:tr>
      <w:tr w:rsidR="00000000" w14:paraId="7C6DD34D" w14:textId="77777777">
        <w:tc>
          <w:tcPr>
            <w:tcW w:w="0" w:type="auto"/>
            <w:tcBorders>
              <w:top w:val="nil"/>
              <w:left w:val="nil"/>
              <w:bottom w:val="nil"/>
              <w:right w:val="nil"/>
            </w:tcBorders>
            <w:tcMar>
              <w:top w:w="40" w:type="dxa"/>
              <w:left w:w="120" w:type="dxa"/>
              <w:bottom w:w="40" w:type="dxa"/>
              <w:right w:w="120" w:type="dxa"/>
            </w:tcMar>
            <w:hideMark/>
          </w:tcPr>
          <w:p w14:paraId="72EFF6E7" w14:textId="77777777" w:rsidR="00712FD4" w:rsidRDefault="00712FD4">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Email</w:t>
            </w:r>
          </w:p>
        </w:tc>
        <w:tc>
          <w:tcPr>
            <w:tcW w:w="0" w:type="auto"/>
            <w:tcBorders>
              <w:top w:val="nil"/>
              <w:left w:val="nil"/>
              <w:bottom w:val="nil"/>
              <w:right w:val="nil"/>
            </w:tcBorders>
            <w:tcMar>
              <w:top w:w="40" w:type="dxa"/>
              <w:left w:w="120" w:type="dxa"/>
              <w:bottom w:w="40" w:type="dxa"/>
              <w:right w:w="120" w:type="dxa"/>
            </w:tcMar>
            <w:hideMark/>
          </w:tcPr>
          <w:p w14:paraId="7ADFF2AD" w14:textId="77777777" w:rsidR="00712FD4" w:rsidRDefault="00712FD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haitham@altanfith.com</w:t>
            </w:r>
          </w:p>
        </w:tc>
      </w:tr>
      <w:tr w:rsidR="00000000" w14:paraId="396D367A" w14:textId="77777777">
        <w:tc>
          <w:tcPr>
            <w:tcW w:w="0" w:type="auto"/>
            <w:tcBorders>
              <w:top w:val="nil"/>
              <w:left w:val="nil"/>
              <w:bottom w:val="nil"/>
              <w:right w:val="nil"/>
            </w:tcBorders>
            <w:tcMar>
              <w:top w:w="40" w:type="dxa"/>
              <w:left w:w="120" w:type="dxa"/>
              <w:bottom w:w="40" w:type="dxa"/>
              <w:right w:w="120" w:type="dxa"/>
            </w:tcMar>
            <w:hideMark/>
          </w:tcPr>
          <w:p w14:paraId="1C5025F0" w14:textId="77777777" w:rsidR="00712FD4" w:rsidRDefault="00712FD4">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Phone</w:t>
            </w:r>
          </w:p>
        </w:tc>
        <w:tc>
          <w:tcPr>
            <w:tcW w:w="0" w:type="auto"/>
            <w:tcBorders>
              <w:top w:val="nil"/>
              <w:left w:val="nil"/>
              <w:bottom w:val="nil"/>
              <w:right w:val="nil"/>
            </w:tcBorders>
            <w:tcMar>
              <w:top w:w="40" w:type="dxa"/>
              <w:left w:w="120" w:type="dxa"/>
              <w:bottom w:w="40" w:type="dxa"/>
              <w:right w:w="120" w:type="dxa"/>
            </w:tcMar>
            <w:hideMark/>
          </w:tcPr>
          <w:p w14:paraId="49CC307E" w14:textId="77777777" w:rsidR="00712FD4" w:rsidRDefault="00712FD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+968 9937 1775</w:t>
            </w:r>
          </w:p>
        </w:tc>
      </w:tr>
      <w:tr w:rsidR="00000000" w14:paraId="6C022B11" w14:textId="77777777">
        <w:tc>
          <w:tcPr>
            <w:tcW w:w="0" w:type="auto"/>
            <w:tcBorders>
              <w:top w:val="nil"/>
              <w:left w:val="nil"/>
              <w:bottom w:val="nil"/>
              <w:right w:val="nil"/>
            </w:tcBorders>
            <w:tcMar>
              <w:top w:w="40" w:type="dxa"/>
              <w:left w:w="120" w:type="dxa"/>
              <w:bottom w:w="40" w:type="dxa"/>
              <w:right w:w="120" w:type="dxa"/>
            </w:tcMar>
            <w:hideMark/>
          </w:tcPr>
          <w:p w14:paraId="2DCFC4F5" w14:textId="77777777" w:rsidR="00712FD4" w:rsidRDefault="00712FD4">
            <w:pPr>
              <w:spacing w:before="160" w:after="160"/>
              <w:rPr>
                <w:rFonts w:ascii="Segoe UI" w:eastAsia="Times New Roman" w:hAnsi="Segoe UI" w:cs="Segoe UI"/>
                <w:color w:val="1F2933"/>
                <w:sz w:val="19"/>
                <w:szCs w:val="19"/>
              </w:rPr>
            </w:pPr>
            <w:r>
              <w:rPr>
                <w:rStyle w:val="Strong"/>
                <w:rFonts w:ascii="Segoe UI" w:eastAsia="Times New Roman" w:hAnsi="Segoe UI" w:cs="Segoe UI"/>
                <w:color w:val="1F2933"/>
                <w:sz w:val="19"/>
                <w:szCs w:val="19"/>
              </w:rPr>
              <w:t>Country</w:t>
            </w:r>
          </w:p>
        </w:tc>
        <w:tc>
          <w:tcPr>
            <w:tcW w:w="0" w:type="auto"/>
            <w:tcBorders>
              <w:top w:val="nil"/>
              <w:left w:val="nil"/>
              <w:bottom w:val="nil"/>
              <w:right w:val="nil"/>
            </w:tcBorders>
            <w:tcMar>
              <w:top w:w="40" w:type="dxa"/>
              <w:left w:w="120" w:type="dxa"/>
              <w:bottom w:w="40" w:type="dxa"/>
              <w:right w:w="120" w:type="dxa"/>
            </w:tcMar>
            <w:hideMark/>
          </w:tcPr>
          <w:p w14:paraId="16C3AE4B" w14:textId="77777777" w:rsidR="00712FD4" w:rsidRDefault="00712FD4">
            <w:pPr>
              <w:spacing w:before="160" w:after="160"/>
              <w:rPr>
                <w:rFonts w:ascii="Segoe UI" w:eastAsia="Times New Roman" w:hAnsi="Segoe UI" w:cs="Segoe UI"/>
                <w:color w:val="1F2933"/>
                <w:sz w:val="19"/>
                <w:szCs w:val="19"/>
              </w:rPr>
            </w:pPr>
            <w:r>
              <w:rPr>
                <w:rFonts w:ascii="Segoe UI" w:eastAsia="Times New Roman" w:hAnsi="Segoe UI" w:cs="Segoe UI"/>
                <w:color w:val="1F2933"/>
                <w:sz w:val="19"/>
                <w:szCs w:val="19"/>
              </w:rPr>
              <w:t>Sultanate of Oman</w:t>
            </w:r>
          </w:p>
        </w:tc>
      </w:tr>
    </w:tbl>
    <w:p w14:paraId="2A3B1161" w14:textId="77777777" w:rsidR="00712FD4" w:rsidRDefault="00712FD4">
      <w:pPr>
        <w:rPr>
          <w:rFonts w:eastAsia="Times New Roman"/>
        </w:rPr>
      </w:pPr>
    </w:p>
    <w:sectPr w:rsidR="00712FD4" w:rsidSect="00590978">
      <w:headerReference w:type="even" r:id="rId7"/>
      <w:headerReference w:type="default" r:id="rId8"/>
      <w:footerReference w:type="even" r:id="rId9"/>
      <w:footerReference w:type="default" r:id="rId10"/>
      <w:headerReference w:type="first" r:id="rId11"/>
      <w:footerReference w:type="first" r:id="rId12"/>
      <w:pgSz w:w="11907" w:h="16839"/>
      <w:pgMar w:top="1134" w:right="1134" w:bottom="113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5FF048" w14:textId="77777777" w:rsidR="00712FD4" w:rsidRDefault="00712FD4" w:rsidP="00590978">
      <w:r>
        <w:separator/>
      </w:r>
    </w:p>
  </w:endnote>
  <w:endnote w:type="continuationSeparator" w:id="0">
    <w:p w14:paraId="2FB3720B" w14:textId="77777777" w:rsidR="00712FD4" w:rsidRDefault="00712FD4" w:rsidP="0059097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E03EC" w14:textId="77777777" w:rsidR="00590978" w:rsidRDefault="005909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FD2BF9" w14:textId="2EA4391B" w:rsidR="00590978" w:rsidRPr="00590978" w:rsidRDefault="00590978" w:rsidP="00590978">
    <w:pPr>
      <w:pStyle w:val="Footer"/>
      <w:jc w:val="center"/>
      <w:rPr>
        <w:color w:val="5A6B7A"/>
        <w:sz w:val="16"/>
      </w:rPr>
    </w:pPr>
    <w:r w:rsidRPr="00590978">
      <w:rPr>
        <w:color w:val="5A6B7A"/>
        <w:sz w:val="16"/>
      </w:rPr>
      <w:t>Al Tanfith Al Dwaliah SPC  |  Page </w:t>
    </w:r>
    <w:r w:rsidRPr="00590978">
      <w:rPr>
        <w:color w:val="5A6B7A"/>
        <w:sz w:val="16"/>
      </w:rPr>
      <w:fldChar w:fldCharType="begin"/>
    </w:r>
    <w:r w:rsidRPr="00590978">
      <w:rPr>
        <w:color w:val="5A6B7A"/>
        <w:sz w:val="16"/>
      </w:rPr>
      <w:instrText xml:space="preserve"> PAGE  \* MERGEFORMAT </w:instrText>
    </w:r>
    <w:r w:rsidRPr="00590978">
      <w:rPr>
        <w:color w:val="5A6B7A"/>
        <w:sz w:val="16"/>
      </w:rPr>
      <w:fldChar w:fldCharType="separate"/>
    </w:r>
    <w:r w:rsidRPr="00590978">
      <w:rPr>
        <w:noProof/>
        <w:color w:val="5A6B7A"/>
        <w:sz w:val="16"/>
      </w:rPr>
      <w:t>1</w:t>
    </w:r>
    <w:r w:rsidRPr="00590978">
      <w:rPr>
        <w:color w:val="5A6B7A"/>
        <w:sz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066B10" w14:textId="77777777" w:rsidR="00590978" w:rsidRDefault="005909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F06A37" w14:textId="77777777" w:rsidR="00712FD4" w:rsidRDefault="00712FD4" w:rsidP="00590978">
      <w:r>
        <w:separator/>
      </w:r>
    </w:p>
  </w:footnote>
  <w:footnote w:type="continuationSeparator" w:id="0">
    <w:p w14:paraId="37EC4580" w14:textId="77777777" w:rsidR="00712FD4" w:rsidRDefault="00712FD4" w:rsidP="0059097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4AD01F" w14:textId="77777777" w:rsidR="00590978" w:rsidRDefault="005909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B4CF03" w14:textId="77777777" w:rsidR="00590978" w:rsidRDefault="0059097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AF2CD8" w14:textId="77777777" w:rsidR="00590978" w:rsidRDefault="005909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102599"/>
    <w:multiLevelType w:val="multilevel"/>
    <w:tmpl w:val="53A69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69633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footnotePr>
    <w:footnote w:id="-1"/>
    <w:footnote w:id="0"/>
  </w:footnotePr>
  <w:endnotePr>
    <w:endnote w:id="-1"/>
    <w:endnote w:id="0"/>
  </w:endnotePr>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590978"/>
    <w:rsid w:val="00590978"/>
    <w:rsid w:val="00712FD4"/>
    <w:rsid w:val="00FF0F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1B2D2ED"/>
  <w15:chartTrackingRefBased/>
  <w15:docId w15:val="{85EE5CEF-F591-4F8E-9175-1B403DA83F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keepNext/>
      <w:pBdr>
        <w:bottom w:val="single" w:sz="18" w:space="4" w:color="0FA3A3"/>
      </w:pBdr>
      <w:spacing w:before="400" w:after="100" w:afterAutospacing="1"/>
      <w:outlineLvl w:val="0"/>
    </w:pPr>
    <w:rPr>
      <w:b/>
      <w:bCs/>
      <w:color w:val="0B2239"/>
      <w:kern w:val="36"/>
      <w:sz w:val="36"/>
      <w:szCs w:val="36"/>
    </w:rPr>
  </w:style>
  <w:style w:type="paragraph" w:styleId="Heading2">
    <w:name w:val="heading 2"/>
    <w:basedOn w:val="Normal"/>
    <w:link w:val="Heading2Char"/>
    <w:uiPriority w:val="9"/>
    <w:qFormat/>
    <w:pPr>
      <w:spacing w:before="280" w:after="100" w:afterAutospacing="1"/>
      <w:outlineLvl w:val="1"/>
    </w:pPr>
    <w:rPr>
      <w:b/>
      <w:bCs/>
      <w:color w:val="0B2239"/>
      <w:sz w:val="26"/>
      <w:szCs w:val="26"/>
    </w:rPr>
  </w:style>
  <w:style w:type="paragraph" w:styleId="Heading3">
    <w:name w:val="heading 3"/>
    <w:basedOn w:val="Normal"/>
    <w:link w:val="Heading3Char"/>
    <w:uiPriority w:val="9"/>
    <w:qFormat/>
    <w:pPr>
      <w:spacing w:before="100" w:beforeAutospacing="1" w:after="100" w:afterAutospacing="1"/>
      <w:outlineLvl w:val="2"/>
    </w:pPr>
    <w:rPr>
      <w:b/>
      <w:bCs/>
      <w:color w:val="155E63"/>
      <w:sz w:val="23"/>
      <w:szCs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0F4761" w:themeColor="accent1" w:themeShade="BF"/>
      <w:sz w:val="28"/>
      <w:szCs w:val="28"/>
    </w:rPr>
  </w:style>
  <w:style w:type="paragraph" w:customStyle="1" w:styleId="msonormal0">
    <w:name w:val="msonormal"/>
    <w:basedOn w:val="Normal"/>
    <w:pPr>
      <w:spacing w:before="120" w:after="120"/>
    </w:pPr>
  </w:style>
  <w:style w:type="paragraph" w:styleId="NormalWeb">
    <w:name w:val="Normal (Web)"/>
    <w:basedOn w:val="Normal"/>
    <w:uiPriority w:val="99"/>
    <w:semiHidden/>
    <w:unhideWhenUsed/>
    <w:pPr>
      <w:spacing w:before="120" w:after="120"/>
    </w:pPr>
  </w:style>
  <w:style w:type="paragraph" w:customStyle="1" w:styleId="pb">
    <w:name w:val="pb"/>
    <w:basedOn w:val="Normal"/>
    <w:pPr>
      <w:pageBreakBefore/>
      <w:spacing w:before="100" w:beforeAutospacing="1" w:after="100" w:afterAutospacing="1"/>
    </w:pPr>
  </w:style>
  <w:style w:type="paragraph" w:customStyle="1" w:styleId="tag">
    <w:name w:val="tag"/>
    <w:basedOn w:val="Normal"/>
    <w:pPr>
      <w:spacing w:before="100" w:beforeAutospacing="1" w:after="100" w:afterAutospacing="1"/>
    </w:pPr>
    <w:rPr>
      <w:color w:val="0FA3A3"/>
    </w:rPr>
  </w:style>
  <w:style w:type="paragraph" w:customStyle="1" w:styleId="notice">
    <w:name w:val="notice"/>
    <w:basedOn w:val="Normal"/>
    <w:pPr>
      <w:pBdr>
        <w:left w:val="single" w:sz="24" w:space="10" w:color="0FA3A3"/>
      </w:pBdr>
      <w:shd w:val="clear" w:color="auto" w:fill="F2F4F7"/>
      <w:spacing w:before="100" w:beforeAutospacing="1" w:after="100" w:afterAutospacing="1"/>
    </w:pPr>
  </w:style>
  <w:style w:type="paragraph" w:customStyle="1" w:styleId="muted">
    <w:name w:val="muted"/>
    <w:basedOn w:val="Normal"/>
    <w:pPr>
      <w:spacing w:before="100" w:beforeAutospacing="1" w:after="100" w:afterAutospacing="1"/>
    </w:pPr>
    <w:rPr>
      <w:color w:val="5A6B7A"/>
      <w:sz w:val="18"/>
      <w:szCs w:val="18"/>
    </w:rPr>
  </w:style>
  <w:style w:type="paragraph" w:customStyle="1" w:styleId="badge-inc">
    <w:name w:val="badge-inc"/>
    <w:basedOn w:val="Normal"/>
    <w:pPr>
      <w:spacing w:before="100" w:beforeAutospacing="1" w:after="100" w:afterAutospacing="1"/>
    </w:pPr>
    <w:rPr>
      <w:b/>
      <w:bCs/>
      <w:color w:val="155E63"/>
    </w:rPr>
  </w:style>
  <w:style w:type="paragraph" w:customStyle="1" w:styleId="badge-opt">
    <w:name w:val="badge-opt"/>
    <w:basedOn w:val="Normal"/>
    <w:pPr>
      <w:spacing w:before="100" w:beforeAutospacing="1" w:after="100" w:afterAutospacing="1"/>
    </w:pPr>
    <w:rPr>
      <w:b/>
      <w:bCs/>
      <w:color w:val="8A6D1D"/>
    </w:rPr>
  </w:style>
  <w:style w:type="paragraph" w:customStyle="1" w:styleId="badge-fut">
    <w:name w:val="badge-fut"/>
    <w:basedOn w:val="Normal"/>
    <w:pPr>
      <w:spacing w:before="100" w:beforeAutospacing="1" w:after="100" w:afterAutospacing="1"/>
    </w:pPr>
    <w:rPr>
      <w:b/>
      <w:bCs/>
      <w:color w:val="5A6B7A"/>
    </w:rPr>
  </w:style>
  <w:style w:type="paragraph" w:customStyle="1" w:styleId="badge-tbc">
    <w:name w:val="badge-tbc"/>
    <w:basedOn w:val="Normal"/>
    <w:pPr>
      <w:spacing w:before="100" w:beforeAutospacing="1" w:after="100" w:afterAutospacing="1"/>
    </w:pPr>
    <w:rPr>
      <w:b/>
      <w:bCs/>
      <w:color w:val="8C2F2F"/>
    </w:rPr>
  </w:style>
  <w:style w:type="character" w:styleId="Strong">
    <w:name w:val="Strong"/>
    <w:basedOn w:val="DefaultParagraphFont"/>
    <w:uiPriority w:val="22"/>
    <w:qFormat/>
    <w:rPr>
      <w:b/>
      <w:bCs/>
    </w:rPr>
  </w:style>
  <w:style w:type="character" w:styleId="Emphasis">
    <w:name w:val="Emphasis"/>
    <w:basedOn w:val="DefaultParagraphFont"/>
    <w:uiPriority w:val="20"/>
    <w:qFormat/>
    <w:rPr>
      <w:i/>
      <w:iCs/>
    </w:rPr>
  </w:style>
  <w:style w:type="character" w:customStyle="1" w:styleId="muted1">
    <w:name w:val="muted1"/>
    <w:basedOn w:val="DefaultParagraphFont"/>
    <w:rPr>
      <w:color w:val="5A6B7A"/>
      <w:sz w:val="18"/>
      <w:szCs w:val="18"/>
    </w:rPr>
  </w:style>
  <w:style w:type="character" w:customStyle="1" w:styleId="badge-inc1">
    <w:name w:val="badge-inc1"/>
    <w:basedOn w:val="DefaultParagraphFont"/>
    <w:rPr>
      <w:b/>
      <w:bCs/>
      <w:color w:val="155E63"/>
    </w:rPr>
  </w:style>
  <w:style w:type="character" w:customStyle="1" w:styleId="badge-opt1">
    <w:name w:val="badge-opt1"/>
    <w:basedOn w:val="DefaultParagraphFont"/>
    <w:rPr>
      <w:b/>
      <w:bCs/>
      <w:color w:val="8A6D1D"/>
    </w:rPr>
  </w:style>
  <w:style w:type="paragraph" w:styleId="Header">
    <w:name w:val="header"/>
    <w:basedOn w:val="Normal"/>
    <w:link w:val="HeaderChar"/>
    <w:uiPriority w:val="99"/>
    <w:unhideWhenUsed/>
    <w:rsid w:val="00590978"/>
    <w:pPr>
      <w:tabs>
        <w:tab w:val="center" w:pos="4680"/>
        <w:tab w:val="right" w:pos="9360"/>
      </w:tabs>
    </w:pPr>
  </w:style>
  <w:style w:type="character" w:customStyle="1" w:styleId="HeaderChar">
    <w:name w:val="Header Char"/>
    <w:basedOn w:val="DefaultParagraphFont"/>
    <w:link w:val="Header"/>
    <w:uiPriority w:val="99"/>
    <w:rsid w:val="00590978"/>
    <w:rPr>
      <w:rFonts w:eastAsiaTheme="minorEastAsia"/>
      <w:sz w:val="24"/>
      <w:szCs w:val="24"/>
    </w:rPr>
  </w:style>
  <w:style w:type="paragraph" w:styleId="Footer">
    <w:name w:val="footer"/>
    <w:basedOn w:val="Normal"/>
    <w:link w:val="FooterChar"/>
    <w:uiPriority w:val="99"/>
    <w:unhideWhenUsed/>
    <w:rsid w:val="00590978"/>
    <w:pPr>
      <w:tabs>
        <w:tab w:val="center" w:pos="4680"/>
        <w:tab w:val="right" w:pos="9360"/>
      </w:tabs>
    </w:pPr>
  </w:style>
  <w:style w:type="character" w:customStyle="1" w:styleId="FooterChar">
    <w:name w:val="Footer Char"/>
    <w:basedOn w:val="DefaultParagraphFont"/>
    <w:link w:val="Footer"/>
    <w:uiPriority w:val="99"/>
    <w:rsid w:val="00590978"/>
    <w:rPr>
      <w:rFonts w:eastAsiaTheme="minorEastAsia"/>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1345</Words>
  <Characters>8408</Characters>
  <Application>Microsoft Office Word</Application>
  <DocSecurity>0</DocSecurity>
  <Lines>262</Lines>
  <Paragraphs>178</Paragraphs>
  <ScaleCrop>false</ScaleCrop>
  <Company/>
  <LinksUpToDate>false</LinksUpToDate>
  <CharactersWithSpaces>9604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Live Quiz Platform — Commercial Quotation</dc:title>
  <dc:subject/>
  <dc:creator>Haitham Al Lamki</dc:creator>
  <cp:keywords/>
  <dc:description/>
  <cp:lastModifiedBy>Haitham Al Lamki</cp:lastModifiedBy>
  <cp:revision>2</cp:revision>
  <dcterms:created xsi:type="dcterms:W3CDTF">2026-07-28T09:42:00Z</dcterms:created>
  <dcterms:modified xsi:type="dcterms:W3CDTF">2026-07-28T09:42:00Z</dcterms:modified>
</cp:coreProperties>
</file>