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top w:w="15" w:type="dxa"/>
          <w:left w:w="15" w:type="dxa"/>
          <w:bottom w:w="15" w:type="dxa"/>
          <w:right w:w="15" w:type="dxa"/>
        </w:tblCellMar>
        <w:tblLook w:val="04A0" w:firstRow="1" w:lastRow="0" w:firstColumn="1" w:lastColumn="0" w:noHBand="0" w:noVBand="1"/>
      </w:tblPr>
      <w:tblGrid>
        <w:gridCol w:w="9639"/>
      </w:tblGrid>
      <w:tr w:rsidR="00000000" w14:paraId="0C942F2E" w14:textId="77777777">
        <w:tc>
          <w:tcPr>
            <w:tcW w:w="0" w:type="auto"/>
            <w:tcBorders>
              <w:top w:val="nil"/>
              <w:left w:val="nil"/>
              <w:bottom w:val="nil"/>
              <w:right w:val="nil"/>
            </w:tcBorders>
            <w:shd w:val="clear" w:color="auto" w:fill="0B2239"/>
            <w:tcMar>
              <w:top w:w="1200" w:type="dxa"/>
              <w:left w:w="800" w:type="dxa"/>
              <w:bottom w:w="1200" w:type="dxa"/>
              <w:right w:w="800" w:type="dxa"/>
            </w:tcMar>
            <w:hideMark/>
          </w:tcPr>
          <w:p w14:paraId="2CCF78B9" w14:textId="77777777" w:rsidR="00917CFD" w:rsidRDefault="00917CFD">
            <w:pPr>
              <w:pStyle w:val="NormalWeb"/>
              <w:rPr>
                <w:rFonts w:ascii="Segoe UI" w:hAnsi="Segoe UI" w:cs="Segoe UI"/>
                <w:color w:val="FFFFFF"/>
                <w:spacing w:val="20"/>
              </w:rPr>
            </w:pPr>
            <w:r>
              <w:rPr>
                <w:rFonts w:ascii="Segoe UI" w:hAnsi="Segoe UI" w:cs="Segoe UI"/>
                <w:color w:val="FFFFFF"/>
                <w:spacing w:val="20"/>
              </w:rPr>
              <w:t>ALTANFITH ALDWALIAH SPC</w:t>
            </w:r>
          </w:p>
          <w:p w14:paraId="2E572E45" w14:textId="77777777" w:rsidR="00917CFD" w:rsidRDefault="00917CFD">
            <w:pPr>
              <w:pStyle w:val="NormalWeb"/>
              <w:spacing w:before="480" w:after="0"/>
              <w:rPr>
                <w:rFonts w:ascii="Segoe UI" w:hAnsi="Segoe UI" w:cs="Segoe UI"/>
                <w:b/>
                <w:bCs/>
                <w:color w:val="FFFFFF"/>
                <w:sz w:val="60"/>
                <w:szCs w:val="60"/>
              </w:rPr>
            </w:pPr>
            <w:r>
              <w:rPr>
                <w:rFonts w:ascii="Segoe UI" w:hAnsi="Segoe UI" w:cs="Segoe UI"/>
                <w:b/>
                <w:bCs/>
                <w:color w:val="FFFFFF"/>
                <w:sz w:val="60"/>
                <w:szCs w:val="60"/>
              </w:rPr>
              <w:t>LIVE QUIZ PLATFORM</w:t>
            </w:r>
          </w:p>
          <w:p w14:paraId="6196D778" w14:textId="77777777" w:rsidR="00917CFD" w:rsidRDefault="00917CFD">
            <w:pPr>
              <w:pStyle w:val="NormalWeb"/>
              <w:spacing w:before="0"/>
              <w:rPr>
                <w:rFonts w:ascii="Segoe UI" w:hAnsi="Segoe UI" w:cs="Segoe UI"/>
                <w:color w:val="FFFFFF"/>
                <w:sz w:val="30"/>
                <w:szCs w:val="30"/>
              </w:rPr>
            </w:pPr>
            <w:r>
              <w:rPr>
                <w:rFonts w:ascii="Segoe UI" w:hAnsi="Segoe UI" w:cs="Segoe UI"/>
                <w:color w:val="FFFFFF"/>
                <w:sz w:val="30"/>
                <w:szCs w:val="30"/>
              </w:rPr>
              <w:t>Technical &amp; Commercial Proposal</w:t>
            </w:r>
          </w:p>
          <w:p w14:paraId="72D4FE97" w14:textId="77777777" w:rsidR="00917CFD" w:rsidRDefault="00917CFD">
            <w:pPr>
              <w:pStyle w:val="NormalWeb"/>
              <w:spacing w:before="720"/>
              <w:rPr>
                <w:rFonts w:ascii="Segoe UI" w:hAnsi="Segoe UI" w:cs="Segoe UI"/>
                <w:color w:val="FFFFFF"/>
                <w:sz w:val="19"/>
                <w:szCs w:val="19"/>
              </w:rPr>
            </w:pPr>
            <w:r>
              <w:rPr>
                <w:rFonts w:ascii="Segoe UI" w:hAnsi="Segoe UI" w:cs="Segoe UI"/>
                <w:color w:val="FFFFFF"/>
                <w:sz w:val="19"/>
                <w:szCs w:val="19"/>
              </w:rPr>
              <w:t xml:space="preserve">Prepared for: </w:t>
            </w:r>
            <w:r>
              <w:rPr>
                <w:rStyle w:val="Strong"/>
                <w:rFonts w:ascii="Segoe UI" w:hAnsi="Segoe UI" w:cs="Segoe UI"/>
                <w:color w:val="FFFFFF"/>
                <w:sz w:val="19"/>
                <w:szCs w:val="19"/>
              </w:rPr>
              <w:t>[Client Name]</w:t>
            </w:r>
          </w:p>
          <w:p w14:paraId="7037EB8D" w14:textId="77777777" w:rsidR="00917CFD" w:rsidRDefault="00917CFD">
            <w:pPr>
              <w:pStyle w:val="NormalWeb"/>
              <w:rPr>
                <w:rFonts w:ascii="Segoe UI" w:hAnsi="Segoe UI" w:cs="Segoe UI"/>
                <w:color w:val="FFFFFF"/>
                <w:sz w:val="19"/>
                <w:szCs w:val="19"/>
              </w:rPr>
            </w:pPr>
            <w:r>
              <w:rPr>
                <w:rFonts w:ascii="Segoe UI" w:hAnsi="Segoe UI" w:cs="Segoe UI"/>
                <w:color w:val="FFFFFF"/>
                <w:sz w:val="19"/>
                <w:szCs w:val="19"/>
              </w:rPr>
              <w:t xml:space="preserve">Reference: </w:t>
            </w:r>
            <w:r>
              <w:rPr>
                <w:rStyle w:val="Strong"/>
                <w:rFonts w:ascii="Segoe UI" w:hAnsi="Segoe UI" w:cs="Segoe UI"/>
                <w:color w:val="FFFFFF"/>
                <w:sz w:val="19"/>
                <w:szCs w:val="19"/>
              </w:rPr>
              <w:t>[Proposal Reference]</w:t>
            </w:r>
          </w:p>
          <w:p w14:paraId="2C547470" w14:textId="77777777" w:rsidR="00917CFD" w:rsidRDefault="00917CFD">
            <w:pPr>
              <w:pStyle w:val="NormalWeb"/>
              <w:rPr>
                <w:rFonts w:ascii="Segoe UI" w:hAnsi="Segoe UI" w:cs="Segoe UI"/>
                <w:color w:val="FFFFFF"/>
                <w:sz w:val="19"/>
                <w:szCs w:val="19"/>
              </w:rPr>
            </w:pPr>
            <w:r>
              <w:rPr>
                <w:rFonts w:ascii="Segoe UI" w:hAnsi="Segoe UI" w:cs="Segoe UI"/>
                <w:color w:val="FFFFFF"/>
                <w:sz w:val="19"/>
                <w:szCs w:val="19"/>
              </w:rPr>
              <w:t xml:space="preserve">Version: </w:t>
            </w:r>
            <w:r>
              <w:rPr>
                <w:rStyle w:val="Strong"/>
                <w:rFonts w:ascii="Segoe UI" w:hAnsi="Segoe UI" w:cs="Segoe UI"/>
                <w:color w:val="FFFFFF"/>
                <w:sz w:val="19"/>
                <w:szCs w:val="19"/>
              </w:rPr>
              <w:t>1.0</w:t>
            </w:r>
          </w:p>
          <w:p w14:paraId="3F03BC09" w14:textId="77777777" w:rsidR="00917CFD" w:rsidRDefault="00917CFD">
            <w:pPr>
              <w:pStyle w:val="NormalWeb"/>
              <w:rPr>
                <w:rFonts w:ascii="Segoe UI" w:hAnsi="Segoe UI" w:cs="Segoe UI"/>
                <w:color w:val="FFFFFF"/>
                <w:sz w:val="19"/>
                <w:szCs w:val="19"/>
              </w:rPr>
            </w:pPr>
            <w:r>
              <w:rPr>
                <w:rFonts w:ascii="Segoe UI" w:hAnsi="Segoe UI" w:cs="Segoe UI"/>
                <w:color w:val="FFFFFF"/>
                <w:sz w:val="19"/>
                <w:szCs w:val="19"/>
              </w:rPr>
              <w:t xml:space="preserve">Date: </w:t>
            </w:r>
            <w:r>
              <w:rPr>
                <w:rStyle w:val="Strong"/>
                <w:rFonts w:ascii="Segoe UI" w:hAnsi="Segoe UI" w:cs="Segoe UI"/>
                <w:color w:val="FFFFFF"/>
                <w:sz w:val="19"/>
                <w:szCs w:val="19"/>
              </w:rPr>
              <w:t>[Date]</w:t>
            </w:r>
          </w:p>
          <w:p w14:paraId="0D518CD3" w14:textId="77777777" w:rsidR="00917CFD" w:rsidRDefault="00917CFD">
            <w:pPr>
              <w:pStyle w:val="tag"/>
              <w:spacing w:before="720" w:beforeAutospacing="0" w:after="120" w:afterAutospacing="0"/>
              <w:rPr>
                <w:rFonts w:ascii="Segoe UI" w:hAnsi="Segoe UI" w:cs="Segoe UI"/>
                <w:spacing w:val="40"/>
              </w:rPr>
            </w:pPr>
            <w:r>
              <w:rPr>
                <w:rFonts w:ascii="Segoe UI" w:hAnsi="Segoe UI" w:cs="Segoe UI"/>
                <w:spacing w:val="40"/>
              </w:rPr>
              <w:t>CONFIDENTIAL</w:t>
            </w:r>
          </w:p>
        </w:tc>
      </w:tr>
    </w:tbl>
    <w:p w14:paraId="2BE2B7DA" w14:textId="77777777" w:rsidR="00917CFD" w:rsidRDefault="00917CFD">
      <w:pPr>
        <w:pStyle w:val="Heading1"/>
        <w:pageBreakBefore/>
        <w:rPr>
          <w:rFonts w:ascii="Segoe UI" w:eastAsia="Times New Roman" w:hAnsi="Segoe UI" w:cs="Segoe UI"/>
          <w:lang w:val="en"/>
        </w:rPr>
      </w:pPr>
      <w:bookmarkStart w:id="0" w:name="_Toc235442928"/>
      <w:r>
        <w:rPr>
          <w:rFonts w:ascii="Segoe UI" w:eastAsia="Times New Roman" w:hAnsi="Segoe UI" w:cs="Segoe UI"/>
          <w:lang w:val="en"/>
        </w:rPr>
        <w:lastRenderedPageBreak/>
        <w:t>2. Confidentiality Notice</w:t>
      </w:r>
      <w:bookmarkEnd w:id="0"/>
    </w:p>
    <w:p w14:paraId="33B3EC41" w14:textId="77777777" w:rsidR="00917CFD" w:rsidRDefault="00917CFD">
      <w:pPr>
        <w:pStyle w:val="NormalWeb"/>
        <w:shd w:val="clear" w:color="auto" w:fill="F2F4F7"/>
        <w:divId w:val="27993772"/>
        <w:rPr>
          <w:rFonts w:ascii="Segoe UI" w:hAnsi="Segoe UI" w:cs="Segoe UI"/>
          <w:color w:val="1F2933"/>
          <w:sz w:val="21"/>
          <w:szCs w:val="21"/>
          <w:lang w:val="en"/>
        </w:rPr>
      </w:pPr>
      <w:r>
        <w:rPr>
          <w:rFonts w:ascii="Segoe UI" w:hAnsi="Segoe UI" w:cs="Segoe UI"/>
          <w:color w:val="1F2933"/>
          <w:sz w:val="21"/>
          <w:szCs w:val="21"/>
          <w:lang w:val="en"/>
        </w:rPr>
        <w:t xml:space="preserve">This document and all information contained within it constitute confidential commercial and technical information of Altanfith Aldwaliah SPC. It is provided exclusively for the use of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for the purpose of evaluating the Live Quiz Platform solution described herein.</w:t>
      </w:r>
    </w:p>
    <w:p w14:paraId="187B4D16"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No part of this proposal may be reproduced, copied, distributed, disclosed to any third party, or used for any purpose other than the evaluation of this proposal without the prior written consent of Altanfith Aldwaliah SPC. This restriction applies to the commercial terms, technical architecture, pricing, and methodology described in this document, all of which are proprietary to Altanfith Aldwaliah SPC.</w:t>
      </w:r>
    </w:p>
    <w:p w14:paraId="4D4905CE"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Should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decide not to proceed with this proposal, it is requested that all copies of this document, whether physical or electronic, be returned or securely destroyed, and that its contents not be shared with any competing vendor or unrelated third party.</w:t>
      </w:r>
    </w:p>
    <w:p w14:paraId="05708E40"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By retaining and reviewing this document,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acknowledges and agrees to treat its contents as confidential in accordance with the terms above and any separate non-disclosure agreement that may be in place between the parties.</w:t>
      </w:r>
    </w:p>
    <w:p w14:paraId="4A0DDBA1" w14:textId="77777777" w:rsidR="00917CFD" w:rsidRDefault="00917CFD">
      <w:pPr>
        <w:pStyle w:val="Heading1"/>
        <w:rPr>
          <w:rFonts w:ascii="Segoe UI" w:eastAsia="Times New Roman" w:hAnsi="Segoe UI" w:cs="Segoe UI"/>
          <w:lang w:val="en"/>
        </w:rPr>
      </w:pPr>
      <w:bookmarkStart w:id="1" w:name="_Toc235442929"/>
      <w:r>
        <w:rPr>
          <w:rFonts w:ascii="Segoe UI" w:eastAsia="Times New Roman" w:hAnsi="Segoe UI" w:cs="Segoe UI"/>
          <w:lang w:val="en"/>
        </w:rPr>
        <w:t>3. Document Control</w:t>
      </w:r>
      <w:bookmarkEnd w:id="1"/>
    </w:p>
    <w:p w14:paraId="10AF9A0A" w14:textId="77777777" w:rsidR="00917CFD" w:rsidRDefault="00917CFD">
      <w:pPr>
        <w:pStyle w:val="Heading2"/>
        <w:rPr>
          <w:rFonts w:ascii="Segoe UI" w:eastAsia="Times New Roman" w:hAnsi="Segoe UI" w:cs="Segoe UI"/>
          <w:lang w:val="en"/>
        </w:rPr>
      </w:pPr>
      <w:bookmarkStart w:id="2" w:name="_Toc235442930"/>
      <w:r>
        <w:rPr>
          <w:rFonts w:ascii="Segoe UI" w:eastAsia="Times New Roman" w:hAnsi="Segoe UI" w:cs="Segoe UI"/>
          <w:lang w:val="en"/>
        </w:rPr>
        <w:t>3.1 Document Information</w:t>
      </w:r>
      <w:bookmarkEnd w:id="2"/>
    </w:p>
    <w:tbl>
      <w:tblPr>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4C9A6775" w14:textId="77777777">
        <w:tc>
          <w:tcPr>
            <w:tcW w:w="1600" w:type="pct"/>
            <w:tcBorders>
              <w:top w:val="nil"/>
              <w:left w:val="nil"/>
              <w:bottom w:val="nil"/>
              <w:right w:val="nil"/>
            </w:tcBorders>
            <w:tcMar>
              <w:top w:w="40" w:type="dxa"/>
              <w:left w:w="120" w:type="dxa"/>
              <w:bottom w:w="40" w:type="dxa"/>
              <w:right w:w="120" w:type="dxa"/>
            </w:tcMar>
            <w:hideMark/>
          </w:tcPr>
          <w:p w14:paraId="3BB53059"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Title</w:t>
            </w:r>
          </w:p>
        </w:tc>
        <w:tc>
          <w:tcPr>
            <w:tcW w:w="0" w:type="auto"/>
            <w:tcBorders>
              <w:top w:val="nil"/>
              <w:left w:val="nil"/>
              <w:bottom w:val="nil"/>
              <w:right w:val="nil"/>
            </w:tcBorders>
            <w:tcMar>
              <w:top w:w="40" w:type="dxa"/>
              <w:left w:w="120" w:type="dxa"/>
              <w:bottom w:w="40" w:type="dxa"/>
              <w:right w:w="120" w:type="dxa"/>
            </w:tcMar>
            <w:hideMark/>
          </w:tcPr>
          <w:p w14:paraId="310CA17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Platform — Technical &amp; Commercial Proposal</w:t>
            </w:r>
          </w:p>
        </w:tc>
      </w:tr>
      <w:tr w:rsidR="00000000" w14:paraId="6C4313E4" w14:textId="77777777">
        <w:tc>
          <w:tcPr>
            <w:tcW w:w="0" w:type="auto"/>
            <w:tcBorders>
              <w:top w:val="nil"/>
              <w:left w:val="nil"/>
              <w:bottom w:val="nil"/>
              <w:right w:val="nil"/>
            </w:tcBorders>
            <w:tcMar>
              <w:top w:w="40" w:type="dxa"/>
              <w:left w:w="120" w:type="dxa"/>
              <w:bottom w:w="40" w:type="dxa"/>
              <w:right w:w="120" w:type="dxa"/>
            </w:tcMar>
            <w:hideMark/>
          </w:tcPr>
          <w:p w14:paraId="5A7FD390"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Reference</w:t>
            </w:r>
          </w:p>
        </w:tc>
        <w:tc>
          <w:tcPr>
            <w:tcW w:w="0" w:type="auto"/>
            <w:tcBorders>
              <w:top w:val="nil"/>
              <w:left w:val="nil"/>
              <w:bottom w:val="nil"/>
              <w:right w:val="nil"/>
            </w:tcBorders>
            <w:tcMar>
              <w:top w:w="40" w:type="dxa"/>
              <w:left w:w="120" w:type="dxa"/>
              <w:bottom w:w="40" w:type="dxa"/>
              <w:right w:w="120" w:type="dxa"/>
            </w:tcMar>
            <w:hideMark/>
          </w:tcPr>
          <w:p w14:paraId="74E40FE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[Proposal Reference] </w:t>
            </w:r>
            <w:r>
              <w:rPr>
                <w:rStyle w:val="muted1"/>
                <w:rFonts w:ascii="Segoe UI" w:eastAsia="Times New Roman" w:hAnsi="Segoe UI" w:cs="Segoe UI"/>
              </w:rPr>
              <w:t>(example format: ATD-LQP-2026-XXX — placeholder, to be assigned)</w:t>
            </w:r>
          </w:p>
        </w:tc>
      </w:tr>
      <w:tr w:rsidR="00000000" w14:paraId="63744094" w14:textId="77777777">
        <w:tc>
          <w:tcPr>
            <w:tcW w:w="0" w:type="auto"/>
            <w:tcBorders>
              <w:top w:val="nil"/>
              <w:left w:val="nil"/>
              <w:bottom w:val="nil"/>
              <w:right w:val="nil"/>
            </w:tcBorders>
            <w:tcMar>
              <w:top w:w="40" w:type="dxa"/>
              <w:left w:w="120" w:type="dxa"/>
              <w:bottom w:w="40" w:type="dxa"/>
              <w:right w:w="120" w:type="dxa"/>
            </w:tcMar>
            <w:hideMark/>
          </w:tcPr>
          <w:p w14:paraId="645EFF26"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Version</w:t>
            </w:r>
          </w:p>
        </w:tc>
        <w:tc>
          <w:tcPr>
            <w:tcW w:w="0" w:type="auto"/>
            <w:tcBorders>
              <w:top w:val="nil"/>
              <w:left w:val="nil"/>
              <w:bottom w:val="nil"/>
              <w:right w:val="nil"/>
            </w:tcBorders>
            <w:tcMar>
              <w:top w:w="40" w:type="dxa"/>
              <w:left w:w="120" w:type="dxa"/>
              <w:bottom w:w="40" w:type="dxa"/>
              <w:right w:w="120" w:type="dxa"/>
            </w:tcMar>
            <w:hideMark/>
          </w:tcPr>
          <w:p w14:paraId="2B6F2F3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r>
      <w:tr w:rsidR="00000000" w14:paraId="2604815C" w14:textId="77777777">
        <w:tc>
          <w:tcPr>
            <w:tcW w:w="0" w:type="auto"/>
            <w:tcBorders>
              <w:top w:val="nil"/>
              <w:left w:val="nil"/>
              <w:bottom w:val="nil"/>
              <w:right w:val="nil"/>
            </w:tcBorders>
            <w:tcMar>
              <w:top w:w="40" w:type="dxa"/>
              <w:left w:w="120" w:type="dxa"/>
              <w:bottom w:w="40" w:type="dxa"/>
              <w:right w:w="120" w:type="dxa"/>
            </w:tcMar>
            <w:hideMark/>
          </w:tcPr>
          <w:p w14:paraId="7DDE4C8C"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Date</w:t>
            </w:r>
          </w:p>
        </w:tc>
        <w:tc>
          <w:tcPr>
            <w:tcW w:w="0" w:type="auto"/>
            <w:tcBorders>
              <w:top w:val="nil"/>
              <w:left w:val="nil"/>
              <w:bottom w:val="nil"/>
              <w:right w:val="nil"/>
            </w:tcBorders>
            <w:tcMar>
              <w:top w:w="40" w:type="dxa"/>
              <w:left w:w="120" w:type="dxa"/>
              <w:bottom w:w="40" w:type="dxa"/>
              <w:right w:w="120" w:type="dxa"/>
            </w:tcMar>
            <w:hideMark/>
          </w:tcPr>
          <w:p w14:paraId="542B8E7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w:t>
            </w:r>
          </w:p>
        </w:tc>
      </w:tr>
      <w:tr w:rsidR="00000000" w14:paraId="51715353" w14:textId="77777777">
        <w:tc>
          <w:tcPr>
            <w:tcW w:w="0" w:type="auto"/>
            <w:tcBorders>
              <w:top w:val="nil"/>
              <w:left w:val="nil"/>
              <w:bottom w:val="nil"/>
              <w:right w:val="nil"/>
            </w:tcBorders>
            <w:tcMar>
              <w:top w:w="40" w:type="dxa"/>
              <w:left w:w="120" w:type="dxa"/>
              <w:bottom w:w="40" w:type="dxa"/>
              <w:right w:w="120" w:type="dxa"/>
            </w:tcMar>
            <w:hideMark/>
          </w:tcPr>
          <w:p w14:paraId="15E36703"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Prepared by</w:t>
            </w:r>
          </w:p>
        </w:tc>
        <w:tc>
          <w:tcPr>
            <w:tcW w:w="0" w:type="auto"/>
            <w:tcBorders>
              <w:top w:val="nil"/>
              <w:left w:val="nil"/>
              <w:bottom w:val="nil"/>
              <w:right w:val="nil"/>
            </w:tcBorders>
            <w:tcMar>
              <w:top w:w="40" w:type="dxa"/>
              <w:left w:w="120" w:type="dxa"/>
              <w:bottom w:w="40" w:type="dxa"/>
              <w:right w:w="120" w:type="dxa"/>
            </w:tcMar>
            <w:hideMark/>
          </w:tcPr>
          <w:p w14:paraId="4FF3A79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 Altanfith Aldwaliah SPC</w:t>
            </w:r>
          </w:p>
        </w:tc>
      </w:tr>
      <w:tr w:rsidR="00000000" w14:paraId="1516D390" w14:textId="77777777">
        <w:tc>
          <w:tcPr>
            <w:tcW w:w="0" w:type="auto"/>
            <w:tcBorders>
              <w:top w:val="nil"/>
              <w:left w:val="nil"/>
              <w:bottom w:val="nil"/>
              <w:right w:val="nil"/>
            </w:tcBorders>
            <w:tcMar>
              <w:top w:w="40" w:type="dxa"/>
              <w:left w:w="120" w:type="dxa"/>
              <w:bottom w:w="40" w:type="dxa"/>
              <w:right w:w="120" w:type="dxa"/>
            </w:tcMar>
            <w:hideMark/>
          </w:tcPr>
          <w:p w14:paraId="03968095"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Classification</w:t>
            </w:r>
          </w:p>
        </w:tc>
        <w:tc>
          <w:tcPr>
            <w:tcW w:w="0" w:type="auto"/>
            <w:tcBorders>
              <w:top w:val="nil"/>
              <w:left w:val="nil"/>
              <w:bottom w:val="nil"/>
              <w:right w:val="nil"/>
            </w:tcBorders>
            <w:tcMar>
              <w:top w:w="40" w:type="dxa"/>
              <w:left w:w="120" w:type="dxa"/>
              <w:bottom w:w="40" w:type="dxa"/>
              <w:right w:w="120" w:type="dxa"/>
            </w:tcMar>
            <w:hideMark/>
          </w:tcPr>
          <w:p w14:paraId="3FCF770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Confidential</w:t>
            </w:r>
          </w:p>
        </w:tc>
      </w:tr>
    </w:tbl>
    <w:p w14:paraId="27BF0ABD" w14:textId="77777777" w:rsidR="00917CFD" w:rsidRDefault="00917CFD">
      <w:pPr>
        <w:pStyle w:val="Heading2"/>
        <w:rPr>
          <w:rFonts w:ascii="Segoe UI" w:eastAsia="Times New Roman" w:hAnsi="Segoe UI" w:cs="Segoe UI"/>
          <w:lang w:val="en"/>
        </w:rPr>
      </w:pPr>
      <w:bookmarkStart w:id="3" w:name="_Toc235442931"/>
      <w:r>
        <w:rPr>
          <w:rFonts w:ascii="Segoe UI" w:eastAsia="Times New Roman" w:hAnsi="Segoe UI" w:cs="Segoe UI"/>
          <w:lang w:val="en"/>
        </w:rPr>
        <w:t>3.2 Revision History</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1937"/>
        <w:gridCol w:w="1587"/>
        <w:gridCol w:w="3629"/>
        <w:gridCol w:w="2466"/>
      </w:tblGrid>
      <w:tr w:rsidR="00000000" w14:paraId="74C6DA1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70BBCD0"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Version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85774B1"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Date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E24912D"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Author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BE2543F"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Change</w:t>
            </w:r>
          </w:p>
        </w:tc>
      </w:tr>
      <w:tr w:rsidR="00000000" w14:paraId="38F6496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AA739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210E7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33F3C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1C9E6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Initial issue</w:t>
            </w:r>
          </w:p>
        </w:tc>
      </w:tr>
    </w:tbl>
    <w:p w14:paraId="5B6A2D03" w14:textId="77777777" w:rsidR="00917CFD" w:rsidRDefault="00917CFD">
      <w:pPr>
        <w:pStyle w:val="Heading1"/>
        <w:rPr>
          <w:rFonts w:ascii="Segoe UI" w:eastAsia="Times New Roman" w:hAnsi="Segoe UI" w:cs="Segoe UI"/>
          <w:lang w:val="en"/>
        </w:rPr>
      </w:pPr>
      <w:bookmarkStart w:id="4" w:name="_Toc235442932"/>
      <w:r>
        <w:rPr>
          <w:rFonts w:ascii="Segoe UI" w:eastAsia="Times New Roman" w:hAnsi="Segoe UI" w:cs="Segoe UI"/>
          <w:lang w:val="en"/>
        </w:rPr>
        <w:lastRenderedPageBreak/>
        <w:t>4. Table of Contents</w:t>
      </w:r>
      <w:bookmarkEnd w:id="4"/>
    </w:p>
    <w:p w14:paraId="780349FE" w14:textId="78A0280B" w:rsidR="000E4DF3" w:rsidRDefault="000E4DF3" w:rsidP="000E4DF3">
      <w:pPr>
        <w:pStyle w:val="TOC1"/>
        <w:tabs>
          <w:tab w:val="right" w:leader="dot" w:pos="9629"/>
        </w:tabs>
        <w:rPr>
          <w:rFonts w:asciiTheme="minorHAnsi" w:hAnsiTheme="minorHAnsi" w:cstheme="minorBidi"/>
          <w:noProof/>
          <w:kern w:val="2"/>
          <w14:ligatures w14:val="standardContextual"/>
        </w:rPr>
      </w:pPr>
      <w:r>
        <w:rPr>
          <w:rFonts w:ascii="Segoe UI" w:hAnsi="Segoe UI" w:cs="Segoe UI"/>
          <w:color w:val="1F2933"/>
          <w:sz w:val="21"/>
          <w:szCs w:val="21"/>
          <w:lang w:val="en"/>
        </w:rPr>
        <w:fldChar w:fldCharType="begin"/>
      </w:r>
      <w:r>
        <w:rPr>
          <w:rFonts w:ascii="Segoe UI" w:hAnsi="Segoe UI" w:cs="Segoe UI"/>
          <w:color w:val="1F2933"/>
          <w:sz w:val="21"/>
          <w:szCs w:val="21"/>
          <w:lang w:val="en"/>
        </w:rPr>
        <w:instrText xml:space="preserve"> TOC \o "1-2" </w:instrText>
      </w:r>
      <w:r>
        <w:rPr>
          <w:rFonts w:ascii="Segoe UI" w:hAnsi="Segoe UI" w:cs="Segoe UI"/>
          <w:color w:val="1F2933"/>
          <w:sz w:val="21"/>
          <w:szCs w:val="21"/>
          <w:lang w:val="en"/>
        </w:rPr>
        <w:fldChar w:fldCharType="separate"/>
      </w:r>
      <w:r w:rsidRPr="0014773E">
        <w:rPr>
          <w:rFonts w:ascii="Segoe UI" w:eastAsia="Times New Roman" w:hAnsi="Segoe UI" w:cs="Segoe UI"/>
          <w:noProof/>
          <w:lang w:val="en"/>
        </w:rPr>
        <w:t>2. Confidentiality Notice</w:t>
      </w:r>
      <w:r>
        <w:rPr>
          <w:noProof/>
        </w:rPr>
        <w:tab/>
      </w:r>
      <w:r>
        <w:rPr>
          <w:noProof/>
        </w:rPr>
        <w:fldChar w:fldCharType="begin"/>
      </w:r>
      <w:r>
        <w:rPr>
          <w:noProof/>
        </w:rPr>
        <w:instrText xml:space="preserve"> PAGEREF _Toc235442928 \h </w:instrText>
      </w:r>
      <w:r>
        <w:rPr>
          <w:noProof/>
        </w:rPr>
      </w:r>
      <w:r>
        <w:rPr>
          <w:noProof/>
        </w:rPr>
        <w:fldChar w:fldCharType="separate"/>
      </w:r>
      <w:r>
        <w:rPr>
          <w:noProof/>
        </w:rPr>
        <w:t>2</w:t>
      </w:r>
      <w:r>
        <w:rPr>
          <w:noProof/>
        </w:rPr>
        <w:fldChar w:fldCharType="end"/>
      </w:r>
    </w:p>
    <w:p w14:paraId="313A7EA0" w14:textId="66833595"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 Document Control</w:t>
      </w:r>
      <w:r>
        <w:rPr>
          <w:noProof/>
        </w:rPr>
        <w:tab/>
      </w:r>
      <w:r>
        <w:rPr>
          <w:noProof/>
        </w:rPr>
        <w:fldChar w:fldCharType="begin"/>
      </w:r>
      <w:r>
        <w:rPr>
          <w:noProof/>
        </w:rPr>
        <w:instrText xml:space="preserve"> PAGEREF _Toc235442929 \h </w:instrText>
      </w:r>
      <w:r>
        <w:rPr>
          <w:noProof/>
        </w:rPr>
      </w:r>
      <w:r>
        <w:rPr>
          <w:noProof/>
        </w:rPr>
        <w:fldChar w:fldCharType="separate"/>
      </w:r>
      <w:r>
        <w:rPr>
          <w:noProof/>
        </w:rPr>
        <w:t>2</w:t>
      </w:r>
      <w:r>
        <w:rPr>
          <w:noProof/>
        </w:rPr>
        <w:fldChar w:fldCharType="end"/>
      </w:r>
    </w:p>
    <w:p w14:paraId="2C188297" w14:textId="1AFFD5E4"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3.1 Document Information</w:t>
      </w:r>
      <w:r>
        <w:rPr>
          <w:noProof/>
        </w:rPr>
        <w:tab/>
      </w:r>
      <w:r>
        <w:rPr>
          <w:noProof/>
        </w:rPr>
        <w:fldChar w:fldCharType="begin"/>
      </w:r>
      <w:r>
        <w:rPr>
          <w:noProof/>
        </w:rPr>
        <w:instrText xml:space="preserve"> PAGEREF _Toc235442930 \h </w:instrText>
      </w:r>
      <w:r>
        <w:rPr>
          <w:noProof/>
        </w:rPr>
      </w:r>
      <w:r>
        <w:rPr>
          <w:noProof/>
        </w:rPr>
        <w:fldChar w:fldCharType="separate"/>
      </w:r>
      <w:r>
        <w:rPr>
          <w:noProof/>
        </w:rPr>
        <w:t>2</w:t>
      </w:r>
      <w:r>
        <w:rPr>
          <w:noProof/>
        </w:rPr>
        <w:fldChar w:fldCharType="end"/>
      </w:r>
    </w:p>
    <w:p w14:paraId="435692C1" w14:textId="6FA53452"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3.2 Revision History</w:t>
      </w:r>
      <w:r>
        <w:rPr>
          <w:noProof/>
        </w:rPr>
        <w:tab/>
      </w:r>
      <w:r>
        <w:rPr>
          <w:noProof/>
        </w:rPr>
        <w:fldChar w:fldCharType="begin"/>
      </w:r>
      <w:r>
        <w:rPr>
          <w:noProof/>
        </w:rPr>
        <w:instrText xml:space="preserve"> PAGEREF _Toc235442931 \h </w:instrText>
      </w:r>
      <w:r>
        <w:rPr>
          <w:noProof/>
        </w:rPr>
      </w:r>
      <w:r>
        <w:rPr>
          <w:noProof/>
        </w:rPr>
        <w:fldChar w:fldCharType="separate"/>
      </w:r>
      <w:r>
        <w:rPr>
          <w:noProof/>
        </w:rPr>
        <w:t>2</w:t>
      </w:r>
      <w:r>
        <w:rPr>
          <w:noProof/>
        </w:rPr>
        <w:fldChar w:fldCharType="end"/>
      </w:r>
    </w:p>
    <w:p w14:paraId="6B48BCEB" w14:textId="2112D26F"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 Table of Contents</w:t>
      </w:r>
      <w:r>
        <w:rPr>
          <w:noProof/>
        </w:rPr>
        <w:tab/>
      </w:r>
      <w:r>
        <w:rPr>
          <w:noProof/>
        </w:rPr>
        <w:fldChar w:fldCharType="begin"/>
      </w:r>
      <w:r>
        <w:rPr>
          <w:noProof/>
        </w:rPr>
        <w:instrText xml:space="preserve"> PAGEREF _Toc235442932 \h </w:instrText>
      </w:r>
      <w:r>
        <w:rPr>
          <w:noProof/>
        </w:rPr>
      </w:r>
      <w:r>
        <w:rPr>
          <w:noProof/>
        </w:rPr>
        <w:fldChar w:fldCharType="separate"/>
      </w:r>
      <w:r>
        <w:rPr>
          <w:noProof/>
        </w:rPr>
        <w:t>3</w:t>
      </w:r>
      <w:r>
        <w:rPr>
          <w:noProof/>
        </w:rPr>
        <w:fldChar w:fldCharType="end"/>
      </w:r>
    </w:p>
    <w:p w14:paraId="60847629" w14:textId="5B2562ED"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5. Letter of Submission</w:t>
      </w:r>
      <w:r>
        <w:rPr>
          <w:noProof/>
        </w:rPr>
        <w:tab/>
      </w:r>
      <w:r>
        <w:rPr>
          <w:noProof/>
        </w:rPr>
        <w:fldChar w:fldCharType="begin"/>
      </w:r>
      <w:r>
        <w:rPr>
          <w:noProof/>
        </w:rPr>
        <w:instrText xml:space="preserve"> PAGEREF _Toc235442933 \h </w:instrText>
      </w:r>
      <w:r>
        <w:rPr>
          <w:noProof/>
        </w:rPr>
      </w:r>
      <w:r>
        <w:rPr>
          <w:noProof/>
        </w:rPr>
        <w:fldChar w:fldCharType="separate"/>
      </w:r>
      <w:r>
        <w:rPr>
          <w:noProof/>
        </w:rPr>
        <w:t>5</w:t>
      </w:r>
      <w:r>
        <w:rPr>
          <w:noProof/>
        </w:rPr>
        <w:fldChar w:fldCharType="end"/>
      </w:r>
    </w:p>
    <w:p w14:paraId="54B5E739" w14:textId="7427429F"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6. Executive Summary</w:t>
      </w:r>
      <w:r>
        <w:rPr>
          <w:noProof/>
        </w:rPr>
        <w:tab/>
      </w:r>
      <w:r>
        <w:rPr>
          <w:noProof/>
        </w:rPr>
        <w:fldChar w:fldCharType="begin"/>
      </w:r>
      <w:r>
        <w:rPr>
          <w:noProof/>
        </w:rPr>
        <w:instrText xml:space="preserve"> PAGEREF _Toc235442934 \h </w:instrText>
      </w:r>
      <w:r>
        <w:rPr>
          <w:noProof/>
        </w:rPr>
      </w:r>
      <w:r>
        <w:rPr>
          <w:noProof/>
        </w:rPr>
        <w:fldChar w:fldCharType="separate"/>
      </w:r>
      <w:r>
        <w:rPr>
          <w:noProof/>
        </w:rPr>
        <w:t>6</w:t>
      </w:r>
      <w:r>
        <w:rPr>
          <w:noProof/>
        </w:rPr>
        <w:fldChar w:fldCharType="end"/>
      </w:r>
    </w:p>
    <w:p w14:paraId="617457DD" w14:textId="57E2178C"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7. About Altanfith Aldwaliah SPC</w:t>
      </w:r>
      <w:r>
        <w:rPr>
          <w:noProof/>
        </w:rPr>
        <w:tab/>
      </w:r>
      <w:r>
        <w:rPr>
          <w:noProof/>
        </w:rPr>
        <w:fldChar w:fldCharType="begin"/>
      </w:r>
      <w:r>
        <w:rPr>
          <w:noProof/>
        </w:rPr>
        <w:instrText xml:space="preserve"> PAGEREF _Toc235442935 \h </w:instrText>
      </w:r>
      <w:r>
        <w:rPr>
          <w:noProof/>
        </w:rPr>
      </w:r>
      <w:r>
        <w:rPr>
          <w:noProof/>
        </w:rPr>
        <w:fldChar w:fldCharType="separate"/>
      </w:r>
      <w:r>
        <w:rPr>
          <w:noProof/>
        </w:rPr>
        <w:t>7</w:t>
      </w:r>
      <w:r>
        <w:rPr>
          <w:noProof/>
        </w:rPr>
        <w:fldChar w:fldCharType="end"/>
      </w:r>
    </w:p>
    <w:p w14:paraId="475B912D" w14:textId="12BBBCEF"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8. Understanding of Client Requirements</w:t>
      </w:r>
      <w:r>
        <w:rPr>
          <w:noProof/>
        </w:rPr>
        <w:tab/>
      </w:r>
      <w:r>
        <w:rPr>
          <w:noProof/>
        </w:rPr>
        <w:fldChar w:fldCharType="begin"/>
      </w:r>
      <w:r>
        <w:rPr>
          <w:noProof/>
        </w:rPr>
        <w:instrText xml:space="preserve"> PAGEREF _Toc235442936 \h </w:instrText>
      </w:r>
      <w:r>
        <w:rPr>
          <w:noProof/>
        </w:rPr>
      </w:r>
      <w:r>
        <w:rPr>
          <w:noProof/>
        </w:rPr>
        <w:fldChar w:fldCharType="separate"/>
      </w:r>
      <w:r>
        <w:rPr>
          <w:noProof/>
        </w:rPr>
        <w:t>7</w:t>
      </w:r>
      <w:r>
        <w:rPr>
          <w:noProof/>
        </w:rPr>
        <w:fldChar w:fldCharType="end"/>
      </w:r>
    </w:p>
    <w:p w14:paraId="1EDD47A9" w14:textId="4115DC12"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9. Business Challenges</w:t>
      </w:r>
      <w:r>
        <w:rPr>
          <w:noProof/>
        </w:rPr>
        <w:tab/>
      </w:r>
      <w:r>
        <w:rPr>
          <w:noProof/>
        </w:rPr>
        <w:fldChar w:fldCharType="begin"/>
      </w:r>
      <w:r>
        <w:rPr>
          <w:noProof/>
        </w:rPr>
        <w:instrText xml:space="preserve"> PAGEREF _Toc235442937 \h </w:instrText>
      </w:r>
      <w:r>
        <w:rPr>
          <w:noProof/>
        </w:rPr>
      </w:r>
      <w:r>
        <w:rPr>
          <w:noProof/>
        </w:rPr>
        <w:fldChar w:fldCharType="separate"/>
      </w:r>
      <w:r>
        <w:rPr>
          <w:noProof/>
        </w:rPr>
        <w:t>8</w:t>
      </w:r>
      <w:r>
        <w:rPr>
          <w:noProof/>
        </w:rPr>
        <w:fldChar w:fldCharType="end"/>
      </w:r>
    </w:p>
    <w:p w14:paraId="2A12EFD8" w14:textId="1DFFAB5B"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10. Proposed Solution</w:t>
      </w:r>
      <w:r>
        <w:rPr>
          <w:noProof/>
        </w:rPr>
        <w:tab/>
      </w:r>
      <w:r>
        <w:rPr>
          <w:noProof/>
        </w:rPr>
        <w:fldChar w:fldCharType="begin"/>
      </w:r>
      <w:r>
        <w:rPr>
          <w:noProof/>
        </w:rPr>
        <w:instrText xml:space="preserve"> PAGEREF _Toc235442938 \h </w:instrText>
      </w:r>
      <w:r>
        <w:rPr>
          <w:noProof/>
        </w:rPr>
      </w:r>
      <w:r>
        <w:rPr>
          <w:noProof/>
        </w:rPr>
        <w:fldChar w:fldCharType="separate"/>
      </w:r>
      <w:r>
        <w:rPr>
          <w:noProof/>
        </w:rPr>
        <w:t>10</w:t>
      </w:r>
      <w:r>
        <w:rPr>
          <w:noProof/>
        </w:rPr>
        <w:fldChar w:fldCharType="end"/>
      </w:r>
    </w:p>
    <w:p w14:paraId="3387F5F4" w14:textId="4222070B"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11. Platform Overview</w:t>
      </w:r>
      <w:r>
        <w:rPr>
          <w:noProof/>
        </w:rPr>
        <w:tab/>
      </w:r>
      <w:r>
        <w:rPr>
          <w:noProof/>
        </w:rPr>
        <w:fldChar w:fldCharType="begin"/>
      </w:r>
      <w:r>
        <w:rPr>
          <w:noProof/>
        </w:rPr>
        <w:instrText xml:space="preserve"> PAGEREF _Toc235442939 \h </w:instrText>
      </w:r>
      <w:r>
        <w:rPr>
          <w:noProof/>
        </w:rPr>
      </w:r>
      <w:r>
        <w:rPr>
          <w:noProof/>
        </w:rPr>
        <w:fldChar w:fldCharType="separate"/>
      </w:r>
      <w:r>
        <w:rPr>
          <w:noProof/>
        </w:rPr>
        <w:t>10</w:t>
      </w:r>
      <w:r>
        <w:rPr>
          <w:noProof/>
        </w:rPr>
        <w:fldChar w:fldCharType="end"/>
      </w:r>
    </w:p>
    <w:p w14:paraId="01F36C3C" w14:textId="5A758DB1"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12. Current Use Case</w:t>
      </w:r>
      <w:r>
        <w:rPr>
          <w:noProof/>
        </w:rPr>
        <w:tab/>
      </w:r>
      <w:r>
        <w:rPr>
          <w:noProof/>
        </w:rPr>
        <w:fldChar w:fldCharType="begin"/>
      </w:r>
      <w:r>
        <w:rPr>
          <w:noProof/>
        </w:rPr>
        <w:instrText xml:space="preserve"> PAGEREF _Toc235442940 \h </w:instrText>
      </w:r>
      <w:r>
        <w:rPr>
          <w:noProof/>
        </w:rPr>
      </w:r>
      <w:r>
        <w:rPr>
          <w:noProof/>
        </w:rPr>
        <w:fldChar w:fldCharType="separate"/>
      </w:r>
      <w:r>
        <w:rPr>
          <w:noProof/>
        </w:rPr>
        <w:t>11</w:t>
      </w:r>
      <w:r>
        <w:rPr>
          <w:noProof/>
        </w:rPr>
        <w:fldChar w:fldCharType="end"/>
      </w:r>
    </w:p>
    <w:p w14:paraId="728BDE0F" w14:textId="523B94CD"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13. Functional Scope</w:t>
      </w:r>
      <w:r>
        <w:rPr>
          <w:noProof/>
        </w:rPr>
        <w:tab/>
      </w:r>
      <w:r>
        <w:rPr>
          <w:noProof/>
        </w:rPr>
        <w:fldChar w:fldCharType="begin"/>
      </w:r>
      <w:r>
        <w:rPr>
          <w:noProof/>
        </w:rPr>
        <w:instrText xml:space="preserve"> PAGEREF _Toc235442941 \h </w:instrText>
      </w:r>
      <w:r>
        <w:rPr>
          <w:noProof/>
        </w:rPr>
      </w:r>
      <w:r>
        <w:rPr>
          <w:noProof/>
        </w:rPr>
        <w:fldChar w:fldCharType="separate"/>
      </w:r>
      <w:r>
        <w:rPr>
          <w:noProof/>
        </w:rPr>
        <w:t>12</w:t>
      </w:r>
      <w:r>
        <w:rPr>
          <w:noProof/>
        </w:rPr>
        <w:fldChar w:fldCharType="end"/>
      </w:r>
    </w:p>
    <w:p w14:paraId="7AD2E25B" w14:textId="6D8F6B1B"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13.1 Quiz Creation &amp; Content</w:t>
      </w:r>
      <w:r>
        <w:rPr>
          <w:noProof/>
        </w:rPr>
        <w:tab/>
      </w:r>
      <w:r>
        <w:rPr>
          <w:noProof/>
        </w:rPr>
        <w:fldChar w:fldCharType="begin"/>
      </w:r>
      <w:r>
        <w:rPr>
          <w:noProof/>
        </w:rPr>
        <w:instrText xml:space="preserve"> PAGEREF _Toc235442942 \h </w:instrText>
      </w:r>
      <w:r>
        <w:rPr>
          <w:noProof/>
        </w:rPr>
      </w:r>
      <w:r>
        <w:rPr>
          <w:noProof/>
        </w:rPr>
        <w:fldChar w:fldCharType="separate"/>
      </w:r>
      <w:r>
        <w:rPr>
          <w:noProof/>
        </w:rPr>
        <w:t>12</w:t>
      </w:r>
      <w:r>
        <w:rPr>
          <w:noProof/>
        </w:rPr>
        <w:fldChar w:fldCharType="end"/>
      </w:r>
    </w:p>
    <w:p w14:paraId="0742A609" w14:textId="34F6DFF5"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13.2 Live Hosting &amp; Participation</w:t>
      </w:r>
      <w:r>
        <w:rPr>
          <w:noProof/>
        </w:rPr>
        <w:tab/>
      </w:r>
      <w:r>
        <w:rPr>
          <w:noProof/>
        </w:rPr>
        <w:fldChar w:fldCharType="begin"/>
      </w:r>
      <w:r>
        <w:rPr>
          <w:noProof/>
        </w:rPr>
        <w:instrText xml:space="preserve"> PAGEREF _Toc235442943 \h </w:instrText>
      </w:r>
      <w:r>
        <w:rPr>
          <w:noProof/>
        </w:rPr>
      </w:r>
      <w:r>
        <w:rPr>
          <w:noProof/>
        </w:rPr>
        <w:fldChar w:fldCharType="separate"/>
      </w:r>
      <w:r>
        <w:rPr>
          <w:noProof/>
        </w:rPr>
        <w:t>13</w:t>
      </w:r>
      <w:r>
        <w:rPr>
          <w:noProof/>
        </w:rPr>
        <w:fldChar w:fldCharType="end"/>
      </w:r>
    </w:p>
    <w:p w14:paraId="22E86D2E" w14:textId="10B8FAA3"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13.3 Branding &amp; Experience</w:t>
      </w:r>
      <w:r>
        <w:rPr>
          <w:noProof/>
        </w:rPr>
        <w:tab/>
      </w:r>
      <w:r>
        <w:rPr>
          <w:noProof/>
        </w:rPr>
        <w:fldChar w:fldCharType="begin"/>
      </w:r>
      <w:r>
        <w:rPr>
          <w:noProof/>
        </w:rPr>
        <w:instrText xml:space="preserve"> PAGEREF _Toc235442944 \h </w:instrText>
      </w:r>
      <w:r>
        <w:rPr>
          <w:noProof/>
        </w:rPr>
      </w:r>
      <w:r>
        <w:rPr>
          <w:noProof/>
        </w:rPr>
        <w:fldChar w:fldCharType="separate"/>
      </w:r>
      <w:r>
        <w:rPr>
          <w:noProof/>
        </w:rPr>
        <w:t>14</w:t>
      </w:r>
      <w:r>
        <w:rPr>
          <w:noProof/>
        </w:rPr>
        <w:fldChar w:fldCharType="end"/>
      </w:r>
    </w:p>
    <w:p w14:paraId="49B1433E" w14:textId="31914937"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13.4 Reporting &amp; Analytics</w:t>
      </w:r>
      <w:r>
        <w:rPr>
          <w:noProof/>
        </w:rPr>
        <w:tab/>
      </w:r>
      <w:r>
        <w:rPr>
          <w:noProof/>
        </w:rPr>
        <w:fldChar w:fldCharType="begin"/>
      </w:r>
      <w:r>
        <w:rPr>
          <w:noProof/>
        </w:rPr>
        <w:instrText xml:space="preserve"> PAGEREF _Toc235442945 \h </w:instrText>
      </w:r>
      <w:r>
        <w:rPr>
          <w:noProof/>
        </w:rPr>
      </w:r>
      <w:r>
        <w:rPr>
          <w:noProof/>
        </w:rPr>
        <w:fldChar w:fldCharType="separate"/>
      </w:r>
      <w:r>
        <w:rPr>
          <w:noProof/>
        </w:rPr>
        <w:t>14</w:t>
      </w:r>
      <w:r>
        <w:rPr>
          <w:noProof/>
        </w:rPr>
        <w:fldChar w:fldCharType="end"/>
      </w:r>
    </w:p>
    <w:p w14:paraId="306D90F1" w14:textId="383CB5B4"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13.5 Administration &amp; Governance</w:t>
      </w:r>
      <w:r>
        <w:rPr>
          <w:noProof/>
        </w:rPr>
        <w:tab/>
      </w:r>
      <w:r>
        <w:rPr>
          <w:noProof/>
        </w:rPr>
        <w:fldChar w:fldCharType="begin"/>
      </w:r>
      <w:r>
        <w:rPr>
          <w:noProof/>
        </w:rPr>
        <w:instrText xml:space="preserve"> PAGEREF _Toc235442946 \h </w:instrText>
      </w:r>
      <w:r>
        <w:rPr>
          <w:noProof/>
        </w:rPr>
      </w:r>
      <w:r>
        <w:rPr>
          <w:noProof/>
        </w:rPr>
        <w:fldChar w:fldCharType="separate"/>
      </w:r>
      <w:r>
        <w:rPr>
          <w:noProof/>
        </w:rPr>
        <w:t>15</w:t>
      </w:r>
      <w:r>
        <w:rPr>
          <w:noProof/>
        </w:rPr>
        <w:fldChar w:fldCharType="end"/>
      </w:r>
    </w:p>
    <w:p w14:paraId="765E4B35" w14:textId="64DCFC1B"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13.6 AI Capabilities</w:t>
      </w:r>
      <w:r>
        <w:rPr>
          <w:noProof/>
        </w:rPr>
        <w:tab/>
      </w:r>
      <w:r>
        <w:rPr>
          <w:noProof/>
        </w:rPr>
        <w:fldChar w:fldCharType="begin"/>
      </w:r>
      <w:r>
        <w:rPr>
          <w:noProof/>
        </w:rPr>
        <w:instrText xml:space="preserve"> PAGEREF _Toc235442947 \h </w:instrText>
      </w:r>
      <w:r>
        <w:rPr>
          <w:noProof/>
        </w:rPr>
      </w:r>
      <w:r>
        <w:rPr>
          <w:noProof/>
        </w:rPr>
        <w:fldChar w:fldCharType="separate"/>
      </w:r>
      <w:r>
        <w:rPr>
          <w:noProof/>
        </w:rPr>
        <w:t>16</w:t>
      </w:r>
      <w:r>
        <w:rPr>
          <w:noProof/>
        </w:rPr>
        <w:fldChar w:fldCharType="end"/>
      </w:r>
    </w:p>
    <w:p w14:paraId="1A783268" w14:textId="5069E13B"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14. AI Capabilities</w:t>
      </w:r>
      <w:r>
        <w:rPr>
          <w:noProof/>
        </w:rPr>
        <w:tab/>
      </w:r>
      <w:r>
        <w:rPr>
          <w:noProof/>
        </w:rPr>
        <w:fldChar w:fldCharType="begin"/>
      </w:r>
      <w:r>
        <w:rPr>
          <w:noProof/>
        </w:rPr>
        <w:instrText xml:space="preserve"> PAGEREF _Toc235442948 \h </w:instrText>
      </w:r>
      <w:r>
        <w:rPr>
          <w:noProof/>
        </w:rPr>
      </w:r>
      <w:r>
        <w:rPr>
          <w:noProof/>
        </w:rPr>
        <w:fldChar w:fldCharType="separate"/>
      </w:r>
      <w:r>
        <w:rPr>
          <w:noProof/>
        </w:rPr>
        <w:t>16</w:t>
      </w:r>
      <w:r>
        <w:rPr>
          <w:noProof/>
        </w:rPr>
        <w:fldChar w:fldCharType="end"/>
      </w:r>
    </w:p>
    <w:p w14:paraId="103286E4" w14:textId="591B327A"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14.1 Current Capabilities (Included)</w:t>
      </w:r>
      <w:r>
        <w:rPr>
          <w:noProof/>
        </w:rPr>
        <w:tab/>
      </w:r>
      <w:r>
        <w:rPr>
          <w:noProof/>
        </w:rPr>
        <w:fldChar w:fldCharType="begin"/>
      </w:r>
      <w:r>
        <w:rPr>
          <w:noProof/>
        </w:rPr>
        <w:instrText xml:space="preserve"> PAGEREF _Toc235442949 \h </w:instrText>
      </w:r>
      <w:r>
        <w:rPr>
          <w:noProof/>
        </w:rPr>
      </w:r>
      <w:r>
        <w:rPr>
          <w:noProof/>
        </w:rPr>
        <w:fldChar w:fldCharType="separate"/>
      </w:r>
      <w:r>
        <w:rPr>
          <w:noProof/>
        </w:rPr>
        <w:t>16</w:t>
      </w:r>
      <w:r>
        <w:rPr>
          <w:noProof/>
        </w:rPr>
        <w:fldChar w:fldCharType="end"/>
      </w:r>
    </w:p>
    <w:p w14:paraId="7D6D9AC3" w14:textId="6FAF302A"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14.2 Optional Capabilities (Scoped per Engagement)</w:t>
      </w:r>
      <w:r>
        <w:rPr>
          <w:noProof/>
        </w:rPr>
        <w:tab/>
      </w:r>
      <w:r>
        <w:rPr>
          <w:noProof/>
        </w:rPr>
        <w:fldChar w:fldCharType="begin"/>
      </w:r>
      <w:r>
        <w:rPr>
          <w:noProof/>
        </w:rPr>
        <w:instrText xml:space="preserve"> PAGEREF _Toc235442950 \h </w:instrText>
      </w:r>
      <w:r>
        <w:rPr>
          <w:noProof/>
        </w:rPr>
      </w:r>
      <w:r>
        <w:rPr>
          <w:noProof/>
        </w:rPr>
        <w:fldChar w:fldCharType="separate"/>
      </w:r>
      <w:r>
        <w:rPr>
          <w:noProof/>
        </w:rPr>
        <w:t>17</w:t>
      </w:r>
      <w:r>
        <w:rPr>
          <w:noProof/>
        </w:rPr>
        <w:fldChar w:fldCharType="end"/>
      </w:r>
    </w:p>
    <w:p w14:paraId="70D7250C" w14:textId="21E1166A"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14.3 Future Roadmap</w:t>
      </w:r>
      <w:r>
        <w:rPr>
          <w:noProof/>
        </w:rPr>
        <w:tab/>
      </w:r>
      <w:r>
        <w:rPr>
          <w:noProof/>
        </w:rPr>
        <w:fldChar w:fldCharType="begin"/>
      </w:r>
      <w:r>
        <w:rPr>
          <w:noProof/>
        </w:rPr>
        <w:instrText xml:space="preserve"> PAGEREF _Toc235442951 \h </w:instrText>
      </w:r>
      <w:r>
        <w:rPr>
          <w:noProof/>
        </w:rPr>
      </w:r>
      <w:r>
        <w:rPr>
          <w:noProof/>
        </w:rPr>
        <w:fldChar w:fldCharType="separate"/>
      </w:r>
      <w:r>
        <w:rPr>
          <w:noProof/>
        </w:rPr>
        <w:t>18</w:t>
      </w:r>
      <w:r>
        <w:rPr>
          <w:noProof/>
        </w:rPr>
        <w:fldChar w:fldCharType="end"/>
      </w:r>
    </w:p>
    <w:p w14:paraId="08B52118" w14:textId="65F281F7"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15. User Roles</w:t>
      </w:r>
      <w:r>
        <w:rPr>
          <w:noProof/>
        </w:rPr>
        <w:tab/>
      </w:r>
      <w:r>
        <w:rPr>
          <w:noProof/>
        </w:rPr>
        <w:fldChar w:fldCharType="begin"/>
      </w:r>
      <w:r>
        <w:rPr>
          <w:noProof/>
        </w:rPr>
        <w:instrText xml:space="preserve"> PAGEREF _Toc235442952 \h </w:instrText>
      </w:r>
      <w:r>
        <w:rPr>
          <w:noProof/>
        </w:rPr>
      </w:r>
      <w:r>
        <w:rPr>
          <w:noProof/>
        </w:rPr>
        <w:fldChar w:fldCharType="separate"/>
      </w:r>
      <w:r>
        <w:rPr>
          <w:noProof/>
        </w:rPr>
        <w:t>18</w:t>
      </w:r>
      <w:r>
        <w:rPr>
          <w:noProof/>
        </w:rPr>
        <w:fldChar w:fldCharType="end"/>
      </w:r>
    </w:p>
    <w:p w14:paraId="27C34034" w14:textId="37BD98AF"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16. Reporting and Analytics</w:t>
      </w:r>
      <w:r>
        <w:rPr>
          <w:noProof/>
        </w:rPr>
        <w:tab/>
      </w:r>
      <w:r>
        <w:rPr>
          <w:noProof/>
        </w:rPr>
        <w:fldChar w:fldCharType="begin"/>
      </w:r>
      <w:r>
        <w:rPr>
          <w:noProof/>
        </w:rPr>
        <w:instrText xml:space="preserve"> PAGEREF _Toc235442953 \h </w:instrText>
      </w:r>
      <w:r>
        <w:rPr>
          <w:noProof/>
        </w:rPr>
      </w:r>
      <w:r>
        <w:rPr>
          <w:noProof/>
        </w:rPr>
        <w:fldChar w:fldCharType="separate"/>
      </w:r>
      <w:r>
        <w:rPr>
          <w:noProof/>
        </w:rPr>
        <w:t>19</w:t>
      </w:r>
      <w:r>
        <w:rPr>
          <w:noProof/>
        </w:rPr>
        <w:fldChar w:fldCharType="end"/>
      </w:r>
    </w:p>
    <w:p w14:paraId="0882E45C" w14:textId="6A32134F"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17. Technical Architecture</w:t>
      </w:r>
      <w:r>
        <w:rPr>
          <w:noProof/>
        </w:rPr>
        <w:tab/>
      </w:r>
      <w:r>
        <w:rPr>
          <w:noProof/>
        </w:rPr>
        <w:fldChar w:fldCharType="begin"/>
      </w:r>
      <w:r>
        <w:rPr>
          <w:noProof/>
        </w:rPr>
        <w:instrText xml:space="preserve"> PAGEREF _Toc235442954 \h </w:instrText>
      </w:r>
      <w:r>
        <w:rPr>
          <w:noProof/>
        </w:rPr>
      </w:r>
      <w:r>
        <w:rPr>
          <w:noProof/>
        </w:rPr>
        <w:fldChar w:fldCharType="separate"/>
      </w:r>
      <w:r>
        <w:rPr>
          <w:noProof/>
        </w:rPr>
        <w:t>21</w:t>
      </w:r>
      <w:r>
        <w:rPr>
          <w:noProof/>
        </w:rPr>
        <w:fldChar w:fldCharType="end"/>
      </w:r>
    </w:p>
    <w:p w14:paraId="207F4C41" w14:textId="24211457"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17.1 Technology Stack</w:t>
      </w:r>
      <w:r>
        <w:rPr>
          <w:noProof/>
        </w:rPr>
        <w:tab/>
      </w:r>
      <w:r>
        <w:rPr>
          <w:noProof/>
        </w:rPr>
        <w:fldChar w:fldCharType="begin"/>
      </w:r>
      <w:r>
        <w:rPr>
          <w:noProof/>
        </w:rPr>
        <w:instrText xml:space="preserve"> PAGEREF _Toc235442955 \h </w:instrText>
      </w:r>
      <w:r>
        <w:rPr>
          <w:noProof/>
        </w:rPr>
      </w:r>
      <w:r>
        <w:rPr>
          <w:noProof/>
        </w:rPr>
        <w:fldChar w:fldCharType="separate"/>
      </w:r>
      <w:r>
        <w:rPr>
          <w:noProof/>
        </w:rPr>
        <w:t>21</w:t>
      </w:r>
      <w:r>
        <w:rPr>
          <w:noProof/>
        </w:rPr>
        <w:fldChar w:fldCharType="end"/>
      </w:r>
    </w:p>
    <w:p w14:paraId="4E9D213F" w14:textId="7EC0AB6E"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17.2 Architecture Diagram</w:t>
      </w:r>
      <w:r>
        <w:rPr>
          <w:noProof/>
        </w:rPr>
        <w:tab/>
      </w:r>
      <w:r>
        <w:rPr>
          <w:noProof/>
        </w:rPr>
        <w:fldChar w:fldCharType="begin"/>
      </w:r>
      <w:r>
        <w:rPr>
          <w:noProof/>
        </w:rPr>
        <w:instrText xml:space="preserve"> PAGEREF _Toc235442956 \h </w:instrText>
      </w:r>
      <w:r>
        <w:rPr>
          <w:noProof/>
        </w:rPr>
      </w:r>
      <w:r>
        <w:rPr>
          <w:noProof/>
        </w:rPr>
        <w:fldChar w:fldCharType="separate"/>
      </w:r>
      <w:r>
        <w:rPr>
          <w:noProof/>
        </w:rPr>
        <w:t>21</w:t>
      </w:r>
      <w:r>
        <w:rPr>
          <w:noProof/>
        </w:rPr>
        <w:fldChar w:fldCharType="end"/>
      </w:r>
    </w:p>
    <w:p w14:paraId="7D113A3C" w14:textId="2DF5A929"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18. Real-Time Architecture</w:t>
      </w:r>
      <w:r>
        <w:rPr>
          <w:noProof/>
        </w:rPr>
        <w:tab/>
      </w:r>
      <w:r>
        <w:rPr>
          <w:noProof/>
        </w:rPr>
        <w:fldChar w:fldCharType="begin"/>
      </w:r>
      <w:r>
        <w:rPr>
          <w:noProof/>
        </w:rPr>
        <w:instrText xml:space="preserve"> PAGEREF _Toc235442957 \h </w:instrText>
      </w:r>
      <w:r>
        <w:rPr>
          <w:noProof/>
        </w:rPr>
      </w:r>
      <w:r>
        <w:rPr>
          <w:noProof/>
        </w:rPr>
        <w:fldChar w:fldCharType="separate"/>
      </w:r>
      <w:r>
        <w:rPr>
          <w:noProof/>
        </w:rPr>
        <w:t>22</w:t>
      </w:r>
      <w:r>
        <w:rPr>
          <w:noProof/>
        </w:rPr>
        <w:fldChar w:fldCharType="end"/>
      </w:r>
    </w:p>
    <w:p w14:paraId="18F41386" w14:textId="4C4D61C6"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18.1 Session Flow</w:t>
      </w:r>
      <w:r>
        <w:rPr>
          <w:noProof/>
        </w:rPr>
        <w:tab/>
      </w:r>
      <w:r>
        <w:rPr>
          <w:noProof/>
        </w:rPr>
        <w:fldChar w:fldCharType="begin"/>
      </w:r>
      <w:r>
        <w:rPr>
          <w:noProof/>
        </w:rPr>
        <w:instrText xml:space="preserve"> PAGEREF _Toc235442958 \h </w:instrText>
      </w:r>
      <w:r>
        <w:rPr>
          <w:noProof/>
        </w:rPr>
      </w:r>
      <w:r>
        <w:rPr>
          <w:noProof/>
        </w:rPr>
        <w:fldChar w:fldCharType="separate"/>
      </w:r>
      <w:r>
        <w:rPr>
          <w:noProof/>
        </w:rPr>
        <w:t>22</w:t>
      </w:r>
      <w:r>
        <w:rPr>
          <w:noProof/>
        </w:rPr>
        <w:fldChar w:fldCharType="end"/>
      </w:r>
    </w:p>
    <w:p w14:paraId="669DBBBE" w14:textId="2F8E0A33"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18.2 Server-Authoritative Timing, Reconnection, and Why It Matters at Scale</w:t>
      </w:r>
      <w:r>
        <w:rPr>
          <w:noProof/>
        </w:rPr>
        <w:tab/>
      </w:r>
      <w:r>
        <w:rPr>
          <w:noProof/>
        </w:rPr>
        <w:fldChar w:fldCharType="begin"/>
      </w:r>
      <w:r>
        <w:rPr>
          <w:noProof/>
        </w:rPr>
        <w:instrText xml:space="preserve"> PAGEREF _Toc235442959 \h </w:instrText>
      </w:r>
      <w:r>
        <w:rPr>
          <w:noProof/>
        </w:rPr>
      </w:r>
      <w:r>
        <w:rPr>
          <w:noProof/>
        </w:rPr>
        <w:fldChar w:fldCharType="separate"/>
      </w:r>
      <w:r>
        <w:rPr>
          <w:noProof/>
        </w:rPr>
        <w:t>22</w:t>
      </w:r>
      <w:r>
        <w:rPr>
          <w:noProof/>
        </w:rPr>
        <w:fldChar w:fldCharType="end"/>
      </w:r>
    </w:p>
    <w:p w14:paraId="4C384D7A" w14:textId="248D7A51"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lastRenderedPageBreak/>
        <w:t>19. Deployment Options</w:t>
      </w:r>
      <w:r>
        <w:rPr>
          <w:noProof/>
        </w:rPr>
        <w:tab/>
      </w:r>
      <w:r>
        <w:rPr>
          <w:noProof/>
        </w:rPr>
        <w:fldChar w:fldCharType="begin"/>
      </w:r>
      <w:r>
        <w:rPr>
          <w:noProof/>
        </w:rPr>
        <w:instrText xml:space="preserve"> PAGEREF _Toc235442960 \h </w:instrText>
      </w:r>
      <w:r>
        <w:rPr>
          <w:noProof/>
        </w:rPr>
      </w:r>
      <w:r>
        <w:rPr>
          <w:noProof/>
        </w:rPr>
        <w:fldChar w:fldCharType="separate"/>
      </w:r>
      <w:r>
        <w:rPr>
          <w:noProof/>
        </w:rPr>
        <w:t>23</w:t>
      </w:r>
      <w:r>
        <w:rPr>
          <w:noProof/>
        </w:rPr>
        <w:fldChar w:fldCharType="end"/>
      </w:r>
    </w:p>
    <w:p w14:paraId="270118EA" w14:textId="5125604F"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19.1 Cloud / SaaS</w:t>
      </w:r>
      <w:r>
        <w:rPr>
          <w:noProof/>
        </w:rPr>
        <w:tab/>
      </w:r>
      <w:r>
        <w:rPr>
          <w:noProof/>
        </w:rPr>
        <w:fldChar w:fldCharType="begin"/>
      </w:r>
      <w:r>
        <w:rPr>
          <w:noProof/>
        </w:rPr>
        <w:instrText xml:space="preserve"> PAGEREF _Toc235442961 \h </w:instrText>
      </w:r>
      <w:r>
        <w:rPr>
          <w:noProof/>
        </w:rPr>
      </w:r>
      <w:r>
        <w:rPr>
          <w:noProof/>
        </w:rPr>
        <w:fldChar w:fldCharType="separate"/>
      </w:r>
      <w:r>
        <w:rPr>
          <w:noProof/>
        </w:rPr>
        <w:t>23</w:t>
      </w:r>
      <w:r>
        <w:rPr>
          <w:noProof/>
        </w:rPr>
        <w:fldChar w:fldCharType="end"/>
      </w:r>
    </w:p>
    <w:p w14:paraId="70258972" w14:textId="0F31E49D"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19.2 On-Premises</w:t>
      </w:r>
      <w:r>
        <w:rPr>
          <w:noProof/>
        </w:rPr>
        <w:tab/>
      </w:r>
      <w:r>
        <w:rPr>
          <w:noProof/>
        </w:rPr>
        <w:fldChar w:fldCharType="begin"/>
      </w:r>
      <w:r>
        <w:rPr>
          <w:noProof/>
        </w:rPr>
        <w:instrText xml:space="preserve"> PAGEREF _Toc235442962 \h </w:instrText>
      </w:r>
      <w:r>
        <w:rPr>
          <w:noProof/>
        </w:rPr>
      </w:r>
      <w:r>
        <w:rPr>
          <w:noProof/>
        </w:rPr>
        <w:fldChar w:fldCharType="separate"/>
      </w:r>
      <w:r>
        <w:rPr>
          <w:noProof/>
        </w:rPr>
        <w:t>23</w:t>
      </w:r>
      <w:r>
        <w:rPr>
          <w:noProof/>
        </w:rPr>
        <w:fldChar w:fldCharType="end"/>
      </w:r>
    </w:p>
    <w:p w14:paraId="6B16BC58" w14:textId="38068205"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19.3 Hybrid</w:t>
      </w:r>
      <w:r>
        <w:rPr>
          <w:noProof/>
        </w:rPr>
        <w:tab/>
      </w:r>
      <w:r>
        <w:rPr>
          <w:noProof/>
        </w:rPr>
        <w:fldChar w:fldCharType="begin"/>
      </w:r>
      <w:r>
        <w:rPr>
          <w:noProof/>
        </w:rPr>
        <w:instrText xml:space="preserve"> PAGEREF _Toc235442963 \h </w:instrText>
      </w:r>
      <w:r>
        <w:rPr>
          <w:noProof/>
        </w:rPr>
      </w:r>
      <w:r>
        <w:rPr>
          <w:noProof/>
        </w:rPr>
        <w:fldChar w:fldCharType="separate"/>
      </w:r>
      <w:r>
        <w:rPr>
          <w:noProof/>
        </w:rPr>
        <w:t>24</w:t>
      </w:r>
      <w:r>
        <w:rPr>
          <w:noProof/>
        </w:rPr>
        <w:fldChar w:fldCharType="end"/>
      </w:r>
    </w:p>
    <w:p w14:paraId="62446564" w14:textId="3CBA6784"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20. Cybersecurity</w:t>
      </w:r>
      <w:r>
        <w:rPr>
          <w:noProof/>
        </w:rPr>
        <w:tab/>
      </w:r>
      <w:r>
        <w:rPr>
          <w:noProof/>
        </w:rPr>
        <w:fldChar w:fldCharType="begin"/>
      </w:r>
      <w:r>
        <w:rPr>
          <w:noProof/>
        </w:rPr>
        <w:instrText xml:space="preserve"> PAGEREF _Toc235442964 \h </w:instrText>
      </w:r>
      <w:r>
        <w:rPr>
          <w:noProof/>
        </w:rPr>
      </w:r>
      <w:r>
        <w:rPr>
          <w:noProof/>
        </w:rPr>
        <w:fldChar w:fldCharType="separate"/>
      </w:r>
      <w:r>
        <w:rPr>
          <w:noProof/>
        </w:rPr>
        <w:t>24</w:t>
      </w:r>
      <w:r>
        <w:rPr>
          <w:noProof/>
        </w:rPr>
        <w:fldChar w:fldCharType="end"/>
      </w:r>
    </w:p>
    <w:p w14:paraId="74F29D0B" w14:textId="70663B0A"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21. Data Protection</w:t>
      </w:r>
      <w:r>
        <w:rPr>
          <w:noProof/>
        </w:rPr>
        <w:tab/>
      </w:r>
      <w:r>
        <w:rPr>
          <w:noProof/>
        </w:rPr>
        <w:fldChar w:fldCharType="begin"/>
      </w:r>
      <w:r>
        <w:rPr>
          <w:noProof/>
        </w:rPr>
        <w:instrText xml:space="preserve"> PAGEREF _Toc235442965 \h </w:instrText>
      </w:r>
      <w:r>
        <w:rPr>
          <w:noProof/>
        </w:rPr>
      </w:r>
      <w:r>
        <w:rPr>
          <w:noProof/>
        </w:rPr>
        <w:fldChar w:fldCharType="separate"/>
      </w:r>
      <w:r>
        <w:rPr>
          <w:noProof/>
        </w:rPr>
        <w:t>25</w:t>
      </w:r>
      <w:r>
        <w:rPr>
          <w:noProof/>
        </w:rPr>
        <w:fldChar w:fldCharType="end"/>
      </w:r>
    </w:p>
    <w:p w14:paraId="1A7FA888" w14:textId="54A59EEB"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22. Data Ownership</w:t>
      </w:r>
      <w:r>
        <w:rPr>
          <w:noProof/>
        </w:rPr>
        <w:tab/>
      </w:r>
      <w:r>
        <w:rPr>
          <w:noProof/>
        </w:rPr>
        <w:fldChar w:fldCharType="begin"/>
      </w:r>
      <w:r>
        <w:rPr>
          <w:noProof/>
        </w:rPr>
        <w:instrText xml:space="preserve"> PAGEREF _Toc235442966 \h </w:instrText>
      </w:r>
      <w:r>
        <w:rPr>
          <w:noProof/>
        </w:rPr>
      </w:r>
      <w:r>
        <w:rPr>
          <w:noProof/>
        </w:rPr>
        <w:fldChar w:fldCharType="separate"/>
      </w:r>
      <w:r>
        <w:rPr>
          <w:noProof/>
        </w:rPr>
        <w:t>26</w:t>
      </w:r>
      <w:r>
        <w:rPr>
          <w:noProof/>
        </w:rPr>
        <w:fldChar w:fldCharType="end"/>
      </w:r>
    </w:p>
    <w:p w14:paraId="2E7134DC" w14:textId="3FAB5728"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23. Integration Options</w:t>
      </w:r>
      <w:r>
        <w:rPr>
          <w:noProof/>
        </w:rPr>
        <w:tab/>
      </w:r>
      <w:r>
        <w:rPr>
          <w:noProof/>
        </w:rPr>
        <w:fldChar w:fldCharType="begin"/>
      </w:r>
      <w:r>
        <w:rPr>
          <w:noProof/>
        </w:rPr>
        <w:instrText xml:space="preserve"> PAGEREF _Toc235442967 \h </w:instrText>
      </w:r>
      <w:r>
        <w:rPr>
          <w:noProof/>
        </w:rPr>
      </w:r>
      <w:r>
        <w:rPr>
          <w:noProof/>
        </w:rPr>
        <w:fldChar w:fldCharType="separate"/>
      </w:r>
      <w:r>
        <w:rPr>
          <w:noProof/>
        </w:rPr>
        <w:t>26</w:t>
      </w:r>
      <w:r>
        <w:rPr>
          <w:noProof/>
        </w:rPr>
        <w:fldChar w:fldCharType="end"/>
      </w:r>
    </w:p>
    <w:p w14:paraId="4805B264" w14:textId="1FE5F64B"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24. Performance and Scalability</w:t>
      </w:r>
      <w:r>
        <w:rPr>
          <w:noProof/>
        </w:rPr>
        <w:tab/>
      </w:r>
      <w:r>
        <w:rPr>
          <w:noProof/>
        </w:rPr>
        <w:fldChar w:fldCharType="begin"/>
      </w:r>
      <w:r>
        <w:rPr>
          <w:noProof/>
        </w:rPr>
        <w:instrText xml:space="preserve"> PAGEREF _Toc235442968 \h </w:instrText>
      </w:r>
      <w:r>
        <w:rPr>
          <w:noProof/>
        </w:rPr>
      </w:r>
      <w:r>
        <w:rPr>
          <w:noProof/>
        </w:rPr>
        <w:fldChar w:fldCharType="separate"/>
      </w:r>
      <w:r>
        <w:rPr>
          <w:noProof/>
        </w:rPr>
        <w:t>27</w:t>
      </w:r>
      <w:r>
        <w:rPr>
          <w:noProof/>
        </w:rPr>
        <w:fldChar w:fldCharType="end"/>
      </w:r>
    </w:p>
    <w:p w14:paraId="1D997155" w14:textId="5F75808C"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25. Implementation Methodology</w:t>
      </w:r>
      <w:r>
        <w:rPr>
          <w:noProof/>
        </w:rPr>
        <w:tab/>
      </w:r>
      <w:r>
        <w:rPr>
          <w:noProof/>
        </w:rPr>
        <w:fldChar w:fldCharType="begin"/>
      </w:r>
      <w:r>
        <w:rPr>
          <w:noProof/>
        </w:rPr>
        <w:instrText xml:space="preserve"> PAGEREF _Toc235442969 \h </w:instrText>
      </w:r>
      <w:r>
        <w:rPr>
          <w:noProof/>
        </w:rPr>
      </w:r>
      <w:r>
        <w:rPr>
          <w:noProof/>
        </w:rPr>
        <w:fldChar w:fldCharType="separate"/>
      </w:r>
      <w:r>
        <w:rPr>
          <w:noProof/>
        </w:rPr>
        <w:t>29</w:t>
      </w:r>
      <w:r>
        <w:rPr>
          <w:noProof/>
        </w:rPr>
        <w:fldChar w:fldCharType="end"/>
      </w:r>
    </w:p>
    <w:p w14:paraId="229D9CE7" w14:textId="2F6E9FE8"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26. Project Timeline</w:t>
      </w:r>
      <w:r>
        <w:rPr>
          <w:noProof/>
        </w:rPr>
        <w:tab/>
      </w:r>
      <w:r>
        <w:rPr>
          <w:noProof/>
        </w:rPr>
        <w:fldChar w:fldCharType="begin"/>
      </w:r>
      <w:r>
        <w:rPr>
          <w:noProof/>
        </w:rPr>
        <w:instrText xml:space="preserve"> PAGEREF _Toc235442970 \h </w:instrText>
      </w:r>
      <w:r>
        <w:rPr>
          <w:noProof/>
        </w:rPr>
      </w:r>
      <w:r>
        <w:rPr>
          <w:noProof/>
        </w:rPr>
        <w:fldChar w:fldCharType="separate"/>
      </w:r>
      <w:r>
        <w:rPr>
          <w:noProof/>
        </w:rPr>
        <w:t>30</w:t>
      </w:r>
      <w:r>
        <w:rPr>
          <w:noProof/>
        </w:rPr>
        <w:fldChar w:fldCharType="end"/>
      </w:r>
    </w:p>
    <w:p w14:paraId="1399074A" w14:textId="153E08E3"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26.1 Milestones</w:t>
      </w:r>
      <w:r>
        <w:rPr>
          <w:noProof/>
        </w:rPr>
        <w:tab/>
      </w:r>
      <w:r>
        <w:rPr>
          <w:noProof/>
        </w:rPr>
        <w:fldChar w:fldCharType="begin"/>
      </w:r>
      <w:r>
        <w:rPr>
          <w:noProof/>
        </w:rPr>
        <w:instrText xml:space="preserve"> PAGEREF _Toc235442971 \h </w:instrText>
      </w:r>
      <w:r>
        <w:rPr>
          <w:noProof/>
        </w:rPr>
      </w:r>
      <w:r>
        <w:rPr>
          <w:noProof/>
        </w:rPr>
        <w:fldChar w:fldCharType="separate"/>
      </w:r>
      <w:r>
        <w:rPr>
          <w:noProof/>
        </w:rPr>
        <w:t>31</w:t>
      </w:r>
      <w:r>
        <w:rPr>
          <w:noProof/>
        </w:rPr>
        <w:fldChar w:fldCharType="end"/>
      </w:r>
    </w:p>
    <w:p w14:paraId="70B94C4A" w14:textId="5E2E985B"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27. Project Governance</w:t>
      </w:r>
      <w:r>
        <w:rPr>
          <w:noProof/>
        </w:rPr>
        <w:tab/>
      </w:r>
      <w:r>
        <w:rPr>
          <w:noProof/>
        </w:rPr>
        <w:fldChar w:fldCharType="begin"/>
      </w:r>
      <w:r>
        <w:rPr>
          <w:noProof/>
        </w:rPr>
        <w:instrText xml:space="preserve"> PAGEREF _Toc235442972 \h </w:instrText>
      </w:r>
      <w:r>
        <w:rPr>
          <w:noProof/>
        </w:rPr>
      </w:r>
      <w:r>
        <w:rPr>
          <w:noProof/>
        </w:rPr>
        <w:fldChar w:fldCharType="separate"/>
      </w:r>
      <w:r>
        <w:rPr>
          <w:noProof/>
        </w:rPr>
        <w:t>31</w:t>
      </w:r>
      <w:r>
        <w:rPr>
          <w:noProof/>
        </w:rPr>
        <w:fldChar w:fldCharType="end"/>
      </w:r>
    </w:p>
    <w:p w14:paraId="0FB0ABBF" w14:textId="25E94BDD"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28. Deliverables</w:t>
      </w:r>
      <w:r>
        <w:rPr>
          <w:noProof/>
        </w:rPr>
        <w:tab/>
      </w:r>
      <w:r>
        <w:rPr>
          <w:noProof/>
        </w:rPr>
        <w:fldChar w:fldCharType="begin"/>
      </w:r>
      <w:r>
        <w:rPr>
          <w:noProof/>
        </w:rPr>
        <w:instrText xml:space="preserve"> PAGEREF _Toc235442973 \h </w:instrText>
      </w:r>
      <w:r>
        <w:rPr>
          <w:noProof/>
        </w:rPr>
      </w:r>
      <w:r>
        <w:rPr>
          <w:noProof/>
        </w:rPr>
        <w:fldChar w:fldCharType="separate"/>
      </w:r>
      <w:r>
        <w:rPr>
          <w:noProof/>
        </w:rPr>
        <w:t>32</w:t>
      </w:r>
      <w:r>
        <w:rPr>
          <w:noProof/>
        </w:rPr>
        <w:fldChar w:fldCharType="end"/>
      </w:r>
    </w:p>
    <w:p w14:paraId="07B9716B" w14:textId="3EF24868"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29. Training and Knowledge Transfer</w:t>
      </w:r>
      <w:r>
        <w:rPr>
          <w:noProof/>
        </w:rPr>
        <w:tab/>
      </w:r>
      <w:r>
        <w:rPr>
          <w:noProof/>
        </w:rPr>
        <w:fldChar w:fldCharType="begin"/>
      </w:r>
      <w:r>
        <w:rPr>
          <w:noProof/>
        </w:rPr>
        <w:instrText xml:space="preserve"> PAGEREF _Toc235442974 \h </w:instrText>
      </w:r>
      <w:r>
        <w:rPr>
          <w:noProof/>
        </w:rPr>
      </w:r>
      <w:r>
        <w:rPr>
          <w:noProof/>
        </w:rPr>
        <w:fldChar w:fldCharType="separate"/>
      </w:r>
      <w:r>
        <w:rPr>
          <w:noProof/>
        </w:rPr>
        <w:t>34</w:t>
      </w:r>
      <w:r>
        <w:rPr>
          <w:noProof/>
        </w:rPr>
        <w:fldChar w:fldCharType="end"/>
      </w:r>
    </w:p>
    <w:p w14:paraId="7040BDBB" w14:textId="300ADACD"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30. Testing and Acceptance</w:t>
      </w:r>
      <w:r>
        <w:rPr>
          <w:noProof/>
        </w:rPr>
        <w:tab/>
      </w:r>
      <w:r>
        <w:rPr>
          <w:noProof/>
        </w:rPr>
        <w:fldChar w:fldCharType="begin"/>
      </w:r>
      <w:r>
        <w:rPr>
          <w:noProof/>
        </w:rPr>
        <w:instrText xml:space="preserve"> PAGEREF _Toc235442975 \h </w:instrText>
      </w:r>
      <w:r>
        <w:rPr>
          <w:noProof/>
        </w:rPr>
      </w:r>
      <w:r>
        <w:rPr>
          <w:noProof/>
        </w:rPr>
        <w:fldChar w:fldCharType="separate"/>
      </w:r>
      <w:r>
        <w:rPr>
          <w:noProof/>
        </w:rPr>
        <w:t>34</w:t>
      </w:r>
      <w:r>
        <w:rPr>
          <w:noProof/>
        </w:rPr>
        <w:fldChar w:fldCharType="end"/>
      </w:r>
    </w:p>
    <w:p w14:paraId="7EBBA10C" w14:textId="507520BD"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31. Support and Maintenance</w:t>
      </w:r>
      <w:r>
        <w:rPr>
          <w:noProof/>
        </w:rPr>
        <w:tab/>
      </w:r>
      <w:r>
        <w:rPr>
          <w:noProof/>
        </w:rPr>
        <w:fldChar w:fldCharType="begin"/>
      </w:r>
      <w:r>
        <w:rPr>
          <w:noProof/>
        </w:rPr>
        <w:instrText xml:space="preserve"> PAGEREF _Toc235442976 \h </w:instrText>
      </w:r>
      <w:r>
        <w:rPr>
          <w:noProof/>
        </w:rPr>
      </w:r>
      <w:r>
        <w:rPr>
          <w:noProof/>
        </w:rPr>
        <w:fldChar w:fldCharType="separate"/>
      </w:r>
      <w:r>
        <w:rPr>
          <w:noProof/>
        </w:rPr>
        <w:t>35</w:t>
      </w:r>
      <w:r>
        <w:rPr>
          <w:noProof/>
        </w:rPr>
        <w:fldChar w:fldCharType="end"/>
      </w:r>
    </w:p>
    <w:p w14:paraId="7F1E3BC5" w14:textId="19AEE220"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32. SLA</w:t>
      </w:r>
      <w:r>
        <w:rPr>
          <w:noProof/>
        </w:rPr>
        <w:tab/>
      </w:r>
      <w:r>
        <w:rPr>
          <w:noProof/>
        </w:rPr>
        <w:fldChar w:fldCharType="begin"/>
      </w:r>
      <w:r>
        <w:rPr>
          <w:noProof/>
        </w:rPr>
        <w:instrText xml:space="preserve"> PAGEREF _Toc235442977 \h </w:instrText>
      </w:r>
      <w:r>
        <w:rPr>
          <w:noProof/>
        </w:rPr>
      </w:r>
      <w:r>
        <w:rPr>
          <w:noProof/>
        </w:rPr>
        <w:fldChar w:fldCharType="separate"/>
      </w:r>
      <w:r>
        <w:rPr>
          <w:noProof/>
        </w:rPr>
        <w:t>35</w:t>
      </w:r>
      <w:r>
        <w:rPr>
          <w:noProof/>
        </w:rPr>
        <w:fldChar w:fldCharType="end"/>
      </w:r>
    </w:p>
    <w:p w14:paraId="45E802DB" w14:textId="6E07D0C5"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33. Commercial Models</w:t>
      </w:r>
      <w:r>
        <w:rPr>
          <w:noProof/>
        </w:rPr>
        <w:tab/>
      </w:r>
      <w:r>
        <w:rPr>
          <w:noProof/>
        </w:rPr>
        <w:fldChar w:fldCharType="begin"/>
      </w:r>
      <w:r>
        <w:rPr>
          <w:noProof/>
        </w:rPr>
        <w:instrText xml:space="preserve"> PAGEREF _Toc235442978 \h </w:instrText>
      </w:r>
      <w:r>
        <w:rPr>
          <w:noProof/>
        </w:rPr>
      </w:r>
      <w:r>
        <w:rPr>
          <w:noProof/>
        </w:rPr>
        <w:fldChar w:fldCharType="separate"/>
      </w:r>
      <w:r>
        <w:rPr>
          <w:noProof/>
        </w:rPr>
        <w:t>37</w:t>
      </w:r>
      <w:r>
        <w:rPr>
          <w:noProof/>
        </w:rPr>
        <w:fldChar w:fldCharType="end"/>
      </w:r>
    </w:p>
    <w:p w14:paraId="70C262FF" w14:textId="213841E3"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33.1 Model A — Annual SaaS Subscription</w:t>
      </w:r>
      <w:r>
        <w:rPr>
          <w:noProof/>
        </w:rPr>
        <w:tab/>
      </w:r>
      <w:r>
        <w:rPr>
          <w:noProof/>
        </w:rPr>
        <w:fldChar w:fldCharType="begin"/>
      </w:r>
      <w:r>
        <w:rPr>
          <w:noProof/>
        </w:rPr>
        <w:instrText xml:space="preserve"> PAGEREF _Toc235442979 \h </w:instrText>
      </w:r>
      <w:r>
        <w:rPr>
          <w:noProof/>
        </w:rPr>
      </w:r>
      <w:r>
        <w:rPr>
          <w:noProof/>
        </w:rPr>
        <w:fldChar w:fldCharType="separate"/>
      </w:r>
      <w:r>
        <w:rPr>
          <w:noProof/>
        </w:rPr>
        <w:t>37</w:t>
      </w:r>
      <w:r>
        <w:rPr>
          <w:noProof/>
        </w:rPr>
        <w:fldChar w:fldCharType="end"/>
      </w:r>
    </w:p>
    <w:p w14:paraId="6C5CCFDD" w14:textId="072ACB56"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33.2 Model B — Perpetual License / One-Time Purchase</w:t>
      </w:r>
      <w:r>
        <w:rPr>
          <w:noProof/>
        </w:rPr>
        <w:tab/>
      </w:r>
      <w:r>
        <w:rPr>
          <w:noProof/>
        </w:rPr>
        <w:fldChar w:fldCharType="begin"/>
      </w:r>
      <w:r>
        <w:rPr>
          <w:noProof/>
        </w:rPr>
        <w:instrText xml:space="preserve"> PAGEREF _Toc235442980 \h </w:instrText>
      </w:r>
      <w:r>
        <w:rPr>
          <w:noProof/>
        </w:rPr>
      </w:r>
      <w:r>
        <w:rPr>
          <w:noProof/>
        </w:rPr>
        <w:fldChar w:fldCharType="separate"/>
      </w:r>
      <w:r>
        <w:rPr>
          <w:noProof/>
        </w:rPr>
        <w:t>37</w:t>
      </w:r>
      <w:r>
        <w:rPr>
          <w:noProof/>
        </w:rPr>
        <w:fldChar w:fldCharType="end"/>
      </w:r>
    </w:p>
    <w:p w14:paraId="3F9F3B9C" w14:textId="6FB148AC"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33.3 Model C — Enterprise Custom Development Partnership</w:t>
      </w:r>
      <w:r>
        <w:rPr>
          <w:noProof/>
        </w:rPr>
        <w:tab/>
      </w:r>
      <w:r>
        <w:rPr>
          <w:noProof/>
        </w:rPr>
        <w:fldChar w:fldCharType="begin"/>
      </w:r>
      <w:r>
        <w:rPr>
          <w:noProof/>
        </w:rPr>
        <w:instrText xml:space="preserve"> PAGEREF _Toc235442981 \h </w:instrText>
      </w:r>
      <w:r>
        <w:rPr>
          <w:noProof/>
        </w:rPr>
      </w:r>
      <w:r>
        <w:rPr>
          <w:noProof/>
        </w:rPr>
        <w:fldChar w:fldCharType="separate"/>
      </w:r>
      <w:r>
        <w:rPr>
          <w:noProof/>
        </w:rPr>
        <w:t>37</w:t>
      </w:r>
      <w:r>
        <w:rPr>
          <w:noProof/>
        </w:rPr>
        <w:fldChar w:fldCharType="end"/>
      </w:r>
    </w:p>
    <w:p w14:paraId="5ABE9FEB" w14:textId="062B856A"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33.4 Model Comparison</w:t>
      </w:r>
      <w:r>
        <w:rPr>
          <w:noProof/>
        </w:rPr>
        <w:tab/>
      </w:r>
      <w:r>
        <w:rPr>
          <w:noProof/>
        </w:rPr>
        <w:fldChar w:fldCharType="begin"/>
      </w:r>
      <w:r>
        <w:rPr>
          <w:noProof/>
        </w:rPr>
        <w:instrText xml:space="preserve"> PAGEREF _Toc235442982 \h </w:instrText>
      </w:r>
      <w:r>
        <w:rPr>
          <w:noProof/>
        </w:rPr>
      </w:r>
      <w:r>
        <w:rPr>
          <w:noProof/>
        </w:rPr>
        <w:fldChar w:fldCharType="separate"/>
      </w:r>
      <w:r>
        <w:rPr>
          <w:noProof/>
        </w:rPr>
        <w:t>37</w:t>
      </w:r>
      <w:r>
        <w:rPr>
          <w:noProof/>
        </w:rPr>
        <w:fldChar w:fldCharType="end"/>
      </w:r>
    </w:p>
    <w:p w14:paraId="5E09E8D0" w14:textId="6800985A"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34. Pricing Tables</w:t>
      </w:r>
      <w:r>
        <w:rPr>
          <w:noProof/>
        </w:rPr>
        <w:tab/>
      </w:r>
      <w:r>
        <w:rPr>
          <w:noProof/>
        </w:rPr>
        <w:fldChar w:fldCharType="begin"/>
      </w:r>
      <w:r>
        <w:rPr>
          <w:noProof/>
        </w:rPr>
        <w:instrText xml:space="preserve"> PAGEREF _Toc235442983 \h </w:instrText>
      </w:r>
      <w:r>
        <w:rPr>
          <w:noProof/>
        </w:rPr>
      </w:r>
      <w:r>
        <w:rPr>
          <w:noProof/>
        </w:rPr>
        <w:fldChar w:fldCharType="separate"/>
      </w:r>
      <w:r>
        <w:rPr>
          <w:noProof/>
        </w:rPr>
        <w:t>38</w:t>
      </w:r>
      <w:r>
        <w:rPr>
          <w:noProof/>
        </w:rPr>
        <w:fldChar w:fldCharType="end"/>
      </w:r>
    </w:p>
    <w:p w14:paraId="3D3569BA" w14:textId="62B1EF8D"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34.4 Pricing Methodology</w:t>
      </w:r>
      <w:r>
        <w:rPr>
          <w:noProof/>
        </w:rPr>
        <w:tab/>
      </w:r>
      <w:r>
        <w:rPr>
          <w:noProof/>
        </w:rPr>
        <w:fldChar w:fldCharType="begin"/>
      </w:r>
      <w:r>
        <w:rPr>
          <w:noProof/>
        </w:rPr>
        <w:instrText xml:space="preserve"> PAGEREF _Toc235442984 \h </w:instrText>
      </w:r>
      <w:r>
        <w:rPr>
          <w:noProof/>
        </w:rPr>
      </w:r>
      <w:r>
        <w:rPr>
          <w:noProof/>
        </w:rPr>
        <w:fldChar w:fldCharType="separate"/>
      </w:r>
      <w:r>
        <w:rPr>
          <w:noProof/>
        </w:rPr>
        <w:t>39</w:t>
      </w:r>
      <w:r>
        <w:rPr>
          <w:noProof/>
        </w:rPr>
        <w:fldChar w:fldCharType="end"/>
      </w:r>
    </w:p>
    <w:p w14:paraId="4525C934" w14:textId="331DD072"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35. Assumptions</w:t>
      </w:r>
      <w:r>
        <w:rPr>
          <w:noProof/>
        </w:rPr>
        <w:tab/>
      </w:r>
      <w:r>
        <w:rPr>
          <w:noProof/>
        </w:rPr>
        <w:fldChar w:fldCharType="begin"/>
      </w:r>
      <w:r>
        <w:rPr>
          <w:noProof/>
        </w:rPr>
        <w:instrText xml:space="preserve"> PAGEREF _Toc235442985 \h </w:instrText>
      </w:r>
      <w:r>
        <w:rPr>
          <w:noProof/>
        </w:rPr>
      </w:r>
      <w:r>
        <w:rPr>
          <w:noProof/>
        </w:rPr>
        <w:fldChar w:fldCharType="separate"/>
      </w:r>
      <w:r>
        <w:rPr>
          <w:noProof/>
        </w:rPr>
        <w:t>39</w:t>
      </w:r>
      <w:r>
        <w:rPr>
          <w:noProof/>
        </w:rPr>
        <w:fldChar w:fldCharType="end"/>
      </w:r>
    </w:p>
    <w:p w14:paraId="55A4B86A" w14:textId="374CA19F"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36. Exclusions</w:t>
      </w:r>
      <w:r>
        <w:rPr>
          <w:noProof/>
        </w:rPr>
        <w:tab/>
      </w:r>
      <w:r>
        <w:rPr>
          <w:noProof/>
        </w:rPr>
        <w:fldChar w:fldCharType="begin"/>
      </w:r>
      <w:r>
        <w:rPr>
          <w:noProof/>
        </w:rPr>
        <w:instrText xml:space="preserve"> PAGEREF _Toc235442986 \h </w:instrText>
      </w:r>
      <w:r>
        <w:rPr>
          <w:noProof/>
        </w:rPr>
      </w:r>
      <w:r>
        <w:rPr>
          <w:noProof/>
        </w:rPr>
        <w:fldChar w:fldCharType="separate"/>
      </w:r>
      <w:r>
        <w:rPr>
          <w:noProof/>
        </w:rPr>
        <w:t>39</w:t>
      </w:r>
      <w:r>
        <w:rPr>
          <w:noProof/>
        </w:rPr>
        <w:fldChar w:fldCharType="end"/>
      </w:r>
    </w:p>
    <w:p w14:paraId="2B43A342" w14:textId="022CD5A9"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37. Risk and Mitigation</w:t>
      </w:r>
      <w:r>
        <w:rPr>
          <w:noProof/>
        </w:rPr>
        <w:tab/>
      </w:r>
      <w:r>
        <w:rPr>
          <w:noProof/>
        </w:rPr>
        <w:fldChar w:fldCharType="begin"/>
      </w:r>
      <w:r>
        <w:rPr>
          <w:noProof/>
        </w:rPr>
        <w:instrText xml:space="preserve"> PAGEREF _Toc235442987 \h </w:instrText>
      </w:r>
      <w:r>
        <w:rPr>
          <w:noProof/>
        </w:rPr>
      </w:r>
      <w:r>
        <w:rPr>
          <w:noProof/>
        </w:rPr>
        <w:fldChar w:fldCharType="separate"/>
      </w:r>
      <w:r>
        <w:rPr>
          <w:noProof/>
        </w:rPr>
        <w:t>40</w:t>
      </w:r>
      <w:r>
        <w:rPr>
          <w:noProof/>
        </w:rPr>
        <w:fldChar w:fldCharType="end"/>
      </w:r>
    </w:p>
    <w:p w14:paraId="5CDAF244" w14:textId="57A9D86D"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38. Change Request Process</w:t>
      </w:r>
      <w:r>
        <w:rPr>
          <w:noProof/>
        </w:rPr>
        <w:tab/>
      </w:r>
      <w:r>
        <w:rPr>
          <w:noProof/>
        </w:rPr>
        <w:fldChar w:fldCharType="begin"/>
      </w:r>
      <w:r>
        <w:rPr>
          <w:noProof/>
        </w:rPr>
        <w:instrText xml:space="preserve"> PAGEREF _Toc235442988 \h </w:instrText>
      </w:r>
      <w:r>
        <w:rPr>
          <w:noProof/>
        </w:rPr>
      </w:r>
      <w:r>
        <w:rPr>
          <w:noProof/>
        </w:rPr>
        <w:fldChar w:fldCharType="separate"/>
      </w:r>
      <w:r>
        <w:rPr>
          <w:noProof/>
        </w:rPr>
        <w:t>41</w:t>
      </w:r>
      <w:r>
        <w:rPr>
          <w:noProof/>
        </w:rPr>
        <w:fldChar w:fldCharType="end"/>
      </w:r>
    </w:p>
    <w:p w14:paraId="568D0BFE" w14:textId="2A028F2B"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39. Intellectual Property</w:t>
      </w:r>
      <w:r>
        <w:rPr>
          <w:noProof/>
        </w:rPr>
        <w:tab/>
      </w:r>
      <w:r>
        <w:rPr>
          <w:noProof/>
        </w:rPr>
        <w:fldChar w:fldCharType="begin"/>
      </w:r>
      <w:r>
        <w:rPr>
          <w:noProof/>
        </w:rPr>
        <w:instrText xml:space="preserve"> PAGEREF _Toc235442989 \h </w:instrText>
      </w:r>
      <w:r>
        <w:rPr>
          <w:noProof/>
        </w:rPr>
      </w:r>
      <w:r>
        <w:rPr>
          <w:noProof/>
        </w:rPr>
        <w:fldChar w:fldCharType="separate"/>
      </w:r>
      <w:r>
        <w:rPr>
          <w:noProof/>
        </w:rPr>
        <w:t>41</w:t>
      </w:r>
      <w:r>
        <w:rPr>
          <w:noProof/>
        </w:rPr>
        <w:fldChar w:fldCharType="end"/>
      </w:r>
    </w:p>
    <w:p w14:paraId="7C1201B0" w14:textId="5D81F5ED"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40. Confidentiality</w:t>
      </w:r>
      <w:r>
        <w:rPr>
          <w:noProof/>
        </w:rPr>
        <w:tab/>
      </w:r>
      <w:r>
        <w:rPr>
          <w:noProof/>
        </w:rPr>
        <w:fldChar w:fldCharType="begin"/>
      </w:r>
      <w:r>
        <w:rPr>
          <w:noProof/>
        </w:rPr>
        <w:instrText xml:space="preserve"> PAGEREF _Toc235442990 \h </w:instrText>
      </w:r>
      <w:r>
        <w:rPr>
          <w:noProof/>
        </w:rPr>
      </w:r>
      <w:r>
        <w:rPr>
          <w:noProof/>
        </w:rPr>
        <w:fldChar w:fldCharType="separate"/>
      </w:r>
      <w:r>
        <w:rPr>
          <w:noProof/>
        </w:rPr>
        <w:t>41</w:t>
      </w:r>
      <w:r>
        <w:rPr>
          <w:noProof/>
        </w:rPr>
        <w:fldChar w:fldCharType="end"/>
      </w:r>
    </w:p>
    <w:p w14:paraId="59D7A4C9" w14:textId="55EA5BC6"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41. Proposal Validity</w:t>
      </w:r>
      <w:r>
        <w:rPr>
          <w:noProof/>
        </w:rPr>
        <w:tab/>
      </w:r>
      <w:r>
        <w:rPr>
          <w:noProof/>
        </w:rPr>
        <w:fldChar w:fldCharType="begin"/>
      </w:r>
      <w:r>
        <w:rPr>
          <w:noProof/>
        </w:rPr>
        <w:instrText xml:space="preserve"> PAGEREF _Toc235442991 \h </w:instrText>
      </w:r>
      <w:r>
        <w:rPr>
          <w:noProof/>
        </w:rPr>
      </w:r>
      <w:r>
        <w:rPr>
          <w:noProof/>
        </w:rPr>
        <w:fldChar w:fldCharType="separate"/>
      </w:r>
      <w:r>
        <w:rPr>
          <w:noProof/>
        </w:rPr>
        <w:t>41</w:t>
      </w:r>
      <w:r>
        <w:rPr>
          <w:noProof/>
        </w:rPr>
        <w:fldChar w:fldCharType="end"/>
      </w:r>
    </w:p>
    <w:p w14:paraId="40D9A9EE" w14:textId="2BBE5662"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42. Payment Terms</w:t>
      </w:r>
      <w:r>
        <w:rPr>
          <w:noProof/>
        </w:rPr>
        <w:tab/>
      </w:r>
      <w:r>
        <w:rPr>
          <w:noProof/>
        </w:rPr>
        <w:fldChar w:fldCharType="begin"/>
      </w:r>
      <w:r>
        <w:rPr>
          <w:noProof/>
        </w:rPr>
        <w:instrText xml:space="preserve"> PAGEREF _Toc235442992 \h </w:instrText>
      </w:r>
      <w:r>
        <w:rPr>
          <w:noProof/>
        </w:rPr>
      </w:r>
      <w:r>
        <w:rPr>
          <w:noProof/>
        </w:rPr>
        <w:fldChar w:fldCharType="separate"/>
      </w:r>
      <w:r>
        <w:rPr>
          <w:noProof/>
        </w:rPr>
        <w:t>42</w:t>
      </w:r>
      <w:r>
        <w:rPr>
          <w:noProof/>
        </w:rPr>
        <w:fldChar w:fldCharType="end"/>
      </w:r>
    </w:p>
    <w:p w14:paraId="7958F369" w14:textId="0EC9553D"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43. Termination and Exit</w:t>
      </w:r>
      <w:r>
        <w:rPr>
          <w:noProof/>
        </w:rPr>
        <w:tab/>
      </w:r>
      <w:r>
        <w:rPr>
          <w:noProof/>
        </w:rPr>
        <w:fldChar w:fldCharType="begin"/>
      </w:r>
      <w:r>
        <w:rPr>
          <w:noProof/>
        </w:rPr>
        <w:instrText xml:space="preserve"> PAGEREF _Toc235442993 \h </w:instrText>
      </w:r>
      <w:r>
        <w:rPr>
          <w:noProof/>
        </w:rPr>
      </w:r>
      <w:r>
        <w:rPr>
          <w:noProof/>
        </w:rPr>
        <w:fldChar w:fldCharType="separate"/>
      </w:r>
      <w:r>
        <w:rPr>
          <w:noProof/>
        </w:rPr>
        <w:t>42</w:t>
      </w:r>
      <w:r>
        <w:rPr>
          <w:noProof/>
        </w:rPr>
        <w:fldChar w:fldCharType="end"/>
      </w:r>
    </w:p>
    <w:p w14:paraId="647F0F2F" w14:textId="5D87D7B8"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lastRenderedPageBreak/>
        <w:t>44. Future Roadmap</w:t>
      </w:r>
      <w:r>
        <w:rPr>
          <w:noProof/>
        </w:rPr>
        <w:tab/>
      </w:r>
      <w:r>
        <w:rPr>
          <w:noProof/>
        </w:rPr>
        <w:fldChar w:fldCharType="begin"/>
      </w:r>
      <w:r>
        <w:rPr>
          <w:noProof/>
        </w:rPr>
        <w:instrText xml:space="preserve"> PAGEREF _Toc235442994 \h </w:instrText>
      </w:r>
      <w:r>
        <w:rPr>
          <w:noProof/>
        </w:rPr>
      </w:r>
      <w:r>
        <w:rPr>
          <w:noProof/>
        </w:rPr>
        <w:fldChar w:fldCharType="separate"/>
      </w:r>
      <w:r>
        <w:rPr>
          <w:noProof/>
        </w:rPr>
        <w:t>42</w:t>
      </w:r>
      <w:r>
        <w:rPr>
          <w:noProof/>
        </w:rPr>
        <w:fldChar w:fldCharType="end"/>
      </w:r>
    </w:p>
    <w:p w14:paraId="79766AA4" w14:textId="1BD3AFA7"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44.1 Learning &amp; Assessment</w:t>
      </w:r>
      <w:r>
        <w:rPr>
          <w:noProof/>
        </w:rPr>
        <w:tab/>
      </w:r>
      <w:r>
        <w:rPr>
          <w:noProof/>
        </w:rPr>
        <w:fldChar w:fldCharType="begin"/>
      </w:r>
      <w:r>
        <w:rPr>
          <w:noProof/>
        </w:rPr>
        <w:instrText xml:space="preserve"> PAGEREF _Toc235442995 \h </w:instrText>
      </w:r>
      <w:r>
        <w:rPr>
          <w:noProof/>
        </w:rPr>
      </w:r>
      <w:r>
        <w:rPr>
          <w:noProof/>
        </w:rPr>
        <w:fldChar w:fldCharType="separate"/>
      </w:r>
      <w:r>
        <w:rPr>
          <w:noProof/>
        </w:rPr>
        <w:t>42</w:t>
      </w:r>
      <w:r>
        <w:rPr>
          <w:noProof/>
        </w:rPr>
        <w:fldChar w:fldCharType="end"/>
      </w:r>
    </w:p>
    <w:p w14:paraId="4EE61D59" w14:textId="46B8945C"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44.2 AI</w:t>
      </w:r>
      <w:r>
        <w:rPr>
          <w:noProof/>
        </w:rPr>
        <w:tab/>
      </w:r>
      <w:r>
        <w:rPr>
          <w:noProof/>
        </w:rPr>
        <w:fldChar w:fldCharType="begin"/>
      </w:r>
      <w:r>
        <w:rPr>
          <w:noProof/>
        </w:rPr>
        <w:instrText xml:space="preserve"> PAGEREF _Toc235442996 \h </w:instrText>
      </w:r>
      <w:r>
        <w:rPr>
          <w:noProof/>
        </w:rPr>
      </w:r>
      <w:r>
        <w:rPr>
          <w:noProof/>
        </w:rPr>
        <w:fldChar w:fldCharType="separate"/>
      </w:r>
      <w:r>
        <w:rPr>
          <w:noProof/>
        </w:rPr>
        <w:t>42</w:t>
      </w:r>
      <w:r>
        <w:rPr>
          <w:noProof/>
        </w:rPr>
        <w:fldChar w:fldCharType="end"/>
      </w:r>
    </w:p>
    <w:p w14:paraId="6D00BE44" w14:textId="1FDE6A3F"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44.3 Integrations</w:t>
      </w:r>
      <w:r>
        <w:rPr>
          <w:noProof/>
        </w:rPr>
        <w:tab/>
      </w:r>
      <w:r>
        <w:rPr>
          <w:noProof/>
        </w:rPr>
        <w:fldChar w:fldCharType="begin"/>
      </w:r>
      <w:r>
        <w:rPr>
          <w:noProof/>
        </w:rPr>
        <w:instrText xml:space="preserve"> PAGEREF _Toc235442997 \h </w:instrText>
      </w:r>
      <w:r>
        <w:rPr>
          <w:noProof/>
        </w:rPr>
      </w:r>
      <w:r>
        <w:rPr>
          <w:noProof/>
        </w:rPr>
        <w:fldChar w:fldCharType="separate"/>
      </w:r>
      <w:r>
        <w:rPr>
          <w:noProof/>
        </w:rPr>
        <w:t>42</w:t>
      </w:r>
      <w:r>
        <w:rPr>
          <w:noProof/>
        </w:rPr>
        <w:fldChar w:fldCharType="end"/>
      </w:r>
    </w:p>
    <w:p w14:paraId="509015DD" w14:textId="0F40C2D8"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44.4 Platform</w:t>
      </w:r>
      <w:r>
        <w:rPr>
          <w:noProof/>
        </w:rPr>
        <w:tab/>
      </w:r>
      <w:r>
        <w:rPr>
          <w:noProof/>
        </w:rPr>
        <w:fldChar w:fldCharType="begin"/>
      </w:r>
      <w:r>
        <w:rPr>
          <w:noProof/>
        </w:rPr>
        <w:instrText xml:space="preserve"> PAGEREF _Toc235442998 \h </w:instrText>
      </w:r>
      <w:r>
        <w:rPr>
          <w:noProof/>
        </w:rPr>
      </w:r>
      <w:r>
        <w:rPr>
          <w:noProof/>
        </w:rPr>
        <w:fldChar w:fldCharType="separate"/>
      </w:r>
      <w:r>
        <w:rPr>
          <w:noProof/>
        </w:rPr>
        <w:t>43</w:t>
      </w:r>
      <w:r>
        <w:rPr>
          <w:noProof/>
        </w:rPr>
        <w:fldChar w:fldCharType="end"/>
      </w:r>
    </w:p>
    <w:p w14:paraId="42A38D23" w14:textId="31BE395F"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45. Why Altanfith Aldwaliah SPC</w:t>
      </w:r>
      <w:r>
        <w:rPr>
          <w:noProof/>
        </w:rPr>
        <w:tab/>
      </w:r>
      <w:r>
        <w:rPr>
          <w:noProof/>
        </w:rPr>
        <w:fldChar w:fldCharType="begin"/>
      </w:r>
      <w:r>
        <w:rPr>
          <w:noProof/>
        </w:rPr>
        <w:instrText xml:space="preserve"> PAGEREF _Toc235442999 \h </w:instrText>
      </w:r>
      <w:r>
        <w:rPr>
          <w:noProof/>
        </w:rPr>
      </w:r>
      <w:r>
        <w:rPr>
          <w:noProof/>
        </w:rPr>
        <w:fldChar w:fldCharType="separate"/>
      </w:r>
      <w:r>
        <w:rPr>
          <w:noProof/>
        </w:rPr>
        <w:t>43</w:t>
      </w:r>
      <w:r>
        <w:rPr>
          <w:noProof/>
        </w:rPr>
        <w:fldChar w:fldCharType="end"/>
      </w:r>
    </w:p>
    <w:p w14:paraId="176A46FE" w14:textId="7E6E6FD2"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46. Next Steps</w:t>
      </w:r>
      <w:r>
        <w:rPr>
          <w:noProof/>
        </w:rPr>
        <w:tab/>
      </w:r>
      <w:r>
        <w:rPr>
          <w:noProof/>
        </w:rPr>
        <w:fldChar w:fldCharType="begin"/>
      </w:r>
      <w:r>
        <w:rPr>
          <w:noProof/>
        </w:rPr>
        <w:instrText xml:space="preserve"> PAGEREF _Toc235443000 \h </w:instrText>
      </w:r>
      <w:r>
        <w:rPr>
          <w:noProof/>
        </w:rPr>
      </w:r>
      <w:r>
        <w:rPr>
          <w:noProof/>
        </w:rPr>
        <w:fldChar w:fldCharType="separate"/>
      </w:r>
      <w:r>
        <w:rPr>
          <w:noProof/>
        </w:rPr>
        <w:t>43</w:t>
      </w:r>
      <w:r>
        <w:rPr>
          <w:noProof/>
        </w:rPr>
        <w:fldChar w:fldCharType="end"/>
      </w:r>
    </w:p>
    <w:p w14:paraId="6332387E" w14:textId="31EA90A8"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47. Acceptance Page</w:t>
      </w:r>
      <w:r>
        <w:rPr>
          <w:noProof/>
        </w:rPr>
        <w:tab/>
      </w:r>
      <w:r>
        <w:rPr>
          <w:noProof/>
        </w:rPr>
        <w:fldChar w:fldCharType="begin"/>
      </w:r>
      <w:r>
        <w:rPr>
          <w:noProof/>
        </w:rPr>
        <w:instrText xml:space="preserve"> PAGEREF _Toc235443001 \h </w:instrText>
      </w:r>
      <w:r>
        <w:rPr>
          <w:noProof/>
        </w:rPr>
      </w:r>
      <w:r>
        <w:rPr>
          <w:noProof/>
        </w:rPr>
        <w:fldChar w:fldCharType="separate"/>
      </w:r>
      <w:r>
        <w:rPr>
          <w:noProof/>
        </w:rPr>
        <w:t>44</w:t>
      </w:r>
      <w:r>
        <w:rPr>
          <w:noProof/>
        </w:rPr>
        <w:fldChar w:fldCharType="end"/>
      </w:r>
    </w:p>
    <w:p w14:paraId="18AE18C9" w14:textId="68E20BC1"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48. Contact Details</w:t>
      </w:r>
      <w:r>
        <w:rPr>
          <w:noProof/>
        </w:rPr>
        <w:tab/>
      </w:r>
      <w:r>
        <w:rPr>
          <w:noProof/>
        </w:rPr>
        <w:fldChar w:fldCharType="begin"/>
      </w:r>
      <w:r>
        <w:rPr>
          <w:noProof/>
        </w:rPr>
        <w:instrText xml:space="preserve"> PAGEREF _Toc235443002 \h </w:instrText>
      </w:r>
      <w:r>
        <w:rPr>
          <w:noProof/>
        </w:rPr>
      </w:r>
      <w:r>
        <w:rPr>
          <w:noProof/>
        </w:rPr>
        <w:fldChar w:fldCharType="separate"/>
      </w:r>
      <w:r>
        <w:rPr>
          <w:noProof/>
        </w:rPr>
        <w:t>44</w:t>
      </w:r>
      <w:r>
        <w:rPr>
          <w:noProof/>
        </w:rPr>
        <w:fldChar w:fldCharType="end"/>
      </w:r>
    </w:p>
    <w:p w14:paraId="69F996C8" w14:textId="1E2CCB31" w:rsidR="000E4DF3" w:rsidRDefault="000E4DF3" w:rsidP="000E4DF3">
      <w:pPr>
        <w:pStyle w:val="TOC1"/>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49. Appendices</w:t>
      </w:r>
      <w:r>
        <w:rPr>
          <w:noProof/>
        </w:rPr>
        <w:tab/>
      </w:r>
      <w:r>
        <w:rPr>
          <w:noProof/>
        </w:rPr>
        <w:fldChar w:fldCharType="begin"/>
      </w:r>
      <w:r>
        <w:rPr>
          <w:noProof/>
        </w:rPr>
        <w:instrText xml:space="preserve"> PAGEREF _Toc235443003 \h </w:instrText>
      </w:r>
      <w:r>
        <w:rPr>
          <w:noProof/>
        </w:rPr>
      </w:r>
      <w:r>
        <w:rPr>
          <w:noProof/>
        </w:rPr>
        <w:fldChar w:fldCharType="separate"/>
      </w:r>
      <w:r>
        <w:rPr>
          <w:noProof/>
        </w:rPr>
        <w:t>44</w:t>
      </w:r>
      <w:r>
        <w:rPr>
          <w:noProof/>
        </w:rPr>
        <w:fldChar w:fldCharType="end"/>
      </w:r>
    </w:p>
    <w:p w14:paraId="271A669A" w14:textId="275BA5CE"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49.1 Appendix A — Glossary</w:t>
      </w:r>
      <w:r>
        <w:rPr>
          <w:noProof/>
        </w:rPr>
        <w:tab/>
      </w:r>
      <w:r>
        <w:rPr>
          <w:noProof/>
        </w:rPr>
        <w:fldChar w:fldCharType="begin"/>
      </w:r>
      <w:r>
        <w:rPr>
          <w:noProof/>
        </w:rPr>
        <w:instrText xml:space="preserve"> PAGEREF _Toc235443004 \h </w:instrText>
      </w:r>
      <w:r>
        <w:rPr>
          <w:noProof/>
        </w:rPr>
      </w:r>
      <w:r>
        <w:rPr>
          <w:noProof/>
        </w:rPr>
        <w:fldChar w:fldCharType="separate"/>
      </w:r>
      <w:r>
        <w:rPr>
          <w:noProof/>
        </w:rPr>
        <w:t>44</w:t>
      </w:r>
      <w:r>
        <w:rPr>
          <w:noProof/>
        </w:rPr>
        <w:fldChar w:fldCharType="end"/>
      </w:r>
    </w:p>
    <w:p w14:paraId="3ADEE3A8" w14:textId="209CF4DA"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49.2 Appendix B — Placeholder Index</w:t>
      </w:r>
      <w:r>
        <w:rPr>
          <w:noProof/>
        </w:rPr>
        <w:tab/>
      </w:r>
      <w:r>
        <w:rPr>
          <w:noProof/>
        </w:rPr>
        <w:fldChar w:fldCharType="begin"/>
      </w:r>
      <w:r>
        <w:rPr>
          <w:noProof/>
        </w:rPr>
        <w:instrText xml:space="preserve"> PAGEREF _Toc235443005 \h </w:instrText>
      </w:r>
      <w:r>
        <w:rPr>
          <w:noProof/>
        </w:rPr>
      </w:r>
      <w:r>
        <w:rPr>
          <w:noProof/>
        </w:rPr>
        <w:fldChar w:fldCharType="separate"/>
      </w:r>
      <w:r>
        <w:rPr>
          <w:noProof/>
        </w:rPr>
        <w:t>45</w:t>
      </w:r>
      <w:r>
        <w:rPr>
          <w:noProof/>
        </w:rPr>
        <w:fldChar w:fldCharType="end"/>
      </w:r>
    </w:p>
    <w:p w14:paraId="13D08956" w14:textId="4028CFD0" w:rsidR="000E4DF3" w:rsidRDefault="000E4DF3" w:rsidP="000E4DF3">
      <w:pPr>
        <w:pStyle w:val="TOC2"/>
        <w:tabs>
          <w:tab w:val="right" w:leader="dot" w:pos="9629"/>
        </w:tabs>
        <w:rPr>
          <w:rFonts w:asciiTheme="minorHAnsi" w:hAnsiTheme="minorHAnsi" w:cstheme="minorBidi"/>
          <w:noProof/>
          <w:kern w:val="2"/>
          <w14:ligatures w14:val="standardContextual"/>
        </w:rPr>
      </w:pPr>
      <w:r w:rsidRPr="0014773E">
        <w:rPr>
          <w:rFonts w:ascii="Segoe UI" w:eastAsia="Times New Roman" w:hAnsi="Segoe UI" w:cs="Segoe UI"/>
          <w:noProof/>
          <w:lang w:val="en"/>
        </w:rPr>
        <w:t>49.3 Appendix C — Referenced Documents</w:t>
      </w:r>
      <w:r>
        <w:rPr>
          <w:noProof/>
        </w:rPr>
        <w:tab/>
      </w:r>
      <w:r>
        <w:rPr>
          <w:noProof/>
        </w:rPr>
        <w:fldChar w:fldCharType="begin"/>
      </w:r>
      <w:r>
        <w:rPr>
          <w:noProof/>
        </w:rPr>
        <w:instrText xml:space="preserve"> PAGEREF _Toc235443006 \h </w:instrText>
      </w:r>
      <w:r>
        <w:rPr>
          <w:noProof/>
        </w:rPr>
      </w:r>
      <w:r>
        <w:rPr>
          <w:noProof/>
        </w:rPr>
        <w:fldChar w:fldCharType="separate"/>
      </w:r>
      <w:r>
        <w:rPr>
          <w:noProof/>
        </w:rPr>
        <w:t>45</w:t>
      </w:r>
      <w:r>
        <w:rPr>
          <w:noProof/>
        </w:rPr>
        <w:fldChar w:fldCharType="end"/>
      </w:r>
    </w:p>
    <w:p w14:paraId="134DA1F6" w14:textId="423171E6" w:rsidR="00917CFD" w:rsidRDefault="000E4DF3" w:rsidP="000E4DF3">
      <w:pPr>
        <w:pStyle w:val="NormalWeb"/>
        <w:rPr>
          <w:rFonts w:ascii="Segoe UI" w:hAnsi="Segoe UI" w:cs="Segoe UI"/>
          <w:color w:val="1F2933"/>
          <w:sz w:val="21"/>
          <w:szCs w:val="21"/>
          <w:lang w:val="en"/>
        </w:rPr>
      </w:pPr>
      <w:r>
        <w:rPr>
          <w:rFonts w:ascii="Segoe UI" w:hAnsi="Segoe UI" w:cs="Segoe UI"/>
          <w:color w:val="1F2933"/>
          <w:sz w:val="21"/>
          <w:szCs w:val="21"/>
          <w:lang w:val="en"/>
        </w:rPr>
        <w:fldChar w:fldCharType="end"/>
      </w:r>
    </w:p>
    <w:p w14:paraId="244B13FD" w14:textId="77777777" w:rsidR="00917CFD" w:rsidRDefault="00917CFD">
      <w:pPr>
        <w:pStyle w:val="Heading1"/>
        <w:rPr>
          <w:rFonts w:ascii="Segoe UI" w:eastAsia="Times New Roman" w:hAnsi="Segoe UI" w:cs="Segoe UI"/>
          <w:lang w:val="en"/>
        </w:rPr>
      </w:pPr>
      <w:bookmarkStart w:id="5" w:name="_Toc235442933"/>
      <w:r>
        <w:rPr>
          <w:rFonts w:ascii="Segoe UI" w:eastAsia="Times New Roman" w:hAnsi="Segoe UI" w:cs="Segoe UI"/>
          <w:lang w:val="en"/>
        </w:rPr>
        <w:t>5. Letter of Submission</w:t>
      </w:r>
      <w:bookmarkEnd w:id="5"/>
    </w:p>
    <w:p w14:paraId="6F4A9E89"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[Client Name]</w:t>
      </w:r>
    </w:p>
    <w:p w14:paraId="1CB0CE81" w14:textId="77777777" w:rsidR="00917CFD" w:rsidRDefault="00917CFD">
      <w:pPr>
        <w:pStyle w:val="muted"/>
        <w:spacing w:before="120" w:beforeAutospacing="0" w:after="120" w:afterAutospacing="0"/>
        <w:rPr>
          <w:rFonts w:ascii="Segoe UI" w:hAnsi="Segoe UI" w:cs="Segoe UI"/>
          <w:lang w:val="en"/>
        </w:rPr>
      </w:pPr>
      <w:r>
        <w:rPr>
          <w:rFonts w:ascii="Segoe UI" w:hAnsi="Segoe UI" w:cs="Segoe UI"/>
          <w:lang w:val="en"/>
        </w:rPr>
        <w:t>[Date]</w:t>
      </w:r>
    </w:p>
    <w:p w14:paraId="45EEF185"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Dear Sir / Madam,</w:t>
      </w:r>
    </w:p>
    <w:p w14:paraId="7AB4602B" w14:textId="77777777" w:rsidR="00917CFD" w:rsidRDefault="00917CFD">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Subject: Proposal for the Supply, Configuration, and Support of the Live Quiz Platform</w:t>
      </w:r>
    </w:p>
    <w:p w14:paraId="74DA3E30"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On behalf of Altanfith Aldwaliah SPC, I would like to thank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for the opportunity to submit this proposal. We appreciate the time and consideration your team has invested in reviewing our solution, and we welcome the opportunity to support your organization's engagement, training, and assessment objectives.</w:t>
      </w:r>
    </w:p>
    <w:p w14:paraId="7390BF48"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presents the Live Quiz Platform as an enterprise engagement, assessment, and analytics solution designed to help organizations such as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run live sessions, structured assessments, and knowledge-evaluation activities with the branding control, reporting depth, and security posture that a large organization requires — going beyond what general-purpose public quiz tools are built to offer. The following sections set out our understanding of your requirements, the proposed solution, our technical architecture and delivery methodology, and the commercial models available for this engagement.</w:t>
      </w:r>
    </w:p>
    <w:p w14:paraId="13071323"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including its commercial terms, is valid for a period of 30 days from the date shown above. We remain available throughout this period to answer questions, arrange a live demonstration, or refine any aspect of this proposal to better reflect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requirements.</w:t>
      </w:r>
    </w:p>
    <w:p w14:paraId="1175E170"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We look forward to the possibility of working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and would welcome the opportunity to discuss this proposal further at your convenience.</w:t>
      </w:r>
    </w:p>
    <w:p w14:paraId="7256303E" w14:textId="77777777" w:rsidR="00917CFD" w:rsidRDefault="00917CFD">
      <w:pPr>
        <w:pStyle w:val="NormalWeb"/>
        <w:spacing w:before="480"/>
        <w:rPr>
          <w:rFonts w:ascii="Segoe UI" w:hAnsi="Segoe UI" w:cs="Segoe UI"/>
          <w:color w:val="1F2933"/>
          <w:sz w:val="21"/>
          <w:szCs w:val="21"/>
          <w:lang w:val="en"/>
        </w:rPr>
      </w:pPr>
      <w:r>
        <w:rPr>
          <w:rFonts w:ascii="Segoe UI" w:hAnsi="Segoe UI" w:cs="Segoe UI"/>
          <w:color w:val="1F2933"/>
          <w:sz w:val="21"/>
          <w:szCs w:val="21"/>
          <w:lang w:val="en"/>
        </w:rPr>
        <w:t>Yours faithfully,</w:t>
      </w:r>
    </w:p>
    <w:p w14:paraId="6F85C151" w14:textId="77777777" w:rsidR="00917CFD" w:rsidRDefault="00917CFD">
      <w:pPr>
        <w:pStyle w:val="NormalWeb"/>
        <w:spacing w:before="480"/>
        <w:rPr>
          <w:rFonts w:ascii="Segoe UI" w:hAnsi="Segoe UI" w:cs="Segoe UI"/>
          <w:color w:val="1F2933"/>
          <w:sz w:val="21"/>
          <w:szCs w:val="21"/>
          <w:lang w:val="en"/>
        </w:rPr>
      </w:pPr>
      <w:r>
        <w:rPr>
          <w:rStyle w:val="Strong"/>
          <w:rFonts w:ascii="Segoe UI" w:hAnsi="Segoe UI" w:cs="Segoe UI"/>
          <w:color w:val="1F2933"/>
          <w:sz w:val="21"/>
          <w:szCs w:val="21"/>
          <w:lang w:val="en"/>
        </w:rPr>
        <w:lastRenderedPageBreak/>
        <w:t>Haitham Al Lamki</w:t>
      </w:r>
      <w:r>
        <w:rPr>
          <w:rFonts w:ascii="Segoe UI" w:hAnsi="Segoe UI" w:cs="Segoe UI"/>
          <w:color w:val="1F2933"/>
          <w:sz w:val="21"/>
          <w:szCs w:val="21"/>
          <w:lang w:val="en"/>
        </w:rPr>
        <w:br/>
      </w:r>
      <w:r>
        <w:rPr>
          <w:rFonts w:ascii="Segoe UI" w:hAnsi="Segoe UI" w:cs="Segoe UI"/>
          <w:color w:val="1F2933"/>
          <w:sz w:val="21"/>
          <w:szCs w:val="21"/>
          <w:lang w:val="en"/>
        </w:rPr>
        <w:t>Altanfith Aldwaliah SPC</w:t>
      </w:r>
      <w:r>
        <w:rPr>
          <w:rFonts w:ascii="Segoe UI" w:hAnsi="Segoe UI" w:cs="Segoe UI"/>
          <w:color w:val="1F2933"/>
          <w:sz w:val="21"/>
          <w:szCs w:val="21"/>
          <w:lang w:val="en"/>
        </w:rPr>
        <w:br/>
        <w:t>Email: haitham@altanfith.com</w:t>
      </w:r>
      <w:r>
        <w:rPr>
          <w:rFonts w:ascii="Segoe UI" w:hAnsi="Segoe UI" w:cs="Segoe UI"/>
          <w:color w:val="1F2933"/>
          <w:sz w:val="21"/>
          <w:szCs w:val="21"/>
          <w:lang w:val="en"/>
        </w:rPr>
        <w:br/>
        <w:t>Phone: +968 9937 1775</w:t>
      </w:r>
      <w:r>
        <w:rPr>
          <w:rFonts w:ascii="Segoe UI" w:hAnsi="Segoe UI" w:cs="Segoe UI"/>
          <w:color w:val="1F2933"/>
          <w:sz w:val="21"/>
          <w:szCs w:val="21"/>
          <w:lang w:val="en"/>
        </w:rPr>
        <w:br/>
        <w:t>Sultanate of Oman</w:t>
      </w:r>
    </w:p>
    <w:p w14:paraId="795637EF" w14:textId="77777777" w:rsidR="00917CFD" w:rsidRDefault="00917CFD">
      <w:pPr>
        <w:pStyle w:val="Heading1"/>
        <w:rPr>
          <w:rFonts w:ascii="Segoe UI" w:eastAsia="Times New Roman" w:hAnsi="Segoe UI" w:cs="Segoe UI"/>
          <w:lang w:val="en"/>
        </w:rPr>
      </w:pPr>
      <w:bookmarkStart w:id="6" w:name="_Toc235442934"/>
      <w:r>
        <w:rPr>
          <w:rFonts w:ascii="Segoe UI" w:eastAsia="Times New Roman" w:hAnsi="Segoe UI" w:cs="Segoe UI"/>
          <w:lang w:val="en"/>
        </w:rPr>
        <w:t>6. Executive Summary</w:t>
      </w:r>
      <w:bookmarkEnd w:id="6"/>
    </w:p>
    <w:p w14:paraId="7BACC13C"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is pleased to present the Live Quiz Platform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as an enterprise engagement, assessment, and knowledge-evaluation platform — a flexible, customizable alternative to general public quiz tools, purpose-built for organizations that require organizational branding, structured reporting, and enterprise-grade controls around how live sessions and assessments are run.</w:t>
      </w:r>
    </w:p>
    <w:p w14:paraId="2D7E0CEA"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not a concept or a prototype. It is already in real operational use at Abraj Energy Services, where it supports HSE meetings and employee engagement activities, with single live sessions that have brought together more than 100 participants at once. This production track record gives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confidence that the core platform is stable, functional, and capable of supporting real organizational events at meaningful scale, rather than a solution that exists only on paper.</w:t>
      </w:r>
    </w:p>
    <w:p w14:paraId="57C2390F"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 is bilingual by design, with a fully localized Arabic and English interface including complete right-to-left (RTL) support for Arabic — a capability that matters for organizations operating across Oman and the wider Gulf region, where sessions, dashboards, and reports need to be equally usable in either language.</w:t>
      </w:r>
    </w:p>
    <w:p w14:paraId="5113DC4D"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Content creation is accelerated through AI-assisted generation: administrators can generate a complete quiz from a topic or title, or from an uploaded PDF, Word document, URL, or pasted text, with the AI assigning suggested difficulty levels and answer explanations. Every AI-generated item is presented to an administrator for review and editing before it is used in a live session — the platform is designed to keep a human reviewer in the loop rather than publishing AI output automatically. Additional AI cap</w:t>
      </w:r>
      <w:r>
        <w:rPr>
          <w:rFonts w:ascii="Segoe UI" w:hAnsi="Segoe UI" w:cs="Segoe UI"/>
          <w:color w:val="1F2933"/>
          <w:sz w:val="21"/>
          <w:szCs w:val="21"/>
          <w:lang w:val="en"/>
        </w:rPr>
        <w:t xml:space="preserve">abilities, such as AI-assisted rewriting, suggestions, and generated visual themes, are available as optional, separately scoped additions, and a further set of AI-driven insights and reporting features sits on our future roadmap. </w:t>
      </w:r>
    </w:p>
    <w:p w14:paraId="01F74660" w14:textId="77777777" w:rsidR="00917CFD" w:rsidRDefault="00917CFD">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choose how the platform is hosted and delivered. Three deployment models are available: a fully managed cloud/SaaS option, a fully on-premises option in which the Express.js backend runs entirely within the client's own infrastructure, and a hybrid option that splits components between the two — the right choice depends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data residency, network, and cybersecurity requirements, and is confirmed through a dedicated infrastructure assessment rather than assumed in advance. Commercially, </w:t>
      </w:r>
      <w:r>
        <w:rPr>
          <w:rFonts w:ascii="Segoe UI" w:hAnsi="Segoe UI" w:cs="Segoe UI"/>
          <w:color w:val="1F2933"/>
          <w:sz w:val="21"/>
          <w:szCs w:val="21"/>
          <w:lang w:val="en"/>
        </w:rPr>
        <w:t xml:space="preserve">the platform is available under three models — an annual SaaS subscription, a one-time perpetual license, and an enterprise custom development partnership —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ownership and cost structure that best fits its procurement approach.</w:t>
      </w:r>
    </w:p>
    <w:p w14:paraId="06538089"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Underpinning all of this is the fact that Altanfith Aldwaliah SPC is an Omani company: delivery, support, and communication happen locally, in Arabic and English, without the delays or handover friction that come with an offshore vendor. This local presence supports the value of the platform — it is the foundation the offer is delivered on, not the offer itself.</w:t>
      </w:r>
    </w:p>
    <w:tbl>
      <w:tblPr>
        <w:tblW w:w="5000" w:type="pct"/>
        <w:tblCellMar>
          <w:top w:w="15" w:type="dxa"/>
          <w:left w:w="15" w:type="dxa"/>
          <w:bottom w:w="15" w:type="dxa"/>
          <w:right w:w="15" w:type="dxa"/>
        </w:tblCellMar>
        <w:tblLook w:val="04A0" w:firstRow="1" w:lastRow="0" w:firstColumn="1" w:lastColumn="0" w:noHBand="0" w:noVBand="1"/>
      </w:tblPr>
      <w:tblGrid>
        <w:gridCol w:w="1851"/>
        <w:gridCol w:w="7768"/>
      </w:tblGrid>
      <w:tr w:rsidR="00000000" w14:paraId="5EA1434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C76A8F7"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Proposal at a glance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F3CE81B" w14:textId="77777777" w:rsidR="00917CFD" w:rsidRDefault="00917CFD">
            <w:pPr>
              <w:spacing w:before="160" w:after="160"/>
              <w:rPr>
                <w:rFonts w:ascii="Segoe UI" w:eastAsia="Times New Roman" w:hAnsi="Segoe UI" w:cs="Segoe UI"/>
                <w:b/>
                <w:bCs/>
                <w:color w:val="FFFFFF"/>
                <w:sz w:val="19"/>
                <w:szCs w:val="19"/>
              </w:rPr>
            </w:pPr>
          </w:p>
        </w:tc>
      </w:tr>
      <w:tr w:rsidR="00000000" w14:paraId="3BF55A9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9FC599"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Solution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6C7C9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Enterprise engagement, assessment &amp; analytics platform — Live Quiz Platform</w:t>
            </w:r>
          </w:p>
        </w:tc>
      </w:tr>
      <w:tr w:rsidR="00000000" w14:paraId="4531546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A13EAD"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Proven use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EE5B4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 production at Abraj Energy Services — HSE meetings &amp; engagement sessions with 100+ live participants</w:t>
            </w:r>
          </w:p>
        </w:tc>
      </w:tr>
      <w:tr w:rsidR="00000000" w14:paraId="783FC75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7F5BBE"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Deployment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EF529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Cloud/SaaS, fully on-premises, or hybrid — confirmed via infrastructure assessment</w:t>
            </w:r>
          </w:p>
        </w:tc>
      </w:tr>
      <w:tr w:rsidR="00000000" w14:paraId="4FD50BC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CF2AB3"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Commercial models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A5EF2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SaaS subscription · perpetual license · enterprise custom development partnership</w:t>
            </w:r>
          </w:p>
        </w:tc>
      </w:tr>
      <w:tr w:rsidR="00000000" w14:paraId="532B016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32A6BE"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AI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3396C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quiz generation from topic, PDF, document, URL, or text — always reviewed by an administrator before use</w:t>
            </w:r>
          </w:p>
        </w:tc>
      </w:tr>
      <w:tr w:rsidR="00000000" w14:paraId="4481FB4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E22C28"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Support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C4BC8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Bronze / Silver / Gold packages, delivered locally from Oman in Arabic and English</w:t>
            </w:r>
          </w:p>
        </w:tc>
      </w:tr>
    </w:tbl>
    <w:p w14:paraId="4992E53C" w14:textId="77777777" w:rsidR="00917CFD" w:rsidRDefault="00917CFD">
      <w:pPr>
        <w:pStyle w:val="Heading1"/>
        <w:rPr>
          <w:rFonts w:ascii="Segoe UI" w:eastAsia="Times New Roman" w:hAnsi="Segoe UI" w:cs="Segoe UI"/>
          <w:lang w:val="en"/>
        </w:rPr>
      </w:pPr>
      <w:bookmarkStart w:id="7" w:name="_Toc235442935"/>
      <w:r>
        <w:rPr>
          <w:rFonts w:ascii="Segoe UI" w:eastAsia="Times New Roman" w:hAnsi="Segoe UI" w:cs="Segoe UI"/>
          <w:lang w:val="en"/>
        </w:rPr>
        <w:t>7. About Altanfith Aldwaliah SPC</w:t>
      </w:r>
      <w:bookmarkEnd w:id="7"/>
    </w:p>
    <w:p w14:paraId="2370F8FA"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Altanfith Aldwaliah SPC is a Sultanate of Oman-based software company focused on designing, building, and supporting enterprise digital platforms for government, oil &amp; gas, education, and private-sector organizations. Our work centers on delivering software that is not simply installed and left running, but actively configured, branded, and adapted around each client's operational, reporting, and security requirements.</w:t>
      </w:r>
    </w:p>
    <w:p w14:paraId="400C61EB"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Our core capability areas span custom application development, enterprise platform configuration, and applied artificial intelligence — including AI-assisted content generation of the kind used within the Live Quiz Platform itself. We combine this technical capability with a practical understanding of how large Omani organizations operate: the governance structures they answer to, the security review processes their IT and cybersecurity teams require, and the bilingual Arabic/English environment in which th</w:t>
      </w:r>
      <w:r>
        <w:rPr>
          <w:rFonts w:ascii="Segoe UI" w:hAnsi="Segoe UI" w:cs="Segoe UI"/>
          <w:color w:val="1F2933"/>
          <w:sz w:val="21"/>
          <w:szCs w:val="21"/>
          <w:lang w:val="en"/>
        </w:rPr>
        <w:t>eir staff and stakeholders work.</w:t>
      </w:r>
    </w:p>
    <w:p w14:paraId="361538B5"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a direct expression of this approach. Rather than offering a generic, one-size-fits-all quiz tool, we designed and continue to develop a platform that can be shaped around each client's branding, workflows, integration landscape, and deployment preferences — and that is already proven in real operational use, as set out in Section 12 of this proposal.</w:t>
      </w:r>
    </w:p>
    <w:p w14:paraId="672D4467"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As an Omani company, Altanfith Aldwaliah SPC is able to engage directly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teams throughout discovery, delivery, and ongoing support, in Arabic and English, without reliance on an intermediary or an offshore support desk operating outside Gulf business hours.</w:t>
      </w:r>
    </w:p>
    <w:p w14:paraId="4EA61CA7" w14:textId="77777777" w:rsidR="00917CFD" w:rsidRDefault="00917CFD">
      <w:pPr>
        <w:pStyle w:val="Heading1"/>
        <w:rPr>
          <w:rFonts w:ascii="Segoe UI" w:eastAsia="Times New Roman" w:hAnsi="Segoe UI" w:cs="Segoe UI"/>
          <w:lang w:val="en"/>
        </w:rPr>
      </w:pPr>
      <w:bookmarkStart w:id="8" w:name="_Toc235442936"/>
      <w:r>
        <w:rPr>
          <w:rFonts w:ascii="Segoe UI" w:eastAsia="Times New Roman" w:hAnsi="Segoe UI" w:cs="Segoe UI"/>
          <w:lang w:val="en"/>
        </w:rPr>
        <w:t>8. Understanding of Client Requirements</w:t>
      </w:r>
      <w:bookmarkEnd w:id="8"/>
    </w:p>
    <w:p w14:paraId="55A60876"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Large Omani organizations — whether in government, oil &amp; gas, education, or the private sector — typically approach an engagement and assessment platform with a common set of expectations that go well beyond what a free or public quiz tool is designed to provide. Based on our experience delivering the Live Quiz Platform into a live production environment, we understand these expectations to include the following.</w:t>
      </w:r>
    </w:p>
    <w:tbl>
      <w:tblPr>
        <w:tblW w:w="5000" w:type="pct"/>
        <w:tblCellMar>
          <w:top w:w="15" w:type="dxa"/>
          <w:left w:w="15" w:type="dxa"/>
          <w:bottom w:w="15" w:type="dxa"/>
          <w:right w:w="15" w:type="dxa"/>
        </w:tblCellMar>
        <w:tblLook w:val="04A0" w:firstRow="1" w:lastRow="0" w:firstColumn="1" w:lastColumn="0" w:noHBand="0" w:noVBand="1"/>
      </w:tblPr>
      <w:tblGrid>
        <w:gridCol w:w="3408"/>
        <w:gridCol w:w="6211"/>
      </w:tblGrid>
      <w:tr w:rsidR="00000000" w14:paraId="713E1F30"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D9F6FE1"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lastRenderedPageBreak/>
              <w:t>Requirement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89402D9"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Our response</w:t>
            </w:r>
          </w:p>
        </w:tc>
      </w:tr>
      <w:tr w:rsidR="00000000" w14:paraId="1460388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3F64E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control over branding, so that sessions and materials reflect the organization's own visual identity rather than a generic third-party look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0EE47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Per-tenant organization branding, including logo and color customization, custom themes, custom backgrounds, and custom UI text, is built into the platform</w:t>
            </w:r>
          </w:p>
        </w:tc>
      </w:tr>
      <w:tr w:rsidR="00000000" w14:paraId="6E45A60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6621F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Control over where data resides and how it is retained, including the ability to keep sensitive data within the organization's own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32933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 fully on-premises deployment option is available, in which the backend and database can run entirely within </w:t>
            </w: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data retention and export terms are defined in the commercial agreement, and final data residency arrangements are confirmed during discovery and infrastructure assessment</w:t>
            </w:r>
          </w:p>
        </w:tc>
      </w:tr>
      <w:tr w:rsidR="00000000" w14:paraId="2A544AF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00261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genuinely bilingual Arabic and English experience, not a partial translation layered onto an English-first product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C2842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interface, including full right-to-left (RTL) layout, is available in Arabic and English as a core, included capability</w:t>
            </w:r>
          </w:p>
        </w:tc>
      </w:tr>
      <w:tr w:rsidR="00000000" w14:paraId="6657167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CCF51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Compatibility with the organization's internal cybersecurity review and approval process before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E2796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is developed with awareness of the OWASP Top 10 and includes controls such as role-based access, audit logging, and API rate limiting; the full architecture is made available for client security review, and deployment is subject to the client's cybersecurity assessment as described in Section 20</w:t>
            </w:r>
          </w:p>
        </w:tc>
      </w:tr>
      <w:tr w:rsidR="00000000" w14:paraId="520B225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04BA3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Practical integration paths into the organization's existing systems (identity, HR, reporting) rather than a fully closed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69205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REST APIs and a defined set of integration options are available; specific integrations such as single sign-on, HR systems, or Power BI can be configured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environment and are scoped individually, as described in Section 23</w:t>
            </w:r>
          </w:p>
        </w:tc>
      </w:tr>
      <w:tr w:rsidR="00000000" w14:paraId="294D5AE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324BC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Local support that understands the organization's language, working hours, and escalation expectations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923D7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Aldwaliah SPC is based in the Sultanate of Oman and delivers support in Arabic and English under Bronze, Silver, and Gold packages, as described in Section 31</w:t>
            </w:r>
          </w:p>
        </w:tc>
      </w:tr>
    </w:tbl>
    <w:p w14:paraId="17A4DA7C"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These requirements shape both the design of the platform and the structure of this proposal: the sections that follow set out how the Live Quiz Platform, its architecture, and our delivery methodology are built to answer each of them directly.</w:t>
      </w:r>
    </w:p>
    <w:p w14:paraId="2A5E91FA" w14:textId="77777777" w:rsidR="00917CFD" w:rsidRDefault="00917CFD">
      <w:pPr>
        <w:pStyle w:val="Heading1"/>
        <w:rPr>
          <w:rFonts w:ascii="Segoe UI" w:eastAsia="Times New Roman" w:hAnsi="Segoe UI" w:cs="Segoe UI"/>
          <w:lang w:val="en"/>
        </w:rPr>
      </w:pPr>
      <w:bookmarkStart w:id="9" w:name="_Toc235442937"/>
      <w:r>
        <w:rPr>
          <w:rFonts w:ascii="Segoe UI" w:eastAsia="Times New Roman" w:hAnsi="Segoe UI" w:cs="Segoe UI"/>
          <w:lang w:val="en"/>
        </w:rPr>
        <w:t>9. Business Challenges</w:t>
      </w:r>
      <w:bookmarkEnd w:id="9"/>
    </w:p>
    <w:p w14:paraId="0912EFE0"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Organizations that rely on free or general-purpose public quiz tools for internal engagement, training, or assessment activities commonly encounter a consistent set of limitations once usage moves beyond a single informal session.</w:t>
      </w:r>
    </w:p>
    <w:tbl>
      <w:tblPr>
        <w:tblW w:w="5000" w:type="pct"/>
        <w:tblCellMar>
          <w:top w:w="15" w:type="dxa"/>
          <w:left w:w="15" w:type="dxa"/>
          <w:bottom w:w="15" w:type="dxa"/>
          <w:right w:w="15" w:type="dxa"/>
        </w:tblCellMar>
        <w:tblLook w:val="04A0" w:firstRow="1" w:lastRow="0" w:firstColumn="1" w:lastColumn="0" w:noHBand="0" w:noVBand="1"/>
      </w:tblPr>
      <w:tblGrid>
        <w:gridCol w:w="3839"/>
        <w:gridCol w:w="5780"/>
      </w:tblGrid>
      <w:tr w:rsidR="00000000" w14:paraId="7929929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68925DD"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Challenge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67E5FAF"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Consequence</w:t>
            </w:r>
          </w:p>
        </w:tc>
      </w:tr>
      <w:tr w:rsidR="00000000" w14:paraId="7AACE13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E998C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Generic public quiz tools are built for open, consumer use and lack enterprise controls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96CFB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 organizational branding, no role-based administration, and no ability to enforce the organization's own access and data-handling requirements</w:t>
            </w:r>
          </w:p>
        </w:tc>
      </w:tr>
      <w:tr w:rsidR="00000000" w14:paraId="46391BB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48437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and question content is created ad hoc and scattered across individual accounts, files, and departments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50C8E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Content cannot be reused, standardized, or governed centrally, and is often lost when the individual who created it moves on</w:t>
            </w:r>
          </w:p>
        </w:tc>
      </w:tr>
      <w:tr w:rsidR="00000000" w14:paraId="267D044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EA143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tools offer little to no organizational-level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16C47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cannot see participation, performance, or engagement trends across departments, sessions, or time — results exist only as isolated, per-session snapshots</w:t>
            </w:r>
          </w:p>
        </w:tc>
      </w:tr>
      <w:tr w:rsidR="00000000" w14:paraId="1A7E09A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1A880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 created and collected through a public, third-party tool sits outside the organization's own environment and control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E0C1F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This raises data residency and governance concerns for organizations subject to internal compliance requirements or operating in regulated sectors, particularly where session content or participant data is sensitive</w:t>
            </w:r>
          </w:p>
        </w:tc>
      </w:tr>
      <w:tr w:rsidR="00000000" w14:paraId="3BA6295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444AB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Repetitive use of the same generic tool and format across HSE briefings and training sessions leads to engagement fatigue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F3378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Participation and attention decline over time, undermining the safety and learning objectives the sessions are intended to support</w:t>
            </w:r>
          </w:p>
        </w:tc>
      </w:tr>
      <w:tr w:rsidR="00000000" w14:paraId="4D74A00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8D76C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tools typically offer only a single, English-first interface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13822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Arabic-speaking participants and administrators are left with a translated or inconsistent experience, reducing usability and adoption across a bilingual workforce</w:t>
            </w:r>
          </w:p>
        </w:tc>
      </w:tr>
    </w:tbl>
    <w:p w14:paraId="0E2C1D9D"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and the enterprise delivery model set out in this proposal, are designed specifically to address these gaps — as described in the sections that follow.</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1CDBBF1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78C72F" w14:textId="77777777" w:rsidR="00917CFD" w:rsidRDefault="00917CFD">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TWO</w:t>
            </w:r>
          </w:p>
          <w:p w14:paraId="2D7E23ED" w14:textId="77777777" w:rsidR="00917CFD" w:rsidRDefault="00917CFD">
            <w:pPr>
              <w:pStyle w:val="NormalWeb"/>
              <w:rPr>
                <w:rFonts w:ascii="Segoe UI" w:hAnsi="Segoe UI" w:cs="Segoe UI"/>
                <w:b/>
                <w:bCs/>
                <w:color w:val="FFFFFF"/>
                <w:sz w:val="44"/>
                <w:szCs w:val="44"/>
              </w:rPr>
            </w:pPr>
            <w:r>
              <w:rPr>
                <w:rFonts w:ascii="Segoe UI" w:hAnsi="Segoe UI" w:cs="Segoe UI"/>
                <w:b/>
                <w:bCs/>
                <w:color w:val="FFFFFF"/>
                <w:sz w:val="44"/>
                <w:szCs w:val="44"/>
              </w:rPr>
              <w:t>The Solution</w:t>
            </w:r>
          </w:p>
          <w:p w14:paraId="5B350A5F" w14:textId="77777777" w:rsidR="00917CFD" w:rsidRDefault="00917CFD">
            <w:pPr>
              <w:pStyle w:val="NormalWeb"/>
              <w:rPr>
                <w:rFonts w:ascii="Segoe UI" w:hAnsi="Segoe UI" w:cs="Segoe UI"/>
                <w:color w:val="1F2933"/>
              </w:rPr>
            </w:pPr>
            <w:r>
              <w:rPr>
                <w:rFonts w:ascii="Segoe UI" w:hAnsi="Segoe UI" w:cs="Segoe UI"/>
                <w:color w:val="1F2933"/>
              </w:rPr>
              <w:t>How the Live Quiz Platform answers the requirements and challenges set out above</w:t>
            </w:r>
          </w:p>
        </w:tc>
      </w:tr>
    </w:tbl>
    <w:p w14:paraId="353EDABB" w14:textId="77777777" w:rsidR="00917CFD" w:rsidRDefault="00917CFD">
      <w:pPr>
        <w:pStyle w:val="Heading1"/>
        <w:pageBreakBefore/>
        <w:rPr>
          <w:rFonts w:ascii="Segoe UI" w:eastAsia="Times New Roman" w:hAnsi="Segoe UI" w:cs="Segoe UI"/>
          <w:lang w:val="en"/>
        </w:rPr>
      </w:pPr>
      <w:bookmarkStart w:id="10" w:name="_Toc235442938"/>
      <w:r>
        <w:rPr>
          <w:rFonts w:ascii="Segoe UI" w:eastAsia="Times New Roman" w:hAnsi="Segoe UI" w:cs="Segoe UI"/>
          <w:lang w:val="en"/>
        </w:rPr>
        <w:lastRenderedPageBreak/>
        <w:t>10. Proposed Solution</w:t>
      </w:r>
      <w:bookmarkEnd w:id="10"/>
    </w:p>
    <w:p w14:paraId="4759F7B3"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proposes the Live Quiz Platform as a single platform that brings together live engagement, structured assessment, and organizational analytics,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does not need to operate separate tools for running a live session, evaluating knowledge, and reporting on the results.</w:t>
      </w:r>
    </w:p>
    <w:p w14:paraId="6180579B"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designed to support a broad range of use cases across a large organization, from safety and training activities to recruitment and internal communication. The table below reflects the categories of use the platform is built to support; the specific mix relevant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be confirmed during discovery.</w:t>
      </w:r>
    </w:p>
    <w:tbl>
      <w:tblPr>
        <w:tblW w:w="5000" w:type="pct"/>
        <w:tblCellMar>
          <w:top w:w="15" w:type="dxa"/>
          <w:left w:w="15" w:type="dxa"/>
          <w:bottom w:w="15" w:type="dxa"/>
          <w:right w:w="15" w:type="dxa"/>
        </w:tblCellMar>
        <w:tblLook w:val="04A0" w:firstRow="1" w:lastRow="0" w:firstColumn="1" w:lastColumn="0" w:noHBand="0" w:noVBand="1"/>
      </w:tblPr>
      <w:tblGrid>
        <w:gridCol w:w="2621"/>
        <w:gridCol w:w="3518"/>
        <w:gridCol w:w="3480"/>
      </w:tblGrid>
      <w:tr w:rsidR="00000000" w14:paraId="005CDDD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3ADBD63"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Engagement &amp; Training</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B473DE8"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Assessment &amp; Evaluation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71EB6F0"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Organizational &amp; Institutional</w:t>
            </w:r>
          </w:p>
        </w:tc>
      </w:tr>
      <w:tr w:rsidR="00000000" w14:paraId="7105FA1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B86ED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HSE meetings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80AB6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Knowledge assessments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3CAEA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Government awareness campaigns</w:t>
            </w:r>
          </w:p>
        </w:tc>
      </w:tr>
      <w:tr w:rsidR="00000000" w14:paraId="7668600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58921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Employee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EA0DE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Recruitment assessments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24D0B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Educational institutions</w:t>
            </w:r>
          </w:p>
        </w:tc>
      </w:tr>
      <w:tr w:rsidR="00000000" w14:paraId="4C5F8DD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392BC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Corporate workshops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50A04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Interviews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224FE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Schools &amp; universities</w:t>
            </w:r>
          </w:p>
        </w:tc>
      </w:tr>
      <w:tr w:rsidR="00000000" w14:paraId="60F5EEA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D1F50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Team-building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B2120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Surveys &amp; polls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6A02B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compliance assessments</w:t>
            </w:r>
          </w:p>
        </w:tc>
      </w:tr>
      <w:tr w:rsidR="00000000" w14:paraId="7FDC301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D273C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Corporate events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AFBE8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Certification preparation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2E28B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Employee onboarding</w:t>
            </w:r>
          </w:p>
        </w:tc>
      </w:tr>
      <w:tr w:rsidR="00000000" w14:paraId="2B77C61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2D029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Competitions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C97C5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Learning &amp; development programs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B366B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Safety awareness</w:t>
            </w:r>
          </w:p>
        </w:tc>
      </w:tr>
    </w:tbl>
    <w:p w14:paraId="2CF7EBEB"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It is important to be clear about how we position the Live Quiz Platform. Live, buzzer-style quiz tools such as Kahoot are widely known and are a useful category reference for the live-session experience — but the Live Quiz Platform is not a copy of any such tool. It is an enterprise platform: customizable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operational workflows, branding, reporting requirements, security posture, and integration landscape, and deployable in a way a general public tool is not, including fully on-premises within the client's own infrastructure. The sections that follow set out the platform itself (Sections 11–16), its technical architecture and deployment options (Sections 17–24), our delivery methodology (Sections 25–32), and the commercial terms under which it is offered (Sections 33 onward).</w:t>
      </w:r>
    </w:p>
    <w:p w14:paraId="3E22531A" w14:textId="77777777" w:rsidR="00917CFD" w:rsidRDefault="00917CFD">
      <w:pPr>
        <w:pStyle w:val="Heading1"/>
        <w:rPr>
          <w:rFonts w:ascii="Segoe UI" w:eastAsia="Times New Roman" w:hAnsi="Segoe UI" w:cs="Segoe UI"/>
          <w:lang w:val="en"/>
        </w:rPr>
      </w:pPr>
      <w:bookmarkStart w:id="11" w:name="_Toc235442939"/>
      <w:r>
        <w:rPr>
          <w:rFonts w:ascii="Segoe UI" w:eastAsia="Times New Roman" w:hAnsi="Segoe UI" w:cs="Segoe UI"/>
          <w:lang w:val="en"/>
        </w:rPr>
        <w:t>11. Platform Overview</w:t>
      </w:r>
      <w:bookmarkEnd w:id="11"/>
    </w:p>
    <w:p w14:paraId="45DADB88"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best understood through the lifecycle of a typical session, from creation through to reporting.</w:t>
      </w:r>
    </w:p>
    <w:p w14:paraId="7824D2B6"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An administrator or quiz creator begins by building a quiz manually, or by using the platform's AI-assisted generation to produce a complete quiz from a topic, an uploaded PDF or Word document, a URL, or pasted text — with every AI-generated question reviewed and editable before use. The quiz is then branded with the organization's own logo, colors, and theme, and can be organized into a reusable question bank tagged by subject and difficulty for future sessions.</w:t>
      </w:r>
    </w:p>
    <w:p w14:paraId="37B475F2"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lastRenderedPageBreak/>
        <w:t>When it is time to run a session, the host launches the quiz live. Participants join in seconds using a QR code, a direct link, or a session PIN, without needing to create an account. As the session runs, the platform is server-authoritative for timing and scoring: the server determines when a question opens and closes and calculates results, while participant and host devices render what is happening in real time — including live answer submission, a live leaderboard, and automatic reconnection if a partic</w:t>
      </w:r>
      <w:r>
        <w:rPr>
          <w:rFonts w:ascii="Segoe UI" w:hAnsi="Segoe UI" w:cs="Segoe UI"/>
          <w:color w:val="1F2933"/>
          <w:sz w:val="21"/>
          <w:szCs w:val="21"/>
          <w:lang w:val="en"/>
        </w:rPr>
        <w:t>ipant's network connection drops mid-session. At the close of the session, the top three participants are shown on a podium, alongside the full participant ranking.</w:t>
      </w:r>
    </w:p>
    <w:p w14:paraId="211D9910"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After the session ends, results are not lost. They are captured in the platform's reporting and session history, giving administrators and management access to participation data, performance analysis, and historical comparisons across sessions — described in full in Section 16.</w:t>
      </w:r>
    </w:p>
    <w:p w14:paraId="0785AD9E"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Across this lifecycle, the platform's capability set is organized into six pillars, summarized below and detailed in full in Section 13.</w:t>
      </w:r>
    </w:p>
    <w:tbl>
      <w:tblPr>
        <w:tblW w:w="5000" w:type="pct"/>
        <w:tblCellMar>
          <w:top w:w="15" w:type="dxa"/>
          <w:left w:w="15" w:type="dxa"/>
          <w:bottom w:w="15" w:type="dxa"/>
          <w:right w:w="15" w:type="dxa"/>
        </w:tblCellMar>
        <w:tblLook w:val="04A0" w:firstRow="1" w:lastRow="0" w:firstColumn="1" w:lastColumn="0" w:noHBand="0" w:noVBand="1"/>
      </w:tblPr>
      <w:tblGrid>
        <w:gridCol w:w="2221"/>
        <w:gridCol w:w="7398"/>
      </w:tblGrid>
      <w:tr w:rsidR="00000000" w14:paraId="6D42A13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E623FB8"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Pillar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A334DF7"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it covers</w:t>
            </w:r>
          </w:p>
        </w:tc>
      </w:tr>
      <w:tr w:rsidR="00000000" w14:paraId="363A2BD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2FCCC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creation &amp; content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D04D8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and question authoring, question banks, bulk import, templates, versioning, and auto-save/draft recovery</w:t>
            </w:r>
          </w:p>
        </w:tc>
      </w:tr>
      <w:tr w:rsidR="00000000" w14:paraId="3315DD4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B00EF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hosting &amp; participation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3A5D3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QR/link/PIN joining, real-time answers, live leaderboard, ranking, podium, and automatic reconnection</w:t>
            </w:r>
          </w:p>
        </w:tc>
      </w:tr>
      <w:tr w:rsidR="00000000" w14:paraId="39BC715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D669F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Branding &amp; experience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AB468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branding, custom themes and backgrounds, and a bilingual Arabic/English interface with full RTL support</w:t>
            </w:r>
          </w:p>
        </w:tc>
      </w:tr>
      <w:tr w:rsidR="00000000" w14:paraId="740B85B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5421F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&amp; analytics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A6FB8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Result summaries, performance and difficulty analysis, historical and department-level reporting, and Excel/CSV/PDF export</w:t>
            </w:r>
          </w:p>
        </w:tc>
      </w:tr>
      <w:tr w:rsidR="00000000" w14:paraId="766F463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158F1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Administration &amp; governance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1EC4C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multi-tenant organization/department structure, multiple administrators, audit logs, and session history</w:t>
            </w:r>
          </w:p>
        </w:tc>
      </w:tr>
      <w:tr w:rsidR="00000000" w14:paraId="6B31ABC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E613A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capabilities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8D062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quiz generation from topic, document, URL, or text, with administrator review before use — detailed in Section 14</w:t>
            </w:r>
          </w:p>
        </w:tc>
      </w:tr>
    </w:tbl>
    <w:p w14:paraId="6B97F889" w14:textId="77777777" w:rsidR="00917CFD" w:rsidRDefault="00917CFD">
      <w:pPr>
        <w:pStyle w:val="Heading1"/>
        <w:rPr>
          <w:rFonts w:ascii="Segoe UI" w:eastAsia="Times New Roman" w:hAnsi="Segoe UI" w:cs="Segoe UI"/>
          <w:lang w:val="en"/>
        </w:rPr>
      </w:pPr>
      <w:bookmarkStart w:id="12" w:name="_Toc235442940"/>
      <w:r>
        <w:rPr>
          <w:rFonts w:ascii="Segoe UI" w:eastAsia="Times New Roman" w:hAnsi="Segoe UI" w:cs="Segoe UI"/>
          <w:lang w:val="en"/>
        </w:rPr>
        <w:t>12. Current Use Case</w:t>
      </w:r>
      <w:bookmarkEnd w:id="12"/>
    </w:p>
    <w:p w14:paraId="40269ABA"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not a concept, prototype, or proof of demonstration — it is in real, ongoing operational use today.</w:t>
      </w:r>
    </w:p>
    <w:p w14:paraId="240AAE42"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is currently deployed and actively used within </w:t>
      </w:r>
      <w:r>
        <w:rPr>
          <w:rStyle w:val="Strong"/>
          <w:rFonts w:ascii="Segoe UI" w:hAnsi="Segoe UI" w:cs="Segoe UI"/>
          <w:color w:val="1F2933"/>
          <w:sz w:val="21"/>
          <w:szCs w:val="21"/>
          <w:lang w:val="en"/>
        </w:rPr>
        <w:t>Abraj Energy Services</w:t>
      </w:r>
      <w:r>
        <w:rPr>
          <w:rFonts w:ascii="Segoe UI" w:hAnsi="Segoe UI" w:cs="Segoe UI"/>
          <w:color w:val="1F2933"/>
          <w:sz w:val="21"/>
          <w:szCs w:val="21"/>
          <w:lang w:val="en"/>
        </w:rPr>
        <w:t>, where it supports HSE (Health, Safety, and Environment) meetings and employee engagement activities. Live sessions run on the platform have brought together more than 100 participants at once, joining and answering in real time within a single session.</w:t>
      </w:r>
    </w:p>
    <w:p w14:paraId="48CBE7E7"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We present this use case as evidence that the core platform — live session hosting, real-time participation at meaningful scale, and the underlying engagement experience — is production-proven </w:t>
      </w:r>
      <w:r>
        <w:rPr>
          <w:rFonts w:ascii="Segoe UI" w:hAnsi="Segoe UI" w:cs="Segoe UI"/>
          <w:color w:val="1F2933"/>
          <w:sz w:val="21"/>
          <w:szCs w:val="21"/>
          <w:lang w:val="en"/>
        </w:rPr>
        <w:lastRenderedPageBreak/>
        <w:t>and functioning in a real organizational setting, rather than as a marketing claim or a controlled demonstration environment. We have not included any additional client references, dates, or testimonial statements beyond what is described above, and we will not represent any other deployment as a live production reference unless and until it is one.</w:t>
      </w:r>
    </w:p>
    <w:p w14:paraId="518C5F29" w14:textId="77777777" w:rsidR="00917CFD" w:rsidRDefault="00917CFD">
      <w:pPr>
        <w:pStyle w:val="Heading1"/>
        <w:rPr>
          <w:rFonts w:ascii="Segoe UI" w:eastAsia="Times New Roman" w:hAnsi="Segoe UI" w:cs="Segoe UI"/>
          <w:lang w:val="en"/>
        </w:rPr>
      </w:pPr>
      <w:bookmarkStart w:id="13" w:name="_Toc235442941"/>
      <w:r>
        <w:rPr>
          <w:rFonts w:ascii="Segoe UI" w:eastAsia="Times New Roman" w:hAnsi="Segoe UI" w:cs="Segoe UI"/>
          <w:lang w:val="en"/>
        </w:rPr>
        <w:t>13. Functional Scope</w:t>
      </w:r>
      <w:bookmarkEnd w:id="13"/>
    </w:p>
    <w:p w14:paraId="112B845C"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tables below set out the platform's functional scope in full, grouped into six capability areas. Each capability is marked with its current status: </w:t>
      </w:r>
      <w:r>
        <w:rPr>
          <w:rStyle w:val="badge-inc1"/>
          <w:rFonts w:ascii="Segoe UI" w:hAnsi="Segoe UI" w:cs="Segoe UI"/>
          <w:sz w:val="21"/>
          <w:szCs w:val="21"/>
          <w:lang w:val="en"/>
        </w:rPr>
        <w:t>Included</w:t>
      </w:r>
      <w:r>
        <w:rPr>
          <w:rFonts w:ascii="Segoe UI" w:hAnsi="Segoe UI" w:cs="Segoe UI"/>
          <w:color w:val="1F2933"/>
          <w:sz w:val="21"/>
          <w:szCs w:val="21"/>
          <w:lang w:val="en"/>
        </w:rPr>
        <w:t xml:space="preserve"> capabilities are part of the core platform today; </w:t>
      </w:r>
      <w:r>
        <w:rPr>
          <w:rStyle w:val="badge-opt1"/>
          <w:rFonts w:ascii="Segoe UI" w:hAnsi="Segoe UI" w:cs="Segoe UI"/>
          <w:sz w:val="21"/>
          <w:szCs w:val="21"/>
          <w:lang w:val="en"/>
        </w:rPr>
        <w:t>Optional</w:t>
      </w:r>
      <w:r>
        <w:rPr>
          <w:rFonts w:ascii="Segoe UI" w:hAnsi="Segoe UI" w:cs="Segoe UI"/>
          <w:color w:val="1F2933"/>
          <w:sz w:val="21"/>
          <w:szCs w:val="21"/>
          <w:lang w:val="en"/>
        </w:rPr>
        <w:t xml:space="preserve"> capabilities are available as scoped additions; </w:t>
      </w:r>
      <w:r>
        <w:rPr>
          <w:rStyle w:val="badge-fut1"/>
          <w:rFonts w:ascii="Segoe UI" w:hAnsi="Segoe UI" w:cs="Segoe UI"/>
          <w:sz w:val="21"/>
          <w:szCs w:val="21"/>
          <w:lang w:val="en"/>
        </w:rPr>
        <w:t>Future enhancement</w:t>
      </w:r>
      <w:r>
        <w:rPr>
          <w:rFonts w:ascii="Segoe UI" w:hAnsi="Segoe UI" w:cs="Segoe UI"/>
          <w:color w:val="1F2933"/>
          <w:sz w:val="21"/>
          <w:szCs w:val="21"/>
          <w:lang w:val="en"/>
        </w:rPr>
        <w:t xml:space="preserve"> items are on our roadmap and not part of the current platform.</w:t>
      </w:r>
    </w:p>
    <w:p w14:paraId="4D817671" w14:textId="77777777" w:rsidR="00917CFD" w:rsidRDefault="00917CFD">
      <w:pPr>
        <w:pStyle w:val="Heading2"/>
        <w:rPr>
          <w:rFonts w:ascii="Segoe UI" w:eastAsia="Times New Roman" w:hAnsi="Segoe UI" w:cs="Segoe UI"/>
          <w:lang w:val="en"/>
        </w:rPr>
      </w:pPr>
      <w:bookmarkStart w:id="14" w:name="_Toc235442942"/>
      <w:r>
        <w:rPr>
          <w:rFonts w:ascii="Segoe UI" w:eastAsia="Times New Roman" w:hAnsi="Segoe UI" w:cs="Segoe UI"/>
          <w:lang w:val="en"/>
        </w:rPr>
        <w:t>13.1 Quiz Creation &amp; Content</w:t>
      </w:r>
      <w:bookmarkEnd w:id="14"/>
    </w:p>
    <w:tbl>
      <w:tblPr>
        <w:tblW w:w="5000" w:type="pct"/>
        <w:tblCellMar>
          <w:top w:w="15" w:type="dxa"/>
          <w:left w:w="15" w:type="dxa"/>
          <w:bottom w:w="15" w:type="dxa"/>
          <w:right w:w="15" w:type="dxa"/>
        </w:tblCellMar>
        <w:tblLook w:val="04A0" w:firstRow="1" w:lastRow="0" w:firstColumn="1" w:lastColumn="0" w:noHBand="0" w:noVBand="1"/>
      </w:tblPr>
      <w:tblGrid>
        <w:gridCol w:w="2261"/>
        <w:gridCol w:w="6344"/>
        <w:gridCol w:w="1014"/>
      </w:tblGrid>
      <w:tr w:rsidR="00000000" w14:paraId="05AF25A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AA9AFA7"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AC49B5E"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3894F2C"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50EB851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4422E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creation &amp;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FBCA5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Create, edit, and manage quizzes from a central administration interface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8E3DF4"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53F8C2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5DC02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question types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A2BC7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Single-answer questions with 4–6 choices, multi-select questions, and true/false questions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240E25"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41F368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F00DB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Polls &amp; surveys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4B91C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Non-scored question formats for gathering opinion or feedback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2561A1"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8AFC4F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7AC49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timers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D5750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time limits per question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F77E28"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E3D209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23D1B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Scoring &amp; points configuration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31CDF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points and scoring rules per question or quiz</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B79788"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63AEA0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17EEB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Public &amp; private quizzes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2D9C4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Quizzes can be restricted to the organization or made available more broadly, per administrator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D01ED1"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C35CA2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31E26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bank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C7F9B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Central, reusable question repository organized by subject, tags, and difficulty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C3A8F6"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8FE8FF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98D30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Bulk import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E5328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Bulk import of questions from Excel, CSV, or Word files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D01D3E"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BD679F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E6CD2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templates &amp; reuse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592EC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Reusable quiz templates to standardize content across sessions and departments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6376EE"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5DDB37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124CD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Edit &amp; duplicate quizzes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1B29A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Existing quizzes can be edited or duplicated as a starting point for new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19B913"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98CD72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39CFF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Auto-save during creation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EC1D2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content is saved automatically while an administrator is authoring 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276CFB"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8621A8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26409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Draft recovery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88C9D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In-progress drafts can be recovered rather than lost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B3B637"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2B782D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A13A0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Versioning of quiz content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3C488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Changes to quiz content are versioned over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B84EE5"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4522DE79" w14:textId="77777777" w:rsidR="00917CFD" w:rsidRDefault="00917CFD">
      <w:pPr>
        <w:pStyle w:val="Heading2"/>
        <w:rPr>
          <w:rFonts w:ascii="Segoe UI" w:eastAsia="Times New Roman" w:hAnsi="Segoe UI" w:cs="Segoe UI"/>
          <w:lang w:val="en"/>
        </w:rPr>
      </w:pPr>
      <w:bookmarkStart w:id="15" w:name="_Toc235442943"/>
      <w:r>
        <w:rPr>
          <w:rFonts w:ascii="Segoe UI" w:eastAsia="Times New Roman" w:hAnsi="Segoe UI" w:cs="Segoe UI"/>
          <w:lang w:val="en"/>
        </w:rPr>
        <w:t>13.2 Live Hosting &amp; Participation</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2379"/>
        <w:gridCol w:w="6226"/>
        <w:gridCol w:w="1014"/>
      </w:tblGrid>
      <w:tr w:rsidR="00000000" w14:paraId="19068F2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5BDB187"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95085A0"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1230F15"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5C48411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AF25B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hosting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47713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 a quiz as a live, timed session for a group of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CF359A"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902A5D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F5072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QR-code joining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1F9B0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a session by scanning a QR code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8A9F01"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255CF8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A0A64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Direct-link joining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170F9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via a direct shareable link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BCDC21"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84F876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0668D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Game code / session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F01BC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join by entering a short session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6672D0"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06DE8D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096AB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participant joining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4F6CC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appear in the host's lobby as they join, in real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0C217F"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9394BC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8B5D7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answer submission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8EAA9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answers are submitted and processed in real time via WebSocket connection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33AB24"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3C7F14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1D315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leaderboard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FAAFD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live leaderboard updates as answers are scored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38D81F"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63EE22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7F3C3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357ED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 updates live throughout the session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4EEF4B"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907178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766D5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Top-three winners podium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4EBDB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podium view highlights the top three participants at session close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D1C889"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64D65B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1F1F4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00340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Complete ranking of all participants, not only the top three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D8915C"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A4E65E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43070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Automatic reconnection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71553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who lose network connectivity mid-session are automatically reconnected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DEBEE6"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6CA93646" w14:textId="77777777" w:rsidR="00917CFD" w:rsidRDefault="00917CFD">
      <w:pPr>
        <w:pStyle w:val="Heading2"/>
        <w:rPr>
          <w:rFonts w:ascii="Segoe UI" w:eastAsia="Times New Roman" w:hAnsi="Segoe UI" w:cs="Segoe UI"/>
          <w:lang w:val="en"/>
        </w:rPr>
      </w:pPr>
      <w:bookmarkStart w:id="16" w:name="_Toc235442944"/>
      <w:r>
        <w:rPr>
          <w:rFonts w:ascii="Segoe UI" w:eastAsia="Times New Roman" w:hAnsi="Segoe UI" w:cs="Segoe UI"/>
          <w:lang w:val="en"/>
        </w:rPr>
        <w:t>13.3 Branding &amp; Experience</w:t>
      </w:r>
      <w:bookmarkEnd w:id="16"/>
    </w:p>
    <w:tbl>
      <w:tblPr>
        <w:tblW w:w="5000" w:type="pct"/>
        <w:tblCellMar>
          <w:top w:w="15" w:type="dxa"/>
          <w:left w:w="15" w:type="dxa"/>
          <w:bottom w:w="15" w:type="dxa"/>
          <w:right w:w="15" w:type="dxa"/>
        </w:tblCellMar>
        <w:tblLook w:val="04A0" w:firstRow="1" w:lastRow="0" w:firstColumn="1" w:lastColumn="0" w:noHBand="0" w:noVBand="1"/>
      </w:tblPr>
      <w:tblGrid>
        <w:gridCol w:w="2200"/>
        <w:gridCol w:w="6401"/>
        <w:gridCol w:w="1018"/>
      </w:tblGrid>
      <w:tr w:rsidR="00000000" w14:paraId="377C276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293FAF7"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20F9FFB"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C79609C"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29415C1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004F0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themes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E439E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Visual themes can be selected or configured per organization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8EFB0A"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C6B5E0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77A83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backgrounds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7C299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background imagery for quizzes and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54F5ED"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A321BF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03706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branding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FC50C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Per-tenant branding, including logo and color customization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B39398"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C37044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6896C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UI text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6DDA7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Interface text can be adapted per organization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61DBB9"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81BF10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ACCB5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 &amp; English interface with full RTL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02EDB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Complete bilingual interface with full right-to-left layout support for Arabic — positioned as a core enterprise bilingual capability, not an add-on translation layer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65E556"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38CF03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F9884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Additional languages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ED1E1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for interface languages beyond Arabic and English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A881EC"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10E8FBCD" w14:textId="77777777" w:rsidR="00917CFD" w:rsidRDefault="00917CFD">
      <w:pPr>
        <w:pStyle w:val="Heading2"/>
        <w:rPr>
          <w:rFonts w:ascii="Segoe UI" w:eastAsia="Times New Roman" w:hAnsi="Segoe UI" w:cs="Segoe UI"/>
          <w:lang w:val="en"/>
        </w:rPr>
      </w:pPr>
      <w:bookmarkStart w:id="17" w:name="_Toc235442945"/>
      <w:r>
        <w:rPr>
          <w:rFonts w:ascii="Segoe UI" w:eastAsia="Times New Roman" w:hAnsi="Segoe UI" w:cs="Segoe UI"/>
          <w:lang w:val="en"/>
        </w:rPr>
        <w:t>13.4 Reporting &amp; Analytics</w:t>
      </w:r>
      <w:bookmarkEnd w:id="17"/>
    </w:p>
    <w:tbl>
      <w:tblPr>
        <w:tblW w:w="5000" w:type="pct"/>
        <w:tblCellMar>
          <w:top w:w="15" w:type="dxa"/>
          <w:left w:w="15" w:type="dxa"/>
          <w:bottom w:w="15" w:type="dxa"/>
          <w:right w:w="15" w:type="dxa"/>
        </w:tblCellMar>
        <w:tblLook w:val="04A0" w:firstRow="1" w:lastRow="0" w:firstColumn="1" w:lastColumn="0" w:noHBand="0" w:noVBand="1"/>
      </w:tblPr>
      <w:tblGrid>
        <w:gridCol w:w="2581"/>
        <w:gridCol w:w="5154"/>
        <w:gridCol w:w="1884"/>
      </w:tblGrid>
      <w:tr w:rsidR="00000000" w14:paraId="2741339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5109E52"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9968820"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EF139C0"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17A0F49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662F6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result summary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36728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results at quiz and session level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D50155"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F54685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D529F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B7B70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Ranked results per 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F580A1"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F3A10B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33D93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 performers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21571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Identification of top-performing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160E94"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57F23C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A02B3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Correct/incorrect answer analysis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A7156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Breakdown of correct versus incorrect responses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EC04C0"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F5715E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8C3DA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difficulty analysis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26A1B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Analysis of question-level difficulty based on response patterns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15AB3E"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BB7596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EF46F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Participant completion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82065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who completed a session and who did not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39E949"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24DBDB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EDB3F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1EB62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rolled up by department or organizational unit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3E7CFC"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B066A8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73099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43BAF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to results and reports from past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68C97D"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29016F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314D4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Session comparison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6F6CC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Comparison of results across multiple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ACADB0"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713B0B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CE26B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B0600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PDF format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5F9CEC"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766032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6E87E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Excel &amp; 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5FE68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Excel and CSV formats, with Arabic and English report headers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1BCBCB"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6466B2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9422A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dashboard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0108B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Consolidated dashboard view for management-level oversight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B88EAD"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C53289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8964A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insights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E717F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8F022C" w14:textId="77777777" w:rsidR="00917CFD" w:rsidRDefault="00917CFD">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5D4974E2" w14:textId="77777777" w:rsidR="00917CFD" w:rsidRDefault="00917CFD">
      <w:pPr>
        <w:pStyle w:val="Heading2"/>
        <w:rPr>
          <w:rFonts w:ascii="Segoe UI" w:eastAsia="Times New Roman" w:hAnsi="Segoe UI" w:cs="Segoe UI"/>
          <w:lang w:val="en"/>
        </w:rPr>
      </w:pPr>
      <w:bookmarkStart w:id="18" w:name="_Toc235442946"/>
      <w:r>
        <w:rPr>
          <w:rFonts w:ascii="Segoe UI" w:eastAsia="Times New Roman" w:hAnsi="Segoe UI" w:cs="Segoe UI"/>
          <w:lang w:val="en"/>
        </w:rPr>
        <w:t>13.5 Administration &amp; Governance</w:t>
      </w:r>
      <w:bookmarkEnd w:id="18"/>
    </w:p>
    <w:tbl>
      <w:tblPr>
        <w:tblW w:w="5000" w:type="pct"/>
        <w:tblCellMar>
          <w:top w:w="15" w:type="dxa"/>
          <w:left w:w="15" w:type="dxa"/>
          <w:bottom w:w="15" w:type="dxa"/>
          <w:right w:w="15" w:type="dxa"/>
        </w:tblCellMar>
        <w:tblLook w:val="04A0" w:firstRow="1" w:lastRow="0" w:firstColumn="1" w:lastColumn="0" w:noHBand="0" w:noVBand="1"/>
      </w:tblPr>
      <w:tblGrid>
        <w:gridCol w:w="2929"/>
        <w:gridCol w:w="5672"/>
        <w:gridCol w:w="1018"/>
      </w:tblGrid>
      <w:tr w:rsidR="00000000" w14:paraId="7DC73E5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615F33E"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3217600"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5B8CE17"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16B27E0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B0793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Administrative dashboard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26D72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Central dashboard for platform and content administration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19828F"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D1E7A2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9A3A8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user accounts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C3E7F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accounts scoped to the organization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A5EA69"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4E5F29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4163B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9A4D4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and permissions governed by role-based access control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9262D2"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8B3B68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97B48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departments/organizations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F5E26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Multi-tenant support for multiple departments or organizations on one platform, each with isolated data</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FA91AE"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81C4EB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6E055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Multiple administrators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CF286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for more than one administrator per organization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4DDCCB"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5BCB08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0546D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Audit logs of administrative actions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7C213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Administrative actions are recorded in an audit log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12225B"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807A48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CD497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User activity/login visibility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874D7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user activity and login events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B2B648"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67312C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40782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session history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4D922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record of quiz sessions run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EBFDC5"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DB9E76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A36C0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Soft-delete with archive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7504D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Deleted content is archived rather than permanently removed, supporting recovery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469473"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544A6C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EF3C5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Notification options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EB0BA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Configurable notifications for administrators and/or participants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2BFAE2"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35BF626F" w14:textId="77777777" w:rsidR="00917CFD" w:rsidRDefault="00917CFD">
      <w:pPr>
        <w:pStyle w:val="Heading2"/>
        <w:rPr>
          <w:rFonts w:ascii="Segoe UI" w:eastAsia="Times New Roman" w:hAnsi="Segoe UI" w:cs="Segoe UI"/>
          <w:lang w:val="en"/>
        </w:rPr>
      </w:pPr>
      <w:bookmarkStart w:id="19" w:name="_Toc235442947"/>
      <w:r>
        <w:rPr>
          <w:rFonts w:ascii="Segoe UI" w:eastAsia="Times New Roman" w:hAnsi="Segoe UI" w:cs="Segoe UI"/>
          <w:lang w:val="en"/>
        </w:rPr>
        <w:t>13.6 AI Capabilities</w:t>
      </w:r>
      <w:bookmarkEnd w:id="19"/>
    </w:p>
    <w:tbl>
      <w:tblPr>
        <w:tblW w:w="5000" w:type="pct"/>
        <w:tblCellMar>
          <w:top w:w="15" w:type="dxa"/>
          <w:left w:w="15" w:type="dxa"/>
          <w:bottom w:w="15" w:type="dxa"/>
          <w:right w:w="15" w:type="dxa"/>
        </w:tblCellMar>
        <w:tblLook w:val="04A0" w:firstRow="1" w:lastRow="0" w:firstColumn="1" w:lastColumn="0" w:noHBand="0" w:noVBand="1"/>
      </w:tblPr>
      <w:tblGrid>
        <w:gridCol w:w="1649"/>
        <w:gridCol w:w="6929"/>
        <w:gridCol w:w="1041"/>
      </w:tblGrid>
      <w:tr w:rsidR="00000000" w14:paraId="67B5441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A300801"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FAFD35F"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74CC884"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6B264A6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024C3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content generation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33EC9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 quizzes from a topic, an uploaded PDF or Word document, a URL, or pasted text, with administrator review before use. The full classification of current, optional, and future AI capabilities is set out in Section 14 (AI Capabilities)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07752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See Section 14</w:t>
            </w:r>
          </w:p>
        </w:tc>
      </w:tr>
    </w:tbl>
    <w:p w14:paraId="37007D0D" w14:textId="77777777" w:rsidR="00917CFD" w:rsidRDefault="00917CFD">
      <w:pPr>
        <w:pStyle w:val="Heading1"/>
        <w:rPr>
          <w:rFonts w:ascii="Segoe UI" w:eastAsia="Times New Roman" w:hAnsi="Segoe UI" w:cs="Segoe UI"/>
          <w:lang w:val="en"/>
        </w:rPr>
      </w:pPr>
      <w:bookmarkStart w:id="20" w:name="_Toc235442948"/>
      <w:r>
        <w:rPr>
          <w:rFonts w:ascii="Segoe UI" w:eastAsia="Times New Roman" w:hAnsi="Segoe UI" w:cs="Segoe UI"/>
          <w:lang w:val="en"/>
        </w:rPr>
        <w:t>14. AI Capabilities</w:t>
      </w:r>
      <w:bookmarkEnd w:id="20"/>
    </w:p>
    <w:p w14:paraId="28CA217C"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includes AI-assisted content generation as a core, already-implemented capability, alongside a further set of AI features that are available as optional, separately scoped additions, and a set of AI-driven reporting capabilities that sit on our future roadmap. This section sets out the distinction clearly,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see exactly what is included today, what can be added, and what is planned for the future.</w:t>
      </w:r>
    </w:p>
    <w:p w14:paraId="6D7349A4" w14:textId="77777777" w:rsidR="00917CFD" w:rsidRDefault="00917CFD">
      <w:pPr>
        <w:pStyle w:val="Heading2"/>
        <w:rPr>
          <w:rFonts w:ascii="Segoe UI" w:eastAsia="Times New Roman" w:hAnsi="Segoe UI" w:cs="Segoe UI"/>
          <w:lang w:val="en"/>
        </w:rPr>
      </w:pPr>
      <w:bookmarkStart w:id="21" w:name="_Toc235442949"/>
      <w:r>
        <w:rPr>
          <w:rFonts w:ascii="Segoe UI" w:eastAsia="Times New Roman" w:hAnsi="Segoe UI" w:cs="Segoe UI"/>
          <w:lang w:val="en"/>
        </w:rPr>
        <w:t>14.1 Current Capabilities (Included)</w:t>
      </w:r>
      <w:bookmarkEnd w:id="21"/>
    </w:p>
    <w:tbl>
      <w:tblPr>
        <w:tblW w:w="5000" w:type="pct"/>
        <w:tblCellMar>
          <w:top w:w="15" w:type="dxa"/>
          <w:left w:w="15" w:type="dxa"/>
          <w:bottom w:w="15" w:type="dxa"/>
          <w:right w:w="15" w:type="dxa"/>
        </w:tblCellMar>
        <w:tblLook w:val="04A0" w:firstRow="1" w:lastRow="0" w:firstColumn="1" w:lastColumn="0" w:noHBand="0" w:noVBand="1"/>
      </w:tblPr>
      <w:tblGrid>
        <w:gridCol w:w="2526"/>
        <w:gridCol w:w="6079"/>
        <w:gridCol w:w="1014"/>
      </w:tblGrid>
      <w:tr w:rsidR="00000000" w14:paraId="3B008A2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ADD103C"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DC4D126"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2986250"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6B38EFA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C0D40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 topic or title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92226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complete quiz, including questions and answer choices, is generated from a short topic or title prompt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3E7C73"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274B07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4E325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an uploaded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EDB2E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the content of an uploaded PDF document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F63C51"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6CA431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A2363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an uploaded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066C3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the content of an uploaded Word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71DA23"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1662DB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7B883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Quiz generation from a URL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248F4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from the content of a supplied URL or webpage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9A4C1A"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B3FB3F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F51FD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generation from pasted text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D2A0A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Questions are generated directly from text pasted into the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6A90BE"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32F004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E72C7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AI-assigned difficulty levels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A1E47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Generated questions are automatically assigned a suggested difficulty level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C68026"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A7ECB9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299E4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answer explanations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A9A30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Generated questions include a suggested explanation for the correct answer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E0D602"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2F9B00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5636E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review before use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858E6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All AI-generated content is presented to an administrator for review and editing before it is used in a live session or published to a question bank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B47502"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bl>
    <w:p w14:paraId="1FE308BC" w14:textId="77777777" w:rsidR="00917CFD" w:rsidRDefault="00917CFD">
      <w:pPr>
        <w:pStyle w:val="Heading2"/>
        <w:rPr>
          <w:rFonts w:ascii="Segoe UI" w:eastAsia="Times New Roman" w:hAnsi="Segoe UI" w:cs="Segoe UI"/>
          <w:lang w:val="en"/>
        </w:rPr>
      </w:pPr>
      <w:bookmarkStart w:id="22" w:name="_Toc235442950"/>
      <w:r>
        <w:rPr>
          <w:rFonts w:ascii="Segoe UI" w:eastAsia="Times New Roman" w:hAnsi="Segoe UI" w:cs="Segoe UI"/>
          <w:lang w:val="en"/>
        </w:rPr>
        <w:t>14.2 Optional Capabilities (Scoped per Engagement)</w:t>
      </w:r>
      <w:bookmarkEnd w:id="22"/>
    </w:p>
    <w:p w14:paraId="63D2E85D"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 following AI capabilities are not part of the current platform but can be added as a separately scoped engagement.</w:t>
      </w:r>
    </w:p>
    <w:tbl>
      <w:tblPr>
        <w:tblW w:w="5000" w:type="pct"/>
        <w:tblCellMar>
          <w:top w:w="15" w:type="dxa"/>
          <w:left w:w="15" w:type="dxa"/>
          <w:bottom w:w="15" w:type="dxa"/>
          <w:right w:w="15" w:type="dxa"/>
        </w:tblCellMar>
        <w:tblLook w:val="04A0" w:firstRow="1" w:lastRow="0" w:firstColumn="1" w:lastColumn="0" w:noHBand="0" w:noVBand="1"/>
      </w:tblPr>
      <w:tblGrid>
        <w:gridCol w:w="2665"/>
        <w:gridCol w:w="5936"/>
        <w:gridCol w:w="1018"/>
      </w:tblGrid>
      <w:tr w:rsidR="00000000" w14:paraId="1CD806D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D293059"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03083C7"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03C1AAD"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16A95D0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8BFF9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question suggestions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D9FC2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AI-suggested questions offered while an administrator authors a quiz manually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AB675E"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0D4A193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620A1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answer suggestions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29F19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AI-suggested answer choices for a manually authored question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252004"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6A13B21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B60BB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question rewriting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EBBF1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rewriting of existing question text for clarity or tone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0FF415"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8A618B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A38B0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difficulty re-adjustment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1A26C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review and re-adjustment of difficulty levels across an existing question bank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4E447C"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286DB4D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0E41B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quiz backgrounds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FC46F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background imagery for quizzes and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3BA675"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488728A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BF69E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themes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4DCB6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visual themes for the platform interface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81397D"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42EC7A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3084D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result summaries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65CA1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narrative summary of a single session's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075402"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61AD9C2B" w14:textId="77777777" w:rsidR="00917CFD" w:rsidRDefault="00917CFD">
      <w:pPr>
        <w:pStyle w:val="Heading2"/>
        <w:rPr>
          <w:rFonts w:ascii="Segoe UI" w:eastAsia="Times New Roman" w:hAnsi="Segoe UI" w:cs="Segoe UI"/>
          <w:lang w:val="en"/>
        </w:rPr>
      </w:pPr>
      <w:bookmarkStart w:id="23" w:name="_Toc235442951"/>
      <w:r>
        <w:rPr>
          <w:rFonts w:ascii="Segoe UI" w:eastAsia="Times New Roman" w:hAnsi="Segoe UI" w:cs="Segoe UI"/>
          <w:lang w:val="en"/>
        </w:rPr>
        <w:lastRenderedPageBreak/>
        <w:t>14.3 Future Roadmap</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842"/>
        <w:gridCol w:w="4920"/>
        <w:gridCol w:w="1857"/>
      </w:tblGrid>
      <w:tr w:rsidR="00000000" w14:paraId="4C5DC0F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C4D034C"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184671C"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F745140"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214A9DF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BFBC5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AI-assisted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A9007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and trend analysis across historical session data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83AB2C" w14:textId="77777777" w:rsidR="00917CFD" w:rsidRDefault="00917CFD">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r w:rsidR="00000000" w14:paraId="224CA98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99C9B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management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DB6C6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summary reports intended for management-level review</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DABB35" w14:textId="77777777" w:rsidR="00917CFD" w:rsidRDefault="00917CFD">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7210B8F8" w14:textId="77777777" w:rsidR="00917CFD" w:rsidRDefault="00917CFD">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AI features are delivered using a commercial large-language-model API; usage allowances, and any associated API costs, are defined in the applicable commercial model (see Section 33). Cloud-based AI generation requires internet connectivity. A private, on-premises AI deployment is a future roadmap option that would depend on separate, dedicated infrastructure and is not part of the current platform. As with any AI-generated content,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should review AI-generated quizzes, questions, and summaries before they are used in a live or published context.</w:t>
      </w:r>
    </w:p>
    <w:p w14:paraId="0694F7E3" w14:textId="77777777" w:rsidR="00917CFD" w:rsidRDefault="00917CFD">
      <w:pPr>
        <w:pStyle w:val="Heading1"/>
        <w:rPr>
          <w:rFonts w:ascii="Segoe UI" w:eastAsia="Times New Roman" w:hAnsi="Segoe UI" w:cs="Segoe UI"/>
          <w:lang w:val="en"/>
        </w:rPr>
      </w:pPr>
      <w:bookmarkStart w:id="24" w:name="_Toc235442952"/>
      <w:r>
        <w:rPr>
          <w:rFonts w:ascii="Segoe UI" w:eastAsia="Times New Roman" w:hAnsi="Segoe UI" w:cs="Segoe UI"/>
          <w:lang w:val="en"/>
        </w:rPr>
        <w:t>15. User Roles</w:t>
      </w:r>
      <w:bookmarkEnd w:id="24"/>
    </w:p>
    <w:p w14:paraId="1BF66143"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platform's role-based access model is designed to reflect how a large organization actually assigns administrative and operational responsibility, rather than offering a single flat administrator account.</w:t>
      </w:r>
    </w:p>
    <w:tbl>
      <w:tblPr>
        <w:tblW w:w="5000" w:type="pct"/>
        <w:tblCellMar>
          <w:top w:w="15" w:type="dxa"/>
          <w:left w:w="15" w:type="dxa"/>
          <w:bottom w:w="15" w:type="dxa"/>
          <w:right w:w="15" w:type="dxa"/>
        </w:tblCellMar>
        <w:tblLook w:val="04A0" w:firstRow="1" w:lastRow="0" w:firstColumn="1" w:lastColumn="0" w:noHBand="0" w:noVBand="1"/>
      </w:tblPr>
      <w:tblGrid>
        <w:gridCol w:w="2735"/>
        <w:gridCol w:w="6884"/>
      </w:tblGrid>
      <w:tr w:rsidR="00000000" w14:paraId="6A12D27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5FDF7BE"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B161AE7"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w:t>
            </w:r>
          </w:p>
        </w:tc>
      </w:tr>
      <w:tr w:rsidR="00000000" w14:paraId="705BED7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20915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Super Administrator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75AC3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Full platform administration across all organizations and departments</w:t>
            </w:r>
          </w:p>
        </w:tc>
      </w:tr>
      <w:tr w:rsidR="00000000" w14:paraId="6FCC6C4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B2501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 Administrator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B661A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Manages a single organization, including its users, branding, and content</w:t>
            </w:r>
          </w:p>
        </w:tc>
      </w:tr>
      <w:tr w:rsidR="00000000" w14:paraId="381EFB8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63A7C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 Administrator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277E2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Manages a department's content and users within an organization</w:t>
            </w:r>
          </w:p>
        </w:tc>
      </w:tr>
      <w:tr w:rsidR="00000000" w14:paraId="200DC2D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A52D3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Creator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C4340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Authors quizzes and question banks</w:t>
            </w:r>
          </w:p>
        </w:tc>
      </w:tr>
      <w:tr w:rsidR="00000000" w14:paraId="13CE9FE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F8B66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7B6B4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Runs training-oriented sessions</w:t>
            </w:r>
          </w:p>
        </w:tc>
      </w:tr>
      <w:tr w:rsidR="00000000" w14:paraId="37356C2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D8AA4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09EF7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Runs live sessions</w:t>
            </w:r>
          </w:p>
        </w:tc>
      </w:tr>
      <w:tr w:rsidR="00000000" w14:paraId="3BEA8F6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82AA3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Viewer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C8297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Views results</w:t>
            </w:r>
          </w:p>
        </w:tc>
      </w:tr>
      <w:tr w:rsidR="00000000" w14:paraId="1E353E8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8BEA2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A20F6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Joins and answers in a live session — no account required</w:t>
            </w:r>
          </w:p>
        </w:tc>
      </w:tr>
      <w:tr w:rsidR="00000000" w14:paraId="0FF03D1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AC9AA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Auditor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B6192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access to audit and activity logs</w:t>
            </w:r>
          </w:p>
        </w:tc>
      </w:tr>
      <w:tr w:rsidR="00000000" w14:paraId="65C96E3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649D9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User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FE2B2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Read-only access to dashboards and reports</w:t>
            </w:r>
          </w:p>
        </w:tc>
      </w:tr>
    </w:tbl>
    <w:p w14:paraId="7B9572DD" w14:textId="77777777" w:rsidR="00917CFD" w:rsidRDefault="00917CFD">
      <w:pPr>
        <w:pStyle w:val="muted"/>
        <w:spacing w:before="120" w:beforeAutospacing="0" w:after="120" w:afterAutospacing="0"/>
        <w:rPr>
          <w:rFonts w:ascii="Segoe UI" w:hAnsi="Segoe UI" w:cs="Segoe UI"/>
          <w:lang w:val="en"/>
        </w:rPr>
      </w:pPr>
      <w:r>
        <w:rPr>
          <w:rFonts w:ascii="Segoe UI" w:hAnsi="Segoe UI" w:cs="Segoe UI"/>
          <w:lang w:val="en"/>
        </w:rPr>
        <w:t xml:space="preserve">The final role model applied for </w:t>
      </w:r>
      <w:r>
        <w:rPr>
          <w:rStyle w:val="Strong"/>
          <w:rFonts w:ascii="Segoe UI" w:hAnsi="Segoe UI" w:cs="Segoe UI"/>
          <w:lang w:val="en"/>
        </w:rPr>
        <w:t>[Client Name]</w:t>
      </w:r>
      <w:r>
        <w:rPr>
          <w:rFonts w:ascii="Segoe UI" w:hAnsi="Segoe UI" w:cs="Segoe UI"/>
          <w:lang w:val="en"/>
        </w:rPr>
        <w:t xml:space="preserve"> is configured during discovery, and can be mapped to the client's own directory groups where a single sign-on integration is included in scope (see Section 23).</w:t>
      </w:r>
    </w:p>
    <w:p w14:paraId="2F648E68" w14:textId="77777777" w:rsidR="00917CFD" w:rsidRDefault="00917CFD">
      <w:pPr>
        <w:pStyle w:val="Heading1"/>
        <w:rPr>
          <w:rFonts w:ascii="Segoe UI" w:eastAsia="Times New Roman" w:hAnsi="Segoe UI" w:cs="Segoe UI"/>
          <w:lang w:val="en"/>
        </w:rPr>
      </w:pPr>
      <w:bookmarkStart w:id="25" w:name="_Toc235442953"/>
      <w:r>
        <w:rPr>
          <w:rFonts w:ascii="Segoe UI" w:eastAsia="Times New Roman" w:hAnsi="Segoe UI" w:cs="Segoe UI"/>
          <w:lang w:val="en"/>
        </w:rPr>
        <w:t>16. Reporting and Analytics</w:t>
      </w:r>
      <w:bookmarkEnd w:id="25"/>
    </w:p>
    <w:p w14:paraId="3FB80B04"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 platform's reporting and analytics capabilities give administrators and management visibility into participation, performance, and engagement, both at the level of a single session and across the organization's session history over time.</w:t>
      </w:r>
    </w:p>
    <w:tbl>
      <w:tblPr>
        <w:tblW w:w="5000" w:type="pct"/>
        <w:tblCellMar>
          <w:top w:w="15" w:type="dxa"/>
          <w:left w:w="15" w:type="dxa"/>
          <w:bottom w:w="15" w:type="dxa"/>
          <w:right w:w="15" w:type="dxa"/>
        </w:tblCellMar>
        <w:tblLook w:val="04A0" w:firstRow="1" w:lastRow="0" w:firstColumn="1" w:lastColumn="0" w:noHBand="0" w:noVBand="1"/>
      </w:tblPr>
      <w:tblGrid>
        <w:gridCol w:w="2783"/>
        <w:gridCol w:w="4856"/>
        <w:gridCol w:w="1980"/>
      </w:tblGrid>
      <w:tr w:rsidR="00000000" w14:paraId="7870711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28B6D20"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Capability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9E621D8"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CAD1E4E"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3178EAA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AEBE7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 result summary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CDD00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results at quiz and session level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B316A7"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8908E9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CE9DF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ranking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8E3D3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Ranked results per participant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CFE4FD"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ACAAF4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BBC23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Top performers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15FBF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Identification of top-performing participants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6FF9B0"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0EE4F3C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B3F91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Correct/incorrect answer analysis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66975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Breakdown of correct versus incorrect responses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C94EE8"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41B3EE8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67BB9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Question difficulty analysis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940AC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Analysis of question-level difficulty based on response patterns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6DA732"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89A7DD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D3525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 completion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0AB98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Visibility into who completed a session and who did not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7B8B44"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8B5287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DAFF5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Department-level reporting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82A31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rolled up by department or organizational unit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B6A3C2"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165C74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DF032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Historical reports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899EE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Access to results and reports from past sessions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A2D22C"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4F5426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9B2B8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Session comparison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E215D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Comparison of results across multiple sessions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6BADBE"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E60433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01C80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 to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63A77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PDF format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1D0BF3"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F964D5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FE877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Export to Excel &amp; 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9ECF6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 export in Excel and CSV formats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872B55"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6B14D3A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211CE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Management dashboard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5F9DA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Consolidated dashboard view for management-level oversight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2F8BD8"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166F7AC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07B29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insights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5A078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AI-generated narrative insights over historical results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DF3E8D" w14:textId="77777777" w:rsidR="00917CFD" w:rsidRDefault="00917CFD">
            <w:pPr>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Pr>
              <w:t>Future enhancement</w:t>
            </w:r>
          </w:p>
        </w:tc>
      </w:tr>
    </w:tbl>
    <w:p w14:paraId="4DC59F59"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All PDF, Excel, and CSV exports are compliance-ready: report headers are rendered in both Arabic and English, so that reports generated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be shared and archived internally without additional reformatting, regardless of which language the reviewing team works in.</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0CB03CC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7EF39F" w14:textId="77777777" w:rsidR="00917CFD" w:rsidRDefault="00917CFD">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THREE</w:t>
            </w:r>
          </w:p>
          <w:p w14:paraId="6E54EFE1" w14:textId="77777777" w:rsidR="00917CFD" w:rsidRDefault="00917CFD">
            <w:pPr>
              <w:pStyle w:val="NormalWeb"/>
              <w:rPr>
                <w:rFonts w:ascii="Segoe UI" w:hAnsi="Segoe UI" w:cs="Segoe UI"/>
                <w:b/>
                <w:bCs/>
                <w:color w:val="FFFFFF"/>
                <w:sz w:val="44"/>
                <w:szCs w:val="44"/>
              </w:rPr>
            </w:pPr>
            <w:r>
              <w:rPr>
                <w:rFonts w:ascii="Segoe UI" w:hAnsi="Segoe UI" w:cs="Segoe UI"/>
                <w:b/>
                <w:bCs/>
                <w:color w:val="FFFFFF"/>
                <w:sz w:val="44"/>
                <w:szCs w:val="44"/>
              </w:rPr>
              <w:t>Technical Architecture</w:t>
            </w:r>
          </w:p>
          <w:p w14:paraId="4B8371C4" w14:textId="77777777" w:rsidR="00917CFD" w:rsidRDefault="00917CFD">
            <w:pPr>
              <w:pStyle w:val="NormalWeb"/>
              <w:rPr>
                <w:rFonts w:ascii="Segoe UI" w:hAnsi="Segoe UI" w:cs="Segoe UI"/>
                <w:color w:val="1F2933"/>
              </w:rPr>
            </w:pPr>
            <w:r>
              <w:rPr>
                <w:rFonts w:ascii="Segoe UI" w:hAnsi="Segoe UI" w:cs="Segoe UI"/>
                <w:color w:val="1F2933"/>
              </w:rPr>
              <w:t>How the platform is built, deployed, and secured</w:t>
            </w:r>
          </w:p>
        </w:tc>
      </w:tr>
    </w:tbl>
    <w:p w14:paraId="601775B4" w14:textId="77777777" w:rsidR="00917CFD" w:rsidRDefault="00917CFD">
      <w:pPr>
        <w:pStyle w:val="Heading1"/>
        <w:pageBreakBefore/>
        <w:rPr>
          <w:rFonts w:ascii="Segoe UI" w:eastAsia="Times New Roman" w:hAnsi="Segoe UI" w:cs="Segoe UI"/>
          <w:lang w:val="en"/>
        </w:rPr>
      </w:pPr>
      <w:bookmarkStart w:id="26" w:name="_Toc235442954"/>
      <w:r>
        <w:rPr>
          <w:rFonts w:ascii="Segoe UI" w:eastAsia="Times New Roman" w:hAnsi="Segoe UI" w:cs="Segoe UI"/>
          <w:lang w:val="en"/>
        </w:rPr>
        <w:lastRenderedPageBreak/>
        <w:t>17. Technical Architecture</w:t>
      </w:r>
      <w:bookmarkEnd w:id="26"/>
    </w:p>
    <w:p w14:paraId="7F0B6011"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 Live Quiz Platform is built on a modern, well-established web application stack, selected for reliability, security, and the ability to run in cloud, on-premises, or hybrid environments without architectural rework.</w:t>
      </w:r>
    </w:p>
    <w:p w14:paraId="727158AB" w14:textId="77777777" w:rsidR="00917CFD" w:rsidRDefault="00917CFD">
      <w:pPr>
        <w:pStyle w:val="Heading2"/>
        <w:rPr>
          <w:rFonts w:ascii="Segoe UI" w:eastAsia="Times New Roman" w:hAnsi="Segoe UI" w:cs="Segoe UI"/>
          <w:lang w:val="en"/>
        </w:rPr>
      </w:pPr>
      <w:bookmarkStart w:id="27" w:name="_Toc235442955"/>
      <w:r>
        <w:rPr>
          <w:rFonts w:ascii="Segoe UI" w:eastAsia="Times New Roman" w:hAnsi="Segoe UI" w:cs="Segoe UI"/>
          <w:lang w:val="en"/>
        </w:rPr>
        <w:t>17.1 Technology Stack</w:t>
      </w:r>
      <w:bookmarkEnd w:id="27"/>
    </w:p>
    <w:tbl>
      <w:tblPr>
        <w:tblW w:w="5000" w:type="pct"/>
        <w:tblCellMar>
          <w:top w:w="15" w:type="dxa"/>
          <w:left w:w="15" w:type="dxa"/>
          <w:bottom w:w="15" w:type="dxa"/>
          <w:right w:w="15" w:type="dxa"/>
        </w:tblCellMar>
        <w:tblLook w:val="04A0" w:firstRow="1" w:lastRow="0" w:firstColumn="1" w:lastColumn="0" w:noHBand="0" w:noVBand="1"/>
      </w:tblPr>
      <w:tblGrid>
        <w:gridCol w:w="1483"/>
        <w:gridCol w:w="2206"/>
        <w:gridCol w:w="5930"/>
      </w:tblGrid>
      <w:tr w:rsidR="00000000" w14:paraId="2532043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16398ED"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Layer</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4EE78DD"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Technology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B9F9C0A"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Notes</w:t>
            </w:r>
          </w:p>
        </w:tc>
      </w:tr>
      <w:tr w:rsidR="00000000" w14:paraId="7150283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D7E6D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Frontend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BF25B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React (single-page application)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178B8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Also deployable with Next.js where required by the client's environment</w:t>
            </w:r>
          </w:p>
        </w:tc>
      </w:tr>
      <w:tr w:rsidR="00000000" w14:paraId="654A74D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23709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Backend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A41E8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Node.js with Express.js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335B8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Exposes a REST API consumed by the frontend</w:t>
            </w:r>
          </w:p>
        </w:tc>
      </w:tr>
      <w:tr w:rsidR="00000000" w14:paraId="33015A2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7194F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Authentication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6C329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Token/session-based authentication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DE0F6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JWT or an equivalent secure token-based system</w:t>
            </w:r>
          </w:p>
        </w:tc>
      </w:tr>
      <w:tr w:rsidR="00000000" w14:paraId="6C50509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ED4AE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60A3D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PostgreSQL (recommended)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795F7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Enterprise database with row-level, per-organization data isolation; MongoDB may be considered depending on the final architecture agreed with </w:t>
            </w:r>
            <w:r>
              <w:rPr>
                <w:rStyle w:val="Strong"/>
                <w:rFonts w:ascii="Segoe UI" w:eastAsia="Times New Roman" w:hAnsi="Segoe UI" w:cs="Segoe UI"/>
                <w:color w:val="1F2933"/>
                <w:sz w:val="19"/>
                <w:szCs w:val="19"/>
              </w:rPr>
              <w:t>[Client Name]</w:t>
            </w:r>
          </w:p>
        </w:tc>
      </w:tr>
      <w:tr w:rsidR="00000000" w14:paraId="452F3E7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2F999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Real-time layer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23809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08A85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Used for participant joining, live answers, and leaderboard updates; timing and scoring are server-authoritative</w:t>
            </w:r>
          </w:p>
        </w:tc>
      </w:tr>
      <w:tr w:rsidR="00000000" w14:paraId="070DD9E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7C36D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Hosting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51C21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 on-premises, or hybrid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906F6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See Section 19 for the full comparison of deployment options</w:t>
            </w:r>
          </w:p>
        </w:tc>
      </w:tr>
    </w:tbl>
    <w:p w14:paraId="396CF132" w14:textId="77777777" w:rsidR="00917CFD" w:rsidRDefault="00917CFD">
      <w:pPr>
        <w:pStyle w:val="Heading2"/>
        <w:rPr>
          <w:rFonts w:ascii="Segoe UI" w:eastAsia="Times New Roman" w:hAnsi="Segoe UI" w:cs="Segoe UI"/>
          <w:lang w:val="en"/>
        </w:rPr>
      </w:pPr>
      <w:bookmarkStart w:id="28" w:name="_Toc235442956"/>
      <w:r>
        <w:rPr>
          <w:rFonts w:ascii="Segoe UI" w:eastAsia="Times New Roman" w:hAnsi="Segoe UI" w:cs="Segoe UI"/>
          <w:lang w:val="en"/>
        </w:rPr>
        <w:t>17.2 Architecture Diagram</w:t>
      </w:r>
      <w:bookmarkEnd w:id="28"/>
    </w:p>
    <w:p w14:paraId="236DDE30"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 diagram below shows the platform's core request and real-time data flow, followed by the three supported deployment variants.</w:t>
      </w:r>
    </w:p>
    <w:tbl>
      <w:tblPr>
        <w:tblW w:w="5000" w:type="pct"/>
        <w:tblCellMar>
          <w:top w:w="15" w:type="dxa"/>
          <w:left w:w="15" w:type="dxa"/>
          <w:bottom w:w="15" w:type="dxa"/>
          <w:right w:w="15" w:type="dxa"/>
        </w:tblCellMar>
        <w:tblLook w:val="04A0" w:firstRow="1" w:lastRow="0" w:firstColumn="1" w:lastColumn="0" w:noHBand="0" w:noVBand="1"/>
      </w:tblPr>
      <w:tblGrid>
        <w:gridCol w:w="2117"/>
        <w:gridCol w:w="577"/>
        <w:gridCol w:w="1731"/>
        <w:gridCol w:w="577"/>
        <w:gridCol w:w="2501"/>
        <w:gridCol w:w="577"/>
        <w:gridCol w:w="1539"/>
      </w:tblGrid>
      <w:tr w:rsidR="00000000" w14:paraId="47C5C641" w14:textId="77777777">
        <w:tc>
          <w:tcPr>
            <w:tcW w:w="11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48F194CE" w14:textId="77777777" w:rsidR="00917CFD" w:rsidRDefault="00917CFD">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Browser</w:t>
            </w:r>
            <w:r>
              <w:rPr>
                <w:rFonts w:ascii="Segoe UI" w:eastAsia="Times New Roman" w:hAnsi="Segoe UI" w:cs="Segoe UI"/>
                <w:color w:val="1F2933"/>
                <w:sz w:val="19"/>
                <w:szCs w:val="19"/>
              </w:rPr>
              <w:br/>
              <w:t>(Host &amp; Participants)</w:t>
            </w:r>
          </w:p>
        </w:tc>
        <w:tc>
          <w:tcPr>
            <w:tcW w:w="300" w:type="pct"/>
            <w:tcBorders>
              <w:top w:val="nil"/>
              <w:left w:val="nil"/>
              <w:bottom w:val="nil"/>
              <w:right w:val="nil"/>
            </w:tcBorders>
            <w:tcMar>
              <w:top w:w="100" w:type="dxa"/>
              <w:left w:w="120" w:type="dxa"/>
              <w:bottom w:w="100" w:type="dxa"/>
              <w:right w:w="120" w:type="dxa"/>
            </w:tcMar>
            <w:hideMark/>
          </w:tcPr>
          <w:p w14:paraId="76E6739B" w14:textId="77777777" w:rsidR="00917CFD" w:rsidRDefault="00917CFD">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9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01EDFA2C" w14:textId="77777777" w:rsidR="00917CFD" w:rsidRDefault="00917CFD">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HTTPS / WSS</w:t>
            </w:r>
          </w:p>
        </w:tc>
        <w:tc>
          <w:tcPr>
            <w:tcW w:w="300" w:type="pct"/>
            <w:tcBorders>
              <w:top w:val="nil"/>
              <w:left w:val="nil"/>
              <w:bottom w:val="nil"/>
              <w:right w:val="nil"/>
            </w:tcBorders>
            <w:tcMar>
              <w:top w:w="100" w:type="dxa"/>
              <w:left w:w="120" w:type="dxa"/>
              <w:bottom w:w="100" w:type="dxa"/>
              <w:right w:w="120" w:type="dxa"/>
            </w:tcMar>
            <w:hideMark/>
          </w:tcPr>
          <w:p w14:paraId="21A31D03" w14:textId="77777777" w:rsidR="00917CFD" w:rsidRDefault="00917CFD">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3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099CCA52" w14:textId="77777777" w:rsidR="00917CFD" w:rsidRDefault="00917CFD">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Express.js API</w:t>
            </w:r>
            <w:r>
              <w:rPr>
                <w:rFonts w:ascii="Segoe UI" w:eastAsia="Times New Roman" w:hAnsi="Segoe UI" w:cs="Segoe UI"/>
                <w:color w:val="1F2933"/>
                <w:sz w:val="19"/>
                <w:szCs w:val="19"/>
              </w:rPr>
              <w:br/>
              <w:t>+ WebSocket server</w:t>
            </w:r>
          </w:p>
        </w:tc>
        <w:tc>
          <w:tcPr>
            <w:tcW w:w="300" w:type="pct"/>
            <w:tcBorders>
              <w:top w:val="nil"/>
              <w:left w:val="nil"/>
              <w:bottom w:val="nil"/>
              <w:right w:val="nil"/>
            </w:tcBorders>
            <w:tcMar>
              <w:top w:w="100" w:type="dxa"/>
              <w:left w:w="120" w:type="dxa"/>
              <w:bottom w:w="100" w:type="dxa"/>
              <w:right w:w="120" w:type="dxa"/>
            </w:tcMar>
            <w:hideMark/>
          </w:tcPr>
          <w:p w14:paraId="5F0A682E" w14:textId="77777777" w:rsidR="00917CFD" w:rsidRDefault="00917CFD">
            <w:pPr>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1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2D4B95FD" w14:textId="77777777" w:rsidR="00917CFD" w:rsidRDefault="00917CFD">
            <w:pPr>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PostgreSQL</w:t>
            </w:r>
            <w:r>
              <w:rPr>
                <w:rFonts w:ascii="Segoe UI" w:eastAsia="Times New Roman" w:hAnsi="Segoe UI" w:cs="Segoe UI"/>
                <w:color w:val="1F2933"/>
                <w:sz w:val="19"/>
                <w:szCs w:val="19"/>
              </w:rPr>
              <w:br/>
              <w:t>(row-level tenant isolation)</w:t>
            </w:r>
          </w:p>
        </w:tc>
      </w:tr>
    </w:tbl>
    <w:p w14:paraId="09538010" w14:textId="77777777" w:rsidR="00917CFD" w:rsidRDefault="00917CFD">
      <w:pPr>
        <w:pStyle w:val="muted"/>
        <w:spacing w:before="120" w:beforeAutospacing="0" w:after="120" w:afterAutospacing="0"/>
        <w:rPr>
          <w:rFonts w:ascii="Segoe UI" w:hAnsi="Segoe UI" w:cs="Segoe UI"/>
          <w:lang w:val="en"/>
        </w:rPr>
      </w:pPr>
      <w:r>
        <w:rPr>
          <w:rFonts w:ascii="Segoe UI" w:hAnsi="Segoe UI" w:cs="Segoe UI"/>
          <w:lang w:val="en"/>
        </w:rPr>
        <w:t>Browser clients communicate with the Express.js API and WebSocket server over HTTPS and secure WebSockets (WSS); the application server is the sole component with direct database access.</w:t>
      </w:r>
    </w:p>
    <w:tbl>
      <w:tblPr>
        <w:tblW w:w="5000" w:type="pct"/>
        <w:tblCellMar>
          <w:top w:w="15" w:type="dxa"/>
          <w:left w:w="15" w:type="dxa"/>
          <w:bottom w:w="15" w:type="dxa"/>
          <w:right w:w="15" w:type="dxa"/>
        </w:tblCellMar>
        <w:tblLook w:val="04A0" w:firstRow="1" w:lastRow="0" w:firstColumn="1" w:lastColumn="0" w:noHBand="0" w:noVBand="1"/>
      </w:tblPr>
      <w:tblGrid>
        <w:gridCol w:w="1860"/>
        <w:gridCol w:w="3566"/>
        <w:gridCol w:w="4193"/>
      </w:tblGrid>
      <w:tr w:rsidR="00000000" w14:paraId="43795BD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3648E1F"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lastRenderedPageBreak/>
              <w:t>Deployment Variant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3AD30D4"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Application Layer (Frontend + Express.js API)</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636E844"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Database Layer</w:t>
            </w:r>
          </w:p>
        </w:tc>
      </w:tr>
      <w:tr w:rsidR="00000000" w14:paraId="5B5EF0E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C4E02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 / SaaS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D7457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90497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r>
      <w:tr w:rsidR="00000000" w14:paraId="0F4F44C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4DDC1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On-Premises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011AFA"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749A46"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p>
        </w:tc>
      </w:tr>
      <w:tr w:rsidR="00000000" w14:paraId="3BFA48C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0E357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Hybrid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27339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F3C5DB"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xml:space="preserve"> (sensitive data remains client-side)</w:t>
            </w:r>
          </w:p>
        </w:tc>
      </w:tr>
    </w:tbl>
    <w:p w14:paraId="0BC63164" w14:textId="77777777" w:rsidR="00917CFD" w:rsidRDefault="00917CFD">
      <w:pPr>
        <w:pStyle w:val="Heading1"/>
        <w:rPr>
          <w:rFonts w:ascii="Segoe UI" w:eastAsia="Times New Roman" w:hAnsi="Segoe UI" w:cs="Segoe UI"/>
          <w:lang w:val="en"/>
        </w:rPr>
      </w:pPr>
      <w:bookmarkStart w:id="29" w:name="_Toc235442957"/>
      <w:r>
        <w:rPr>
          <w:rFonts w:ascii="Segoe UI" w:eastAsia="Times New Roman" w:hAnsi="Segoe UI" w:cs="Segoe UI"/>
          <w:lang w:val="en"/>
        </w:rPr>
        <w:t>18. Real-Time Architecture</w:t>
      </w:r>
      <w:bookmarkEnd w:id="29"/>
    </w:p>
    <w:p w14:paraId="4D6186EB"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Live sessions depend on the platform's real-time layer behaving predictably under load, and behaving fairly for every participant regardless of network conditions. This section describes how that is achieved.</w:t>
      </w:r>
    </w:p>
    <w:p w14:paraId="3181CB0D" w14:textId="77777777" w:rsidR="00917CFD" w:rsidRDefault="00917CFD">
      <w:pPr>
        <w:pStyle w:val="Heading2"/>
        <w:rPr>
          <w:rFonts w:ascii="Segoe UI" w:eastAsia="Times New Roman" w:hAnsi="Segoe UI" w:cs="Segoe UI"/>
          <w:lang w:val="en"/>
        </w:rPr>
      </w:pPr>
      <w:bookmarkStart w:id="30" w:name="_Toc235442958"/>
      <w:r>
        <w:rPr>
          <w:rFonts w:ascii="Segoe UI" w:eastAsia="Times New Roman" w:hAnsi="Segoe UI" w:cs="Segoe UI"/>
          <w:lang w:val="en"/>
        </w:rPr>
        <w:t>18.1 Session Flow</w:t>
      </w:r>
      <w:bookmarkEnd w:id="30"/>
    </w:p>
    <w:p w14:paraId="5B5777DB"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A live session follows a consistent, server-driven flow from join through to the final leaderboard.</w:t>
      </w:r>
    </w:p>
    <w:tbl>
      <w:tblPr>
        <w:tblW w:w="5000" w:type="pct"/>
        <w:tblCellMar>
          <w:top w:w="15" w:type="dxa"/>
          <w:left w:w="15" w:type="dxa"/>
          <w:bottom w:w="15" w:type="dxa"/>
          <w:right w:w="15" w:type="dxa"/>
        </w:tblCellMar>
        <w:tblLook w:val="04A0" w:firstRow="1" w:lastRow="0" w:firstColumn="1" w:lastColumn="0" w:noHBand="0" w:noVBand="1"/>
      </w:tblPr>
      <w:tblGrid>
        <w:gridCol w:w="1669"/>
        <w:gridCol w:w="7950"/>
      </w:tblGrid>
      <w:tr w:rsidR="00000000" w14:paraId="6835101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59DE6FF"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Step</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5B3A7B1"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What happens</w:t>
            </w:r>
          </w:p>
        </w:tc>
      </w:tr>
      <w:tr w:rsidR="00000000" w14:paraId="084340B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B6ED3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Join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B72CE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connect over a WebSocket session as they scan a QR code, follow a direct link, or enter a session PIN; the host's lobby view updates in real time as each participant joins</w:t>
            </w:r>
          </w:p>
        </w:tc>
      </w:tr>
      <w:tr w:rsidR="00000000" w14:paraId="271BE8F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15697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Question broadcast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7AF52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When the host opens a question, the server broadcasts the question to all connected participants at the same moment</w:t>
            </w:r>
          </w:p>
        </w:tc>
      </w:tr>
      <w:tr w:rsidR="00000000" w14:paraId="26D8DCB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C4C84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Answer submission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4464B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Participants submit answers over the WebSocket connection while the question is live; the correct answer is never sent to a participant's device before the question closes</w:t>
            </w:r>
          </w:p>
        </w:tc>
      </w:tr>
      <w:tr w:rsidR="00000000" w14:paraId="44ABE2D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97DAE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 Server-side scoring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B4BC6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server, not the client, determines when the question closes, evaluates each submitted answer, and calculates the resulting score</w:t>
            </w:r>
          </w:p>
        </w:tc>
      </w:tr>
      <w:tr w:rsidR="00000000" w14:paraId="72C7C31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2AAA9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Leaderboard push</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DE9A0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Updated rankings are pushed to the host and participant devices in real time once scoring is complete</w:t>
            </w:r>
          </w:p>
        </w:tc>
      </w:tr>
    </w:tbl>
    <w:p w14:paraId="74949E00" w14:textId="77777777" w:rsidR="00917CFD" w:rsidRDefault="00917CFD">
      <w:pPr>
        <w:pStyle w:val="Heading2"/>
        <w:rPr>
          <w:rFonts w:ascii="Segoe UI" w:eastAsia="Times New Roman" w:hAnsi="Segoe UI" w:cs="Segoe UI"/>
          <w:lang w:val="en"/>
        </w:rPr>
      </w:pPr>
      <w:bookmarkStart w:id="31" w:name="_Toc235442959"/>
      <w:r>
        <w:rPr>
          <w:rFonts w:ascii="Segoe UI" w:eastAsia="Times New Roman" w:hAnsi="Segoe UI" w:cs="Segoe UI"/>
          <w:lang w:val="en"/>
        </w:rPr>
        <w:t>18.2 Server-Authoritative Timing, Reconnection, and Why It Matters at Scale</w:t>
      </w:r>
      <w:bookmarkEnd w:id="31"/>
    </w:p>
    <w:p w14:paraId="047E5306"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Question timing, closure, and scoring are controlled by the server, not by any individual device: participant and host devices render a countdown, an open or closed question, and an updated </w:t>
      </w:r>
      <w:r>
        <w:rPr>
          <w:rFonts w:ascii="Segoe UI" w:hAnsi="Segoe UI" w:cs="Segoe UI"/>
          <w:color w:val="1F2933"/>
          <w:sz w:val="21"/>
          <w:szCs w:val="21"/>
          <w:lang w:val="en"/>
        </w:rPr>
        <w:lastRenderedPageBreak/>
        <w:t>leaderboard, but they never decide when a question opens or closes and are never trusted with the correct answer before it is safe to reveal it. Where a participant's device loses connectivity mid-session — common in venues with variable Wi-Fi or mobile coverage — the platform automatically attempts to reconnect the session rather than dropping the participant. For a session of the scale described in Section 24, this combination is what keeps a large, live audience in a fair, synchronized session rather tha</w:t>
      </w:r>
      <w:r>
        <w:rPr>
          <w:rFonts w:ascii="Segoe UI" w:hAnsi="Segoe UI" w:cs="Segoe UI"/>
          <w:color w:val="1F2933"/>
          <w:sz w:val="21"/>
          <w:szCs w:val="21"/>
          <w:lang w:val="en"/>
        </w:rPr>
        <w:t>n a collection of individually drifting client experiences.</w:t>
      </w:r>
    </w:p>
    <w:p w14:paraId="7D43CBBE" w14:textId="77777777" w:rsidR="00917CFD" w:rsidRDefault="00917CFD">
      <w:pPr>
        <w:pStyle w:val="Heading1"/>
        <w:rPr>
          <w:rFonts w:ascii="Segoe UI" w:eastAsia="Times New Roman" w:hAnsi="Segoe UI" w:cs="Segoe UI"/>
          <w:lang w:val="en"/>
        </w:rPr>
      </w:pPr>
      <w:bookmarkStart w:id="32" w:name="_Toc235442960"/>
      <w:r>
        <w:rPr>
          <w:rFonts w:ascii="Segoe UI" w:eastAsia="Times New Roman" w:hAnsi="Segoe UI" w:cs="Segoe UI"/>
          <w:lang w:val="en"/>
        </w:rPr>
        <w:t>19. Deployment Options</w:t>
      </w:r>
      <w:bookmarkEnd w:id="32"/>
    </w:p>
    <w:p w14:paraId="2CEC2B90" w14:textId="77777777" w:rsidR="00917CFD" w:rsidRDefault="00917CFD">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choose from three deployment options, so that the choice of hosting model reflects data residency, network, and cybersecurity requirements rather than a one-size-fits-all default.</w:t>
      </w:r>
    </w:p>
    <w:tbl>
      <w:tblPr>
        <w:tblW w:w="5000" w:type="pct"/>
        <w:tblCellMar>
          <w:top w:w="15" w:type="dxa"/>
          <w:left w:w="15" w:type="dxa"/>
          <w:bottom w:w="15" w:type="dxa"/>
          <w:right w:w="15" w:type="dxa"/>
        </w:tblCellMar>
        <w:tblLook w:val="04A0" w:firstRow="1" w:lastRow="0" w:firstColumn="1" w:lastColumn="0" w:noHBand="0" w:noVBand="1"/>
      </w:tblPr>
      <w:tblGrid>
        <w:gridCol w:w="1409"/>
        <w:gridCol w:w="2913"/>
        <w:gridCol w:w="3021"/>
        <w:gridCol w:w="2276"/>
      </w:tblGrid>
      <w:tr w:rsidR="00000000" w14:paraId="7D0EF208"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B5010BF" w14:textId="77777777" w:rsidR="00917CFD" w:rsidRDefault="00917CFD">
            <w:pPr>
              <w:rPr>
                <w:rFonts w:ascii="Segoe UI" w:hAnsi="Segoe UI" w:cs="Segoe UI"/>
                <w:color w:val="1F2933"/>
                <w:sz w:val="21"/>
                <w:szCs w:val="21"/>
                <w:lang w:val="en"/>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99F5CA2"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1 — SaaS / Cloud</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1B18667"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2 — On-Premises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27DBED7"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Option 3 — Hybrid</w:t>
            </w:r>
          </w:p>
        </w:tc>
      </w:tr>
      <w:tr w:rsidR="00000000" w14:paraId="4E752FD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680907"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Hosted by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2F2F9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41190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infrastructure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6A20B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Split between Altanfith and client infrastructure</w:t>
            </w:r>
          </w:p>
        </w:tc>
      </w:tr>
      <w:tr w:rsidR="00000000" w14:paraId="506D0FE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BA4460"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Includes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DDB97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Cloud hosting, server &amp; database management, backups, security updates, monitoring, maintenance, technical support, version upgrades, AI usage allowance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21ED7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deployment, backend installation, database configuration, environment setup, initial cybersecurity configuration, documentation, training, knowledge transfer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9FD9A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components hosted by Altanfith; sensitive data/database remain in the client environment</w:t>
            </w:r>
          </w:p>
        </w:tc>
      </w:tr>
      <w:tr w:rsidR="00000000" w14:paraId="453C374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086BB6"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Commercials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18E79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subscription; lower initial investment; fastest implementation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78F70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fee; optional source-code handover; optional annual maintenance contract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A9A56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w:t>
            </w:r>
          </w:p>
        </w:tc>
      </w:tr>
      <w:tr w:rsidR="00000000" w14:paraId="5BCDF32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21F2EB"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Client provides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70DD7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Browser access only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ECEBA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Hardware, OS, internal networking, data-center requirements (unless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1871A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w:t>
            </w:r>
          </w:p>
        </w:tc>
      </w:tr>
    </w:tbl>
    <w:p w14:paraId="06F6224C" w14:textId="77777777" w:rsidR="00917CFD" w:rsidRDefault="00917CFD">
      <w:pPr>
        <w:pStyle w:val="Heading2"/>
        <w:rPr>
          <w:rFonts w:ascii="Segoe UI" w:eastAsia="Times New Roman" w:hAnsi="Segoe UI" w:cs="Segoe UI"/>
          <w:lang w:val="en"/>
        </w:rPr>
      </w:pPr>
      <w:bookmarkStart w:id="33" w:name="_Toc235442961"/>
      <w:r>
        <w:rPr>
          <w:rFonts w:ascii="Segoe UI" w:eastAsia="Times New Roman" w:hAnsi="Segoe UI" w:cs="Segoe UI"/>
          <w:lang w:val="en"/>
        </w:rPr>
        <w:t>19.1 Cloud / SaaS</w:t>
      </w:r>
      <w:bookmarkEnd w:id="33"/>
    </w:p>
    <w:p w14:paraId="2B8E8325"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hosts and manages the full application and database layer, so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requires only browser access. Hosting, backups, monitoring, security updates, and version upgrades are managed by Altanfith as part of the subscription (Section 33, Model A).</w:t>
      </w:r>
    </w:p>
    <w:p w14:paraId="1549EB80" w14:textId="77777777" w:rsidR="00917CFD" w:rsidRDefault="00917CFD">
      <w:pPr>
        <w:pStyle w:val="Heading2"/>
        <w:rPr>
          <w:rFonts w:ascii="Segoe UI" w:eastAsia="Times New Roman" w:hAnsi="Segoe UI" w:cs="Segoe UI"/>
          <w:lang w:val="en"/>
        </w:rPr>
      </w:pPr>
      <w:bookmarkStart w:id="34" w:name="_Toc235442962"/>
      <w:r>
        <w:rPr>
          <w:rFonts w:ascii="Segoe UI" w:eastAsia="Times New Roman" w:hAnsi="Segoe UI" w:cs="Segoe UI"/>
          <w:lang w:val="en"/>
        </w:rPr>
        <w:t>19.2 On-Premises</w:t>
      </w:r>
      <w:bookmarkEnd w:id="34"/>
    </w:p>
    <w:p w14:paraId="4FDC44CC"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 Express.js backend runs on the client's own internal servers or private cloud — a public cloud environment is not required. The platform's backend has been built to run within a range of internal environments, including:</w:t>
      </w:r>
    </w:p>
    <w:tbl>
      <w:tblPr>
        <w:tblW w:w="5000" w:type="pct"/>
        <w:tblCellMar>
          <w:top w:w="15" w:type="dxa"/>
          <w:left w:w="15" w:type="dxa"/>
          <w:bottom w:w="15" w:type="dxa"/>
          <w:right w:w="15" w:type="dxa"/>
        </w:tblCellMar>
        <w:tblLook w:val="04A0" w:firstRow="1" w:lastRow="0" w:firstColumn="1" w:lastColumn="0" w:noHBand="0" w:noVBand="1"/>
      </w:tblPr>
      <w:tblGrid>
        <w:gridCol w:w="3458"/>
        <w:gridCol w:w="6161"/>
      </w:tblGrid>
      <w:tr w:rsidR="00000000" w14:paraId="667FCAD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04821E5"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Supported Environment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A493B95" w14:textId="77777777" w:rsidR="00917CFD" w:rsidRDefault="00917CFD">
            <w:pPr>
              <w:spacing w:before="160" w:after="160"/>
              <w:rPr>
                <w:rFonts w:ascii="Segoe UI" w:eastAsia="Times New Roman" w:hAnsi="Segoe UI" w:cs="Segoe UI"/>
                <w:b/>
                <w:bCs/>
                <w:color w:val="FFFFFF"/>
                <w:sz w:val="19"/>
                <w:szCs w:val="19"/>
              </w:rPr>
            </w:pPr>
          </w:p>
        </w:tc>
      </w:tr>
      <w:tr w:rsidR="00000000" w14:paraId="5A6B326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94D8B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Client data center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49E88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servers</w:t>
            </w:r>
          </w:p>
        </w:tc>
      </w:tr>
      <w:tr w:rsidR="00000000" w14:paraId="10AC7DE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7A6B3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Private cloud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6F30B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Virtual machines</w:t>
            </w:r>
          </w:p>
        </w:tc>
      </w:tr>
      <w:tr w:rsidR="00000000" w14:paraId="021AF28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66BAD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Docker containers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1AC59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Kubernetes</w:t>
            </w:r>
          </w:p>
        </w:tc>
      </w:tr>
      <w:tr w:rsidR="00000000" w14:paraId="296458F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D6A8C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Linux servers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162A5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Windows Server (subject to technical validation)</w:t>
            </w:r>
          </w:p>
        </w:tc>
      </w:tr>
      <w:tr w:rsidR="00000000" w14:paraId="0A348C8A" w14:textId="77777777">
        <w:tc>
          <w:tcPr>
            <w:tcW w:w="0" w:type="auto"/>
            <w:gridSpan w:val="2"/>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B5456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Hybrid combinations of the above infrastructure types</w:t>
            </w:r>
          </w:p>
        </w:tc>
      </w:tr>
    </w:tbl>
    <w:p w14:paraId="1D0030E0" w14:textId="77777777" w:rsidR="00917CFD" w:rsidRDefault="00917CFD">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On-premises deployment is </w:t>
      </w:r>
      <w:r>
        <w:rPr>
          <w:rStyle w:val="Strong"/>
          <w:rFonts w:ascii="Segoe UI" w:hAnsi="Segoe UI" w:cs="Segoe UI"/>
          <w:color w:val="1F2933"/>
          <w:sz w:val="21"/>
          <w:szCs w:val="21"/>
          <w:lang w:val="en"/>
        </w:rPr>
        <w:t>subject to infrastructure assessment</w:t>
      </w:r>
      <w:r>
        <w:rPr>
          <w:rFonts w:ascii="Segoe UI" w:hAnsi="Segoe UI" w:cs="Segoe UI"/>
          <w:color w:val="1F2933"/>
          <w:sz w:val="21"/>
          <w:szCs w:val="21"/>
          <w:lang w:val="en"/>
        </w:rPr>
        <w:t xml:space="preserve">. Network policies, database selection, internal DNS, SSL certificates, firewall configuration, backup procedures, and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cybersecurity requirements are all confirmed during this assessment before deployment proceeds. Altanfith does not promise universal compatibility with every client environment in advance of this assessment.</w:t>
      </w:r>
    </w:p>
    <w:p w14:paraId="2B5FB155" w14:textId="77777777" w:rsidR="00917CFD" w:rsidRDefault="00917CFD">
      <w:pPr>
        <w:pStyle w:val="Heading2"/>
        <w:rPr>
          <w:rFonts w:ascii="Segoe UI" w:eastAsia="Times New Roman" w:hAnsi="Segoe UI" w:cs="Segoe UI"/>
          <w:lang w:val="en"/>
        </w:rPr>
      </w:pPr>
      <w:bookmarkStart w:id="35" w:name="_Toc235442963"/>
      <w:r>
        <w:rPr>
          <w:rFonts w:ascii="Segoe UI" w:eastAsia="Times New Roman" w:hAnsi="Segoe UI" w:cs="Segoe UI"/>
          <w:lang w:val="en"/>
        </w:rPr>
        <w:t>19.3 Hybrid</w:t>
      </w:r>
      <w:bookmarkEnd w:id="35"/>
    </w:p>
    <w:p w14:paraId="1122C6F3"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 hybrid deployment splits the platform between Altanfith-hosted application components and client-hosted, sensitive data storage. The final design of a hybrid deployment depends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security and integration requirements, and is agreed during discovery and infrastructure assessment rather than fixed in advance.</w:t>
      </w:r>
    </w:p>
    <w:p w14:paraId="7E370D2C" w14:textId="77777777" w:rsidR="00917CFD" w:rsidRDefault="00917CFD">
      <w:pPr>
        <w:pStyle w:val="Heading1"/>
        <w:rPr>
          <w:rFonts w:ascii="Segoe UI" w:eastAsia="Times New Roman" w:hAnsi="Segoe UI" w:cs="Segoe UI"/>
          <w:lang w:val="en"/>
        </w:rPr>
      </w:pPr>
      <w:bookmarkStart w:id="36" w:name="_Toc235442964"/>
      <w:r>
        <w:rPr>
          <w:rFonts w:ascii="Segoe UI" w:eastAsia="Times New Roman" w:hAnsi="Segoe UI" w:cs="Segoe UI"/>
          <w:lang w:val="en"/>
        </w:rPr>
        <w:t>20. Cybersecurity</w:t>
      </w:r>
      <w:bookmarkEnd w:id="36"/>
    </w:p>
    <w:p w14:paraId="21015A55"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is designed with cybersecurity as a foundational concern rather than an add-on, and its controls are developed with awareness of the OWASP Top 10. At the same time, we are deliberate about how we describe our security posture: the statements in this section describe how the platform is designed and configured, not a formal certification, and final acceptance of the security architecture remains subject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own cybersecurity assessment.</w:t>
      </w:r>
    </w:p>
    <w:tbl>
      <w:tblPr>
        <w:tblW w:w="5000" w:type="pct"/>
        <w:tblCellMar>
          <w:top w:w="15" w:type="dxa"/>
          <w:left w:w="15" w:type="dxa"/>
          <w:bottom w:w="15" w:type="dxa"/>
          <w:right w:w="15" w:type="dxa"/>
        </w:tblCellMar>
        <w:tblLook w:val="04A0" w:firstRow="1" w:lastRow="0" w:firstColumn="1" w:lastColumn="0" w:noHBand="0" w:noVBand="1"/>
      </w:tblPr>
      <w:tblGrid>
        <w:gridCol w:w="1718"/>
        <w:gridCol w:w="7901"/>
      </w:tblGrid>
      <w:tr w:rsidR="00000000" w14:paraId="2DD5F42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BF32068"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Domain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92F1218"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Controls</w:t>
            </w:r>
          </w:p>
        </w:tc>
      </w:tr>
      <w:tr w:rsidR="00000000" w14:paraId="5524CBA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04DA1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Encryption &amp; transport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30186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HTTPS/TLS; encryption in transit; encryption at rest where applicable; backup encryption</w:t>
            </w:r>
          </w:p>
        </w:tc>
      </w:tr>
      <w:tr w:rsidR="00000000" w14:paraId="5423D10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A6CF1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Identity &amp; access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6483D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Secure (bcrypt) password hashing; role-based access control (RBAC); least-privilege access; strong password policy; multi-factor authentication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 session management; token expiration; secure API authentication; user account deactivation; regular access reviews; role-validated host-only operations</w:t>
            </w:r>
          </w:p>
        </w:tc>
      </w:tr>
      <w:tr w:rsidR="00000000" w14:paraId="1063B9B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181E7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3. Application security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568CC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 rate limiting; input validation; output encoding; protection against common web vulnerabilities; secure development practices; developed with awareness of the OWASP Top 10; secure API configuration</w:t>
            </w:r>
          </w:p>
        </w:tc>
      </w:tr>
      <w:tr w:rsidR="00000000" w14:paraId="3DD6DA7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D93C6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 Audit &amp; monitoring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EF5D3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Audit logs of administrative actions; login logs; failed-login monitoring; data-access logging; monitoring &amp; alerting; log retention (</w:t>
            </w:r>
            <w:r>
              <w:rPr>
                <w:rStyle w:val="Strong"/>
                <w:rFonts w:ascii="Segoe UI" w:eastAsia="Times New Roman" w:hAnsi="Segoe UI" w:cs="Segoe UI"/>
                <w:color w:val="1F2933"/>
                <w:sz w:val="19"/>
                <w:szCs w:val="19"/>
              </w:rPr>
              <w:t>[Data Retention Period]</w:t>
            </w:r>
            <w:r>
              <w:rPr>
                <w:rFonts w:ascii="Segoe UI" w:eastAsia="Times New Roman" w:hAnsi="Segoe UI" w:cs="Segoe UI"/>
                <w:color w:val="1F2933"/>
                <w:sz w:val="19"/>
                <w:szCs w:val="19"/>
              </w:rPr>
              <w:t>)</w:t>
            </w:r>
          </w:p>
        </w:tc>
      </w:tr>
      <w:tr w:rsidR="00000000" w14:paraId="3D79D9D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890EB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Data lifecycle &amp; resilience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06F88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 policy; backup retention; disaster recovery planning; business continuity planning; data retention rules; data deletion and export procedures — expanded in Section 21</w:t>
            </w:r>
          </w:p>
        </w:tc>
      </w:tr>
      <w:tr w:rsidR="00000000" w14:paraId="0A57384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A6014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6. Infrastructure &amp; operations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8C66F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Secure environment configuration; firewall configuration; network segmentation (on-premises); per-tenant, row-level data isolation in PostgreSQL; database access restrictions; secrets management; environment-variable management; secure source-code repository; separated dev/test/prod environments</w:t>
            </w:r>
          </w:p>
        </w:tc>
      </w:tr>
      <w:tr w:rsidR="00000000" w14:paraId="2480B51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178D4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7. Process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93DC8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Change management; incident response; security incident notification; data-breach escalation; secure release process; security patching; vulnerability assessment; penetration testing (</w:t>
            </w:r>
            <w:r>
              <w:rPr>
                <w:rStyle w:val="badge-opt1"/>
                <w:rFonts w:ascii="Segoe UI" w:eastAsia="Times New Roman" w:hAnsi="Segoe UI" w:cs="Segoe UI"/>
                <w:sz w:val="19"/>
                <w:szCs w:val="19"/>
              </w:rPr>
              <w:t>Optional service</w:t>
            </w:r>
            <w:r>
              <w:rPr>
                <w:rFonts w:ascii="Segoe UI" w:eastAsia="Times New Roman" w:hAnsi="Segoe UI" w:cs="Segoe UI"/>
                <w:color w:val="1F2933"/>
                <w:sz w:val="19"/>
                <w:szCs w:val="19"/>
              </w:rPr>
              <w:t>); client-approved security architecture</w:t>
            </w:r>
          </w:p>
        </w:tc>
      </w:tr>
    </w:tbl>
    <w:p w14:paraId="78AFD8BE"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These controls are designed to align with recognized good practice and with awareness of the OWASP Top 10 — not represented as certified or compliant. Final acceptance is confirmed through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own security assessment (Phase 3, Section 25); the security architecture is only finalized once client-approved. Formal penetration testing is available as an </w:t>
      </w:r>
      <w:r>
        <w:rPr>
          <w:rStyle w:val="badge-opt1"/>
          <w:rFonts w:ascii="Segoe UI" w:hAnsi="Segoe UI" w:cs="Segoe UI"/>
          <w:sz w:val="21"/>
          <w:szCs w:val="21"/>
          <w:lang w:val="en"/>
        </w:rPr>
        <w:t>optional service</w:t>
      </w:r>
      <w:r>
        <w:rPr>
          <w:rFonts w:ascii="Segoe UI" w:hAnsi="Segoe UI" w:cs="Segoe UI"/>
          <w:color w:val="1F2933"/>
          <w:sz w:val="21"/>
          <w:szCs w:val="21"/>
          <w:lang w:val="en"/>
        </w:rPr>
        <w:t>, quoted separately (Section 33); it is not included in the base engagement.</w:t>
      </w:r>
    </w:p>
    <w:p w14:paraId="0D1AE35E" w14:textId="77777777" w:rsidR="00917CFD" w:rsidRDefault="00917CFD">
      <w:pPr>
        <w:pStyle w:val="Heading1"/>
        <w:rPr>
          <w:rFonts w:ascii="Segoe UI" w:eastAsia="Times New Roman" w:hAnsi="Segoe UI" w:cs="Segoe UI"/>
          <w:lang w:val="en"/>
        </w:rPr>
      </w:pPr>
      <w:bookmarkStart w:id="37" w:name="_Toc235442965"/>
      <w:r>
        <w:rPr>
          <w:rFonts w:ascii="Segoe UI" w:eastAsia="Times New Roman" w:hAnsi="Segoe UI" w:cs="Segoe UI"/>
          <w:lang w:val="en"/>
        </w:rPr>
        <w:t>21. Data Protection</w:t>
      </w:r>
      <w:bookmarkEnd w:id="37"/>
    </w:p>
    <w:p w14:paraId="5B9147D1"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Data protection builds on the data lifecycle and resilience controls introduced in Section 20 (Domain 5), and describes, in more detail, how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's data is backed up, retained, deleted, and exported. Availability and data-durability commitments are not presented as absolutes; they are defined in the agreed SLA, and the platform is designed to align with sound backup, retention, and recovery practice within the parameters agreed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1857"/>
        <w:gridCol w:w="7762"/>
      </w:tblGrid>
      <w:tr w:rsidR="00000000" w14:paraId="1AFE924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F7CFF61"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Aspect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95E2001"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Approach</w:t>
            </w:r>
          </w:p>
        </w:tc>
      </w:tr>
      <w:tr w:rsidR="00000000" w14:paraId="5FB8B6E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3E149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A9CA0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Operated under a defined backup policy; frequency, encryption, and retention arrangements are confirmed as part of the applicable deployment option (Section 19) and the commercial agreement</w:t>
            </w:r>
          </w:p>
        </w:tc>
      </w:tr>
      <w:tr w:rsidR="00000000" w14:paraId="4B58246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4D8AA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Retention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CD984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Session results, audit logs, and participant records are retained for </w:t>
            </w:r>
            <w:r>
              <w:rPr>
                <w:rStyle w:val="Strong"/>
                <w:rFonts w:ascii="Segoe UI" w:eastAsia="Times New Roman" w:hAnsi="Segoe UI" w:cs="Segoe UI"/>
                <w:color w:val="1F2933"/>
                <w:sz w:val="19"/>
                <w:szCs w:val="19"/>
              </w:rPr>
              <w:t>[Data Retention Period]</w:t>
            </w:r>
            <w:r>
              <w:rPr>
                <w:rFonts w:ascii="Segoe UI" w:eastAsia="Times New Roman" w:hAnsi="Segoe UI" w:cs="Segoe UI"/>
                <w:color w:val="1F2933"/>
                <w:sz w:val="19"/>
                <w:szCs w:val="19"/>
              </w:rPr>
              <w:t xml:space="preserve">, configurable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internal data governance or regulatory requirements, subject to confirmation during discovery</w:t>
            </w:r>
          </w:p>
        </w:tc>
      </w:tr>
      <w:tr w:rsidR="00000000" w14:paraId="2BE7637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785A6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Deletion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301D7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Follows a defined procedure: soft-delete with archive is available at the content level (Section 13.5); permanent deletion procedures, including at contract termination, are defined in the commercial agreement</w:t>
            </w:r>
          </w:p>
        </w:tc>
      </w:tr>
      <w:tr w:rsidR="00000000" w14:paraId="59EEC95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DF315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Export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745BB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Available on request, and provided as a standard step at contract termination, in an agreed format, so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 xml:space="preserve"> is not dependent on continued platform access to retain its own data</w:t>
            </w:r>
          </w:p>
        </w:tc>
      </w:tr>
      <w:tr w:rsidR="00000000" w14:paraId="2C3EBB7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AF6E0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Disaster recovery &amp; business continuity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1D688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Addressed as part of the deployment design and configured to support </w:t>
            </w:r>
            <w:r>
              <w:rPr>
                <w:rStyle w:val="Strong"/>
                <w:rFonts w:ascii="Segoe UI" w:eastAsia="Times New Roman" w:hAnsi="Segoe UI" w:cs="Segoe UI"/>
                <w:color w:val="1F2933"/>
                <w:sz w:val="19"/>
                <w:szCs w:val="19"/>
              </w:rPr>
              <w:t>[Client Name]</w:t>
            </w:r>
            <w:r>
              <w:rPr>
                <w:rFonts w:ascii="Segoe UI" w:eastAsia="Times New Roman" w:hAnsi="Segoe UI" w:cs="Segoe UI"/>
                <w:color w:val="1F2933"/>
                <w:sz w:val="19"/>
                <w:szCs w:val="19"/>
              </w:rPr>
              <w:t>'s requirements; specific recovery time/point objectives are confirmed during discovery and infrastructure assessment and depend on the deployment option selected</w:t>
            </w:r>
          </w:p>
        </w:tc>
      </w:tr>
    </w:tbl>
    <w:p w14:paraId="7DA96F5B" w14:textId="77777777" w:rsidR="00917CFD" w:rsidRDefault="00917CFD">
      <w:pPr>
        <w:pStyle w:val="Heading1"/>
        <w:rPr>
          <w:rFonts w:ascii="Segoe UI" w:eastAsia="Times New Roman" w:hAnsi="Segoe UI" w:cs="Segoe UI"/>
          <w:lang w:val="en"/>
        </w:rPr>
      </w:pPr>
      <w:bookmarkStart w:id="38" w:name="_Toc235442966"/>
      <w:r>
        <w:rPr>
          <w:rFonts w:ascii="Segoe UI" w:eastAsia="Times New Roman" w:hAnsi="Segoe UI" w:cs="Segoe UI"/>
          <w:lang w:val="en"/>
        </w:rPr>
        <w:t>22. Data Ownership</w:t>
      </w:r>
      <w:bookmarkEnd w:id="38"/>
    </w:p>
    <w:p w14:paraId="6821F4AF"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Ownership of data and intellectual property is set out clearly,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understands exactly what it owns, what Altanfith owns, and how this is affected by the commercial model selected.</w:t>
      </w:r>
    </w:p>
    <w:p w14:paraId="79B4DCE0" w14:textId="77777777" w:rsidR="00917CFD" w:rsidRDefault="00917CFD">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Client data remains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 xml:space="preserve"> at all times.</w:t>
      </w:r>
    </w:p>
    <w:p w14:paraId="2A8A6E85" w14:textId="77777777" w:rsidR="00917CFD" w:rsidRDefault="00917CFD">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Altanfith Aldwaliah SPC claims no ownership of client operational data.</w:t>
      </w:r>
    </w:p>
    <w:p w14:paraId="1BBEA296" w14:textId="77777777" w:rsidR="00917CFD" w:rsidRDefault="00917CFD">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Data export is provided at contract termination, in an agreed format.</w:t>
      </w:r>
    </w:p>
    <w:p w14:paraId="7B7005CB" w14:textId="77777777" w:rsidR="00917CFD" w:rsidRDefault="00917CFD">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Retention and deletion terms are defined in the commercial agreement.</w:t>
      </w:r>
    </w:p>
    <w:p w14:paraId="139B2A85" w14:textId="77777777" w:rsidR="00917CFD" w:rsidRDefault="00917CFD">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For on-premises deployments, data may remain entirely within </w:t>
      </w:r>
      <w:r>
        <w:rPr>
          <w:rStyle w:val="Strong"/>
          <w:rFonts w:ascii="Segoe UI" w:eastAsia="Times New Roman" w:hAnsi="Segoe UI" w:cs="Segoe UI"/>
          <w:color w:val="1F2933"/>
          <w:sz w:val="21"/>
          <w:szCs w:val="21"/>
          <w:lang w:val="en"/>
        </w:rPr>
        <w:t>[Client Infrastructure]</w:t>
      </w:r>
      <w:r>
        <w:rPr>
          <w:rFonts w:ascii="Segoe UI" w:eastAsia="Times New Roman" w:hAnsi="Segoe UI" w:cs="Segoe UI"/>
          <w:color w:val="1F2933"/>
          <w:sz w:val="21"/>
          <w:szCs w:val="21"/>
          <w:lang w:val="en"/>
        </w:rPr>
        <w:t>.</w:t>
      </w:r>
    </w:p>
    <w:p w14:paraId="42BAE7D7" w14:textId="77777777" w:rsidR="00917CFD" w:rsidRDefault="00917CFD">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Intellectual property ownership depends on the commercial model selected (see Section 33).</w:t>
      </w:r>
    </w:p>
    <w:p w14:paraId="175CED70" w14:textId="77777777" w:rsidR="00917CFD" w:rsidRDefault="00917CFD">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Standard platform IP remains with Altanfith Aldwaliah SPC unless transferred by separate agreement.</w:t>
      </w:r>
    </w:p>
    <w:p w14:paraId="630D9C5B" w14:textId="77777777" w:rsidR="00917CFD" w:rsidRDefault="00917CFD">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Client-specific content — including questions, participant data, and reports — remains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w:t>
      </w:r>
    </w:p>
    <w:p w14:paraId="1C343184" w14:textId="77777777" w:rsidR="00917CFD" w:rsidRDefault="00917CFD">
      <w:pPr>
        <w:numPr>
          <w:ilvl w:val="0"/>
          <w:numId w:val="1"/>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Source-code ownership is not automatically included, and applies only where it is expressly stated in the commercial agreement.</w:t>
      </w:r>
    </w:p>
    <w:p w14:paraId="195C625B" w14:textId="77777777" w:rsidR="00917CFD" w:rsidRDefault="00917CFD">
      <w:pPr>
        <w:pStyle w:val="Heading1"/>
        <w:rPr>
          <w:rFonts w:ascii="Segoe UI" w:eastAsia="Times New Roman" w:hAnsi="Segoe UI" w:cs="Segoe UI"/>
          <w:lang w:val="en"/>
        </w:rPr>
      </w:pPr>
      <w:bookmarkStart w:id="39" w:name="_Toc235442967"/>
      <w:r>
        <w:rPr>
          <w:rFonts w:ascii="Segoe UI" w:eastAsia="Times New Roman" w:hAnsi="Segoe UI" w:cs="Segoe UI"/>
          <w:lang w:val="en"/>
        </w:rPr>
        <w:t>23. Integration Options</w:t>
      </w:r>
      <w:bookmarkEnd w:id="39"/>
    </w:p>
    <w:p w14:paraId="083608E4"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exposes REST APIs that support integration into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existing systems. Integrations are delivered as scoped work under the Enterprise Custom Development Partnership commercial model (Model C, see Section 33), rather than assumed as part of the base platform, and their final scope is always subject to the availability and technical constraints of the relevant third-party API.</w:t>
      </w:r>
    </w:p>
    <w:tbl>
      <w:tblPr>
        <w:tblW w:w="5000" w:type="pct"/>
        <w:tblCellMar>
          <w:top w:w="15" w:type="dxa"/>
          <w:left w:w="15" w:type="dxa"/>
          <w:bottom w:w="15" w:type="dxa"/>
          <w:right w:w="15" w:type="dxa"/>
        </w:tblCellMar>
        <w:tblLook w:val="04A0" w:firstRow="1" w:lastRow="0" w:firstColumn="1" w:lastColumn="0" w:noHBand="0" w:noVBand="1"/>
      </w:tblPr>
      <w:tblGrid>
        <w:gridCol w:w="3175"/>
        <w:gridCol w:w="5426"/>
        <w:gridCol w:w="1018"/>
      </w:tblGrid>
      <w:tr w:rsidR="00000000" w14:paraId="1FF6387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BFFBF6A"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Integration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D5EFBE8"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FF2C82C"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3F7B5EE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E1306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 sign-on (Microsoft Entra ID / Active Directory)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0BC7D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Authentication against the client's existing identity provider, with roles mapped to directory groups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FDB7A7"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2166ED4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F3B61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HR systems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9CFD0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with the client's HR system, for example for user or organizational-unit synchronization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A3AE6B"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5DC8C34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A89AC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Learning Management System (LMS)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47693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with the client's LMS for training-related workflows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9B318C"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5EDA4C1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F7E7D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85D84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supporting session distribution or notification via 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C800FA"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1450D62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A5DCF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Power BI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1A6B3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exposing platform data for consumption in Power BI dashboards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90BA88"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7D04550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34CC2A"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[Integration System]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896F5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Any additional client system identified during discovery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380BDF7"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2A3F5632" w14:textId="77777777" w:rsidR="00917CFD" w:rsidRDefault="00917CFD">
      <w:pPr>
        <w:pStyle w:val="muted"/>
        <w:spacing w:before="120" w:beforeAutospacing="0" w:after="120" w:afterAutospacing="0"/>
        <w:rPr>
          <w:rFonts w:ascii="Segoe UI" w:hAnsi="Segoe UI" w:cs="Segoe UI"/>
          <w:lang w:val="en"/>
        </w:rPr>
      </w:pPr>
      <w:r>
        <w:rPr>
          <w:rFonts w:ascii="Segoe UI" w:hAnsi="Segoe UI" w:cs="Segoe UI"/>
          <w:lang w:val="en"/>
        </w:rPr>
        <w:t>All integrations listed above are optional and subject to the availability, documentation, and technical constraints of the relevant third-party API; final integration scope is confirmed during discovery (see Section 25, Phase 1) and delivered under Phase 8 (Integration Development) of the implementation methodology.</w:t>
      </w:r>
    </w:p>
    <w:p w14:paraId="5ADA95DA" w14:textId="77777777" w:rsidR="00917CFD" w:rsidRDefault="00917CFD">
      <w:pPr>
        <w:pStyle w:val="Heading1"/>
        <w:rPr>
          <w:rFonts w:ascii="Segoe UI" w:eastAsia="Times New Roman" w:hAnsi="Segoe UI" w:cs="Segoe UI"/>
          <w:lang w:val="en"/>
        </w:rPr>
      </w:pPr>
      <w:bookmarkStart w:id="40" w:name="_Toc235442968"/>
      <w:r>
        <w:rPr>
          <w:rFonts w:ascii="Segoe UI" w:eastAsia="Times New Roman" w:hAnsi="Segoe UI" w:cs="Segoe UI"/>
          <w:lang w:val="en"/>
        </w:rPr>
        <w:t>24. Performance and Scalability</w:t>
      </w:r>
      <w:bookmarkEnd w:id="40"/>
    </w:p>
    <w:p w14:paraId="0EB3B64C"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Performance and scalability claims for the Live Quiz Platform are grounded in what has actually been observed, rather than presented as an unqualified guarantee.</w:t>
      </w:r>
    </w:p>
    <w:p w14:paraId="1F653CE1"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has supported </w:t>
      </w:r>
      <w:r>
        <w:rPr>
          <w:rStyle w:val="Strong"/>
          <w:rFonts w:ascii="Segoe UI" w:hAnsi="Segoe UI" w:cs="Segoe UI"/>
          <w:color w:val="1F2933"/>
          <w:sz w:val="21"/>
          <w:szCs w:val="21"/>
          <w:lang w:val="en"/>
        </w:rPr>
        <w:t>more than 100 participants in a single live session in real production use</w:t>
      </w:r>
      <w:r>
        <w:rPr>
          <w:rFonts w:ascii="Segoe UI" w:hAnsi="Segoe UI" w:cs="Segoe UI"/>
          <w:color w:val="1F2933"/>
          <w:sz w:val="21"/>
          <w:szCs w:val="21"/>
          <w:lang w:val="en"/>
        </w:rPr>
        <w:t xml:space="preserve">, as described in Section 12. In addition to this production track record, internal load exercises have separately validated </w:t>
      </w:r>
      <w:r>
        <w:rPr>
          <w:rStyle w:val="Strong"/>
          <w:rFonts w:ascii="Segoe UI" w:hAnsi="Segoe UI" w:cs="Segoe UI"/>
          <w:color w:val="1F2933"/>
          <w:sz w:val="21"/>
          <w:szCs w:val="21"/>
          <w:lang w:val="en"/>
        </w:rPr>
        <w:t>400 concurrent participant joins</w:t>
      </w:r>
      <w:r>
        <w:rPr>
          <w:rFonts w:ascii="Segoe UI" w:hAnsi="Segoe UI" w:cs="Segoe UI"/>
          <w:color w:val="1F2933"/>
          <w:sz w:val="21"/>
          <w:szCs w:val="21"/>
          <w:lang w:val="en"/>
        </w:rPr>
        <w:t xml:space="preserve"> against the production configuration, giving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 tested reference point beyond day-to-day operational use.</w:t>
      </w:r>
    </w:p>
    <w:p w14:paraId="09DD5138"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Beyond these two reference points, the following considerations apply to any deployment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p w14:paraId="0A817DC8" w14:textId="77777777" w:rsidR="00917CFD" w:rsidRDefault="00917CFD">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Final concurrency targets are confirmed during discovery, based on </w:t>
      </w:r>
      <w:r>
        <w:rPr>
          <w:rStyle w:val="Strong"/>
          <w:rFonts w:ascii="Segoe UI" w:eastAsia="Times New Roman" w:hAnsi="Segoe UI" w:cs="Segoe UI"/>
          <w:color w:val="1F2933"/>
          <w:sz w:val="21"/>
          <w:szCs w:val="21"/>
          <w:lang w:val="en"/>
        </w:rPr>
        <w:t>[Concurrent Participants]</w:t>
      </w:r>
      <w:r>
        <w:rPr>
          <w:rFonts w:ascii="Segoe UI" w:eastAsia="Times New Roman" w:hAnsi="Segoe UI" w:cs="Segoe UI"/>
          <w:color w:val="1F2933"/>
          <w:sz w:val="21"/>
          <w:szCs w:val="21"/>
          <w:lang w:val="en"/>
        </w:rPr>
        <w:t>.</w:t>
      </w:r>
    </w:p>
    <w:p w14:paraId="24C30A1F" w14:textId="77777777" w:rsidR="00917CFD" w:rsidRDefault="00917CFD">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Load testing is recommended ahead of any enterprise deployment with a large expected audience.</w:t>
      </w:r>
    </w:p>
    <w:p w14:paraId="6967FE08" w14:textId="77777777" w:rsidR="00917CFD" w:rsidRDefault="00917CFD">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Cloud scaling and infrastructure sizing are based on the expected usage profile agreed with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w:t>
      </w:r>
    </w:p>
    <w:p w14:paraId="558970A4" w14:textId="77777777" w:rsidR="00917CFD" w:rsidRDefault="00917CFD">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For on-premises deployments, real-time performance depends on the client's own infrastructure and network configuration.</w:t>
      </w:r>
    </w:p>
    <w:p w14:paraId="14B32776" w14:textId="77777777" w:rsidR="00917CFD" w:rsidRDefault="00917CFD">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Real-time functionality requires proper network and server configuration to perform as designed.</w:t>
      </w:r>
    </w:p>
    <w:p w14:paraId="37FD9237" w14:textId="77777777" w:rsidR="00917CFD" w:rsidRDefault="00917CFD">
      <w:pPr>
        <w:numPr>
          <w:ilvl w:val="0"/>
          <w:numId w:val="2"/>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Performance monitoring may be included as part of the applicable support and maintenance package (see Section 31).</w:t>
      </w:r>
    </w:p>
    <w:p w14:paraId="15DF123D"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Scaling beyond the levels referenced above is planned and validated against concurrency targets confirmed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during discovery, rather than presented as an open-ended capability. Performance at higher concurrency levels than those referenced above should be validated through load testing scoped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specific requirements before a large-scale go-live.</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32AB6C6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CB61DD" w14:textId="77777777" w:rsidR="00917CFD" w:rsidRDefault="00917CFD">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lastRenderedPageBreak/>
              <w:t>PART FOUR</w:t>
            </w:r>
          </w:p>
          <w:p w14:paraId="7A761B7F" w14:textId="77777777" w:rsidR="00917CFD" w:rsidRDefault="00917CFD">
            <w:pPr>
              <w:pStyle w:val="NormalWeb"/>
              <w:rPr>
                <w:rFonts w:ascii="Segoe UI" w:hAnsi="Segoe UI" w:cs="Segoe UI"/>
                <w:b/>
                <w:bCs/>
                <w:color w:val="FFFFFF"/>
                <w:sz w:val="44"/>
                <w:szCs w:val="44"/>
              </w:rPr>
            </w:pPr>
            <w:r>
              <w:rPr>
                <w:rFonts w:ascii="Segoe UI" w:hAnsi="Segoe UI" w:cs="Segoe UI"/>
                <w:b/>
                <w:bCs/>
                <w:color w:val="FFFFFF"/>
                <w:sz w:val="44"/>
                <w:szCs w:val="44"/>
              </w:rPr>
              <w:t>Delivery</w:t>
            </w:r>
          </w:p>
          <w:p w14:paraId="2009CA87" w14:textId="77777777" w:rsidR="00917CFD" w:rsidRDefault="00917CFD">
            <w:pPr>
              <w:pStyle w:val="NormalWeb"/>
              <w:rPr>
                <w:rFonts w:ascii="Segoe UI" w:hAnsi="Segoe UI" w:cs="Segoe UI"/>
                <w:color w:val="1F2933"/>
              </w:rPr>
            </w:pPr>
            <w:r>
              <w:rPr>
                <w:rFonts w:ascii="Segoe UI" w:hAnsi="Segoe UI" w:cs="Segoe UI"/>
                <w:color w:val="1F2933"/>
              </w:rPr>
              <w:t>How Altanfith plans, governs, and delivers the engagement</w:t>
            </w:r>
          </w:p>
        </w:tc>
      </w:tr>
    </w:tbl>
    <w:p w14:paraId="756A1FE0" w14:textId="77777777" w:rsidR="00917CFD" w:rsidRDefault="00917CFD">
      <w:pPr>
        <w:pStyle w:val="Heading1"/>
        <w:pageBreakBefore/>
        <w:rPr>
          <w:rFonts w:ascii="Segoe UI" w:eastAsia="Times New Roman" w:hAnsi="Segoe UI" w:cs="Segoe UI"/>
          <w:lang w:val="en"/>
        </w:rPr>
      </w:pPr>
      <w:bookmarkStart w:id="41" w:name="_Toc235442969"/>
      <w:r>
        <w:rPr>
          <w:rFonts w:ascii="Segoe UI" w:eastAsia="Times New Roman" w:hAnsi="Segoe UI" w:cs="Segoe UI"/>
          <w:lang w:val="en"/>
        </w:rPr>
        <w:lastRenderedPageBreak/>
        <w:t>25. Implementation Methodology</w:t>
      </w:r>
      <w:bookmarkEnd w:id="41"/>
    </w:p>
    <w:p w14:paraId="0355D5A1"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Altanfith Aldwaliah SPC delivers the Live Quiz Platform through a structured, 17-phase methodology, designed to take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from initial requirements through to a supported, live production system with clear exit criteria at each stage.</w:t>
      </w:r>
    </w:p>
    <w:tbl>
      <w:tblPr>
        <w:tblW w:w="5000" w:type="pct"/>
        <w:tblCellMar>
          <w:top w:w="15" w:type="dxa"/>
          <w:left w:w="15" w:type="dxa"/>
          <w:bottom w:w="15" w:type="dxa"/>
          <w:right w:w="15" w:type="dxa"/>
        </w:tblCellMar>
        <w:tblLook w:val="04A0" w:firstRow="1" w:lastRow="0" w:firstColumn="1" w:lastColumn="0" w:noHBand="0" w:noVBand="1"/>
      </w:tblPr>
      <w:tblGrid>
        <w:gridCol w:w="2347"/>
        <w:gridCol w:w="4785"/>
        <w:gridCol w:w="2487"/>
      </w:tblGrid>
      <w:tr w:rsidR="00000000" w14:paraId="7E867EE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EF141B5"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Phase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872636A"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Purpose &amp; Key Activities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75CCF39"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Exit Criteria</w:t>
            </w:r>
          </w:p>
        </w:tc>
      </w:tr>
      <w:tr w:rsidR="00000000" w14:paraId="5440FD7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BEF215"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 Discovery &amp; Requirements Gathering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59CFD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Structured workshops and stakeholder interviews establish functional, branding, and organizational requirements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875E7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Documented and agreed requirements</w:t>
            </w:r>
          </w:p>
        </w:tc>
      </w:tr>
      <w:tr w:rsidR="00000000" w14:paraId="5FEBA02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496599"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2. Technical Assessment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6CB797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Reviews </w:t>
            </w:r>
            <w:r>
              <w:rPr>
                <w:rStyle w:val="Strong"/>
                <w:rFonts w:ascii="Segoe UI" w:eastAsia="Times New Roman" w:hAnsi="Segoe UI" w:cs="Segoe UI"/>
                <w:color w:val="1F2933"/>
                <w:sz w:val="19"/>
                <w:szCs w:val="19"/>
              </w:rPr>
              <w:t>[Client Infrastructure]</w:t>
            </w:r>
            <w:r>
              <w:rPr>
                <w:rFonts w:ascii="Segoe UI" w:eastAsia="Times New Roman" w:hAnsi="Segoe UI" w:cs="Segoe UI"/>
                <w:color w:val="1F2933"/>
                <w:sz w:val="19"/>
                <w:szCs w:val="19"/>
              </w:rPr>
              <w:t>, network, and hosting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FFD71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Assessment report; confirmed deployment option</w:t>
            </w:r>
          </w:p>
        </w:tc>
      </w:tr>
      <w:tr w:rsidR="00000000" w14:paraId="02CAECD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6B588C"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3. Cybersecurity Review</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30DA0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Engages the client's security team on the proposed architecture and controls (Section 20)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2969C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Client-approved security architecture</w:t>
            </w:r>
          </w:p>
        </w:tc>
      </w:tr>
      <w:tr w:rsidR="00000000" w14:paraId="6E2DCC6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EC4114"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4. Solution Design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8981B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Translates requirements into a detailed solution design, incl. configuration, branding, and custom/integration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425E7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Approved solution design document</w:t>
            </w:r>
          </w:p>
        </w:tc>
      </w:tr>
      <w:tr w:rsidR="00000000" w14:paraId="30FEC8C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082DFD"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5. UI &amp; Branding Customization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D92C5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Applies the client's logo, color palette, themes, and UI text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86A89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Branded environment reviewed by client</w:t>
            </w:r>
          </w:p>
        </w:tc>
      </w:tr>
      <w:tr w:rsidR="00000000" w14:paraId="1B653A1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685F6B"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6.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21546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Configures organizations, departments, user roles, and platform settings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AFC6A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Configured environment ready for build/test</w:t>
            </w:r>
          </w:p>
        </w:tc>
      </w:tr>
      <w:tr w:rsidR="00000000" w14:paraId="7C2F4AB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72E930"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7. Custom Development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68A5E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Builds agreed custom features, workflows, or reports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B2B74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development complete and reviewed</w:t>
            </w:r>
          </w:p>
        </w:tc>
      </w:tr>
      <w:tr w:rsidR="00000000" w14:paraId="5A8C13F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51E915"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8. Integration Development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6790B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Builds and configures agreed integrations (Section 23)</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26836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functioning against client systems</w:t>
            </w:r>
          </w:p>
        </w:tc>
      </w:tr>
      <w:tr w:rsidR="00000000" w14:paraId="0A856F3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E67C6A"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9. Internal Testing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3FC34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Functional and regression testing across the configured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3258C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 results reviewed; defects triaged</w:t>
            </w:r>
          </w:p>
        </w:tc>
      </w:tr>
      <w:tr w:rsidR="00000000" w14:paraId="048FDE7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075F8D"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10. Security Testing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E9794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Security-focused testing against the Section 20 controls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DE05C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Testing complete; remediation applied</w:t>
            </w:r>
          </w:p>
        </w:tc>
      </w:tr>
      <w:tr w:rsidR="00000000" w14:paraId="7FB17C2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553BF1"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11. User Acceptance Testing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E94A7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tests the platform against agreed acceptance criteria (Section 30)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D9AC3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sign-off (Milestone M5)</w:t>
            </w:r>
          </w:p>
        </w:tc>
      </w:tr>
      <w:tr w:rsidR="00000000" w14:paraId="36CDB84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F57FEC"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12. Data Migration (if required)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3955C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Migrates agreed legacy data into the platform, where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9C935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Migrated data validated against source</w:t>
            </w:r>
          </w:p>
        </w:tc>
      </w:tr>
      <w:tr w:rsidR="00000000" w14:paraId="233346B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23CB7F"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13. Deployment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428E1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Deploys the platform to the production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52091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Production environment live and verified</w:t>
            </w:r>
          </w:p>
        </w:tc>
      </w:tr>
      <w:tr w:rsidR="00000000" w14:paraId="4F94C53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2CBD64"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14.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6A4FD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quiz-creator, and support-team training (Section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84B80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completed; materials handed over</w:t>
            </w:r>
          </w:p>
        </w:tc>
      </w:tr>
      <w:tr w:rsidR="00000000" w14:paraId="45F6F00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5F8B71"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15. Go-Live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753AC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Platform goes live for production use, following successful UAT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5CBE2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 checklist completed (Milestone M6)</w:t>
            </w:r>
          </w:p>
        </w:tc>
      </w:tr>
      <w:tr w:rsidR="00000000" w14:paraId="725A3E8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62FB12"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16. 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46BE7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Heightened, close-support monitoring immediately following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05249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completed; no unresolved critical issues</w:t>
            </w:r>
          </w:p>
        </w:tc>
      </w:tr>
      <w:tr w:rsidR="00000000" w14:paraId="15F854F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B1E84D0"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17. Transition to Support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D9CE1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Hands the platform from the project team to ongoing support (Section 31)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C440D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handover complete (Milestone M7)</w:t>
            </w:r>
          </w:p>
        </w:tc>
      </w:tr>
    </w:tbl>
    <w:p w14:paraId="72DF7D69" w14:textId="77777777" w:rsidR="00917CFD" w:rsidRDefault="00917CFD">
      <w:pPr>
        <w:pStyle w:val="Heading1"/>
        <w:rPr>
          <w:rFonts w:ascii="Segoe UI" w:eastAsia="Times New Roman" w:hAnsi="Segoe UI" w:cs="Segoe UI"/>
          <w:lang w:val="en"/>
        </w:rPr>
      </w:pPr>
      <w:bookmarkStart w:id="42" w:name="_Toc235442970"/>
      <w:r>
        <w:rPr>
          <w:rFonts w:ascii="Segoe UI" w:eastAsia="Times New Roman" w:hAnsi="Segoe UI" w:cs="Segoe UI"/>
          <w:lang w:val="en"/>
        </w:rPr>
        <w:t>26. Project Timeline</w:t>
      </w:r>
      <w:bookmarkEnd w:id="42"/>
    </w:p>
    <w:p w14:paraId="02DB1983"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 table below presents a sample timeline of 6–12 weeks, mapped against the phases described in Section 25.</w:t>
      </w:r>
    </w:p>
    <w:tbl>
      <w:tblPr>
        <w:tblW w:w="5000" w:type="pct"/>
        <w:tblCellMar>
          <w:top w:w="15" w:type="dxa"/>
          <w:left w:w="15" w:type="dxa"/>
          <w:bottom w:w="15" w:type="dxa"/>
          <w:right w:w="15" w:type="dxa"/>
        </w:tblCellMar>
        <w:tblLook w:val="04A0" w:firstRow="1" w:lastRow="0" w:firstColumn="1" w:lastColumn="0" w:noHBand="0" w:noVBand="1"/>
      </w:tblPr>
      <w:tblGrid>
        <w:gridCol w:w="1105"/>
        <w:gridCol w:w="8514"/>
      </w:tblGrid>
      <w:tr w:rsidR="00000000" w14:paraId="732A7F3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A6E6D84"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Weeks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96C19E6"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Phases</w:t>
            </w:r>
          </w:p>
        </w:tc>
      </w:tr>
      <w:tr w:rsidR="00000000" w14:paraId="1AEDB69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5E778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1D6D1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Discovery &amp; Requirements Gathering; Technical Assessment; Cybersecurity Review</w:t>
            </w:r>
          </w:p>
        </w:tc>
      </w:tr>
      <w:tr w:rsidR="00000000" w14:paraId="3A89DAE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816B3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W2–4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F9D5B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UI &amp; Branding Customization</w:t>
            </w:r>
          </w:p>
        </w:tc>
      </w:tr>
      <w:tr w:rsidR="00000000" w14:paraId="60D8A08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9F939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W3–7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ED6F6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Configuration; Custom Development; Integration Development</w:t>
            </w:r>
          </w:p>
        </w:tc>
      </w:tr>
      <w:tr w:rsidR="00000000" w14:paraId="5075396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94605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41EED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Testing; Security Testing; User Acceptance Testing</w:t>
            </w:r>
          </w:p>
        </w:tc>
      </w:tr>
      <w:tr w:rsidR="00000000" w14:paraId="5904D37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26EE5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W9–10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9270F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Deployment; Training</w:t>
            </w:r>
          </w:p>
        </w:tc>
      </w:tr>
      <w:tr w:rsidR="00000000" w14:paraId="2E545CA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31D30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W10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7A6A7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w:t>
            </w:r>
          </w:p>
        </w:tc>
      </w:tr>
      <w:tr w:rsidR="00000000" w14:paraId="760C358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728C3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W10–12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7AF4C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Transition to Support</w:t>
            </w:r>
          </w:p>
        </w:tc>
      </w:tr>
    </w:tbl>
    <w:p w14:paraId="4D6D61D7" w14:textId="77777777" w:rsidR="00917CFD" w:rsidRDefault="00917CFD">
      <w:pPr>
        <w:pStyle w:val="Heading2"/>
        <w:rPr>
          <w:rFonts w:ascii="Segoe UI" w:eastAsia="Times New Roman" w:hAnsi="Segoe UI" w:cs="Segoe UI"/>
          <w:lang w:val="en"/>
        </w:rPr>
      </w:pPr>
      <w:bookmarkStart w:id="43" w:name="_Toc235442971"/>
      <w:r>
        <w:rPr>
          <w:rFonts w:ascii="Segoe UI" w:eastAsia="Times New Roman" w:hAnsi="Segoe UI" w:cs="Segoe UI"/>
          <w:lang w:val="en"/>
        </w:rPr>
        <w:t>26.1 Milestones</w:t>
      </w:r>
      <w:bookmarkEnd w:id="43"/>
    </w:p>
    <w:tbl>
      <w:tblPr>
        <w:tblW w:w="5000" w:type="pct"/>
        <w:tblCellMar>
          <w:top w:w="15" w:type="dxa"/>
          <w:left w:w="15" w:type="dxa"/>
          <w:bottom w:w="15" w:type="dxa"/>
          <w:right w:w="15" w:type="dxa"/>
        </w:tblCellMar>
        <w:tblLook w:val="04A0" w:firstRow="1" w:lastRow="0" w:firstColumn="1" w:lastColumn="0" w:noHBand="0" w:noVBand="1"/>
      </w:tblPr>
      <w:tblGrid>
        <w:gridCol w:w="1125"/>
        <w:gridCol w:w="3063"/>
        <w:gridCol w:w="1932"/>
        <w:gridCol w:w="3499"/>
      </w:tblGrid>
      <w:tr w:rsidR="00000000" w14:paraId="21F4B77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84F5622"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Milestone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6A85F2C"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457E889"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Indicative Completion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B80A989"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Sign-off by</w:t>
            </w:r>
          </w:p>
        </w:tc>
      </w:tr>
      <w:tr w:rsidR="00000000" w14:paraId="082F581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2F7A7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7A1B7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Requirements sign-off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7BB3B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A947A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1AD419E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52621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M2</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88CA2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approval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BFA81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A11CA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6EB1BE6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F20BA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M3</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B5FEF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Configured &amp; </w:t>
            </w:r>
            <w:r>
              <w:rPr>
                <w:rFonts w:ascii="Segoe UI" w:eastAsia="Times New Roman" w:hAnsi="Segoe UI" w:cs="Segoe UI"/>
                <w:color w:val="1F2933"/>
                <w:sz w:val="19"/>
                <w:szCs w:val="19"/>
              </w:rPr>
              <w:t>branded environment ready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03999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27BE0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Project Manager</w:t>
            </w:r>
          </w:p>
        </w:tc>
      </w:tr>
      <w:tr w:rsidR="00000000" w14:paraId="72F072D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E14CC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4A66E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complete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5A56C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W7</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BFE63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Technical Lead</w:t>
            </w:r>
          </w:p>
        </w:tc>
      </w:tr>
      <w:tr w:rsidR="00000000" w14:paraId="153E60D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71D92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M5</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A37DC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sign-off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1C733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W9</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7CC27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w:t>
            </w:r>
          </w:p>
        </w:tc>
      </w:tr>
      <w:tr w:rsidR="00000000" w14:paraId="3385B05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162F1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M6</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19390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AEB4A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55AAC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Sponsor</w:t>
            </w:r>
          </w:p>
        </w:tc>
      </w:tr>
      <w:tr w:rsidR="00000000" w14:paraId="0AFEEBC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CBEDB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6AC6E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 exit / support handover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5DE58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3A98A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Project Manager &amp; Altanfith Project Manager</w:t>
            </w:r>
          </w:p>
        </w:tc>
      </w:tr>
    </w:tbl>
    <w:p w14:paraId="70A7F21A" w14:textId="77777777" w:rsidR="00917CFD" w:rsidRDefault="00917CFD">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This timeline is indicative only. The actual project timeline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depends on the final agreed scope, the number and complexity of integrations, and the timeliness of client approvals at each milestone.</w:t>
      </w:r>
    </w:p>
    <w:p w14:paraId="75FFD437" w14:textId="77777777" w:rsidR="00917CFD" w:rsidRDefault="00917CFD">
      <w:pPr>
        <w:pStyle w:val="Heading1"/>
        <w:rPr>
          <w:rFonts w:ascii="Segoe UI" w:eastAsia="Times New Roman" w:hAnsi="Segoe UI" w:cs="Segoe UI"/>
          <w:lang w:val="en"/>
        </w:rPr>
      </w:pPr>
      <w:bookmarkStart w:id="44" w:name="_Toc235442972"/>
      <w:r>
        <w:rPr>
          <w:rFonts w:ascii="Segoe UI" w:eastAsia="Times New Roman" w:hAnsi="Segoe UI" w:cs="Segoe UI"/>
          <w:lang w:val="en"/>
        </w:rPr>
        <w:t>27. Project Governance</w:t>
      </w:r>
      <w:bookmarkEnd w:id="44"/>
    </w:p>
    <w:p w14:paraId="727D3D16"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 engagement is governed through a clearly defined set of roles and a regular reporting cadence, so that progress, issues, and decisions are visible to both parties throughout delivery.</w:t>
      </w:r>
    </w:p>
    <w:tbl>
      <w:tblPr>
        <w:tblW w:w="5000" w:type="pct"/>
        <w:tblCellMar>
          <w:top w:w="15" w:type="dxa"/>
          <w:left w:w="15" w:type="dxa"/>
          <w:bottom w:w="15" w:type="dxa"/>
          <w:right w:w="15" w:type="dxa"/>
        </w:tblCellMar>
        <w:tblLook w:val="04A0" w:firstRow="1" w:lastRow="0" w:firstColumn="1" w:lastColumn="0" w:noHBand="0" w:noVBand="1"/>
      </w:tblPr>
      <w:tblGrid>
        <w:gridCol w:w="3026"/>
        <w:gridCol w:w="6593"/>
      </w:tblGrid>
      <w:tr w:rsidR="00000000" w14:paraId="3D153A7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99D5F9D"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Role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569F628"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Responsibility</w:t>
            </w:r>
          </w:p>
        </w:tc>
      </w:tr>
      <w:tr w:rsidR="00000000" w14:paraId="13C3BE9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71C51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Project Sponsor (client)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A2207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Owns the business case and provides executive-level decisions and escalation support</w:t>
            </w:r>
          </w:p>
        </w:tc>
      </w:tr>
      <w:tr w:rsidR="00000000" w14:paraId="43E2D00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74308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Client Project Manager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776EC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Coordinates client-side stakeholders, approvals, and resourcing</w:t>
            </w:r>
          </w:p>
        </w:tc>
      </w:tr>
      <w:tr w:rsidR="00000000" w14:paraId="1250375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531AF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Project Manager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3E7D0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Coordinates delivery, reporting, and issue/risk management on behalf of Altanfith</w:t>
            </w:r>
          </w:p>
        </w:tc>
      </w:tr>
      <w:tr w:rsidR="00000000" w14:paraId="106E4C4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68A3E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Technical Lead (Altanfith)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63D85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Owns technical design, development, and integration decisions</w:t>
            </w:r>
          </w:p>
        </w:tc>
      </w:tr>
      <w:tr w:rsidR="00000000" w14:paraId="3EEF472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712A1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Cybersecurity Representative (client)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69911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Reviews and approves the security architecture and controls</w:t>
            </w:r>
          </w:p>
        </w:tc>
      </w:tr>
      <w:tr w:rsidR="00000000" w14:paraId="19C031D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89F83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Business Owner (client)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0332C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Confirms functional requirements and acceptance criteria on behalf of the business</w:t>
            </w:r>
          </w:p>
        </w:tc>
      </w:tr>
    </w:tbl>
    <w:p w14:paraId="7D4509BA"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Governance is supported by a consistent set of cadence and mechanics: weekly status meetings; regular progress reporting; a maintained issue log and risk log; a formal change-request management process for scope changes; an escalation process running from project manager to project sponsors; and a documented sign-off process at each milestone described in Section 26.</w:t>
      </w:r>
    </w:p>
    <w:p w14:paraId="5C9311BD" w14:textId="77777777" w:rsidR="00917CFD" w:rsidRDefault="00917CFD">
      <w:pPr>
        <w:pStyle w:val="Heading1"/>
        <w:rPr>
          <w:rFonts w:ascii="Segoe UI" w:eastAsia="Times New Roman" w:hAnsi="Segoe UI" w:cs="Segoe UI"/>
          <w:lang w:val="en"/>
        </w:rPr>
      </w:pPr>
      <w:bookmarkStart w:id="45" w:name="_Toc235442973"/>
      <w:r>
        <w:rPr>
          <w:rFonts w:ascii="Segoe UI" w:eastAsia="Times New Roman" w:hAnsi="Segoe UI" w:cs="Segoe UI"/>
          <w:lang w:val="en"/>
        </w:rPr>
        <w:t>28. Deliverables</w:t>
      </w:r>
      <w:bookmarkEnd w:id="45"/>
    </w:p>
    <w:p w14:paraId="111C7287"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 table below lists the deliverables produced over the course of the engagement.</w:t>
      </w:r>
    </w:p>
    <w:tbl>
      <w:tblPr>
        <w:tblW w:w="5000" w:type="pct"/>
        <w:tblCellMar>
          <w:top w:w="15" w:type="dxa"/>
          <w:left w:w="15" w:type="dxa"/>
          <w:bottom w:w="15" w:type="dxa"/>
          <w:right w:w="15" w:type="dxa"/>
        </w:tblCellMar>
        <w:tblLook w:val="04A0" w:firstRow="1" w:lastRow="0" w:firstColumn="1" w:lastColumn="0" w:noHBand="0" w:noVBand="1"/>
      </w:tblPr>
      <w:tblGrid>
        <w:gridCol w:w="2186"/>
        <w:gridCol w:w="4719"/>
        <w:gridCol w:w="2714"/>
      </w:tblGrid>
      <w:tr w:rsidR="00000000" w14:paraId="1654DD7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B6269FB"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Deliverable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98879DB"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3B79ED3"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Included?</w:t>
            </w:r>
          </w:p>
        </w:tc>
      </w:tr>
      <w:tr w:rsidR="00000000" w14:paraId="0316DE8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C01B4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Requirements document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E2795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Documented, agreed functional and non-functional requirements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55A139"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C92979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648EB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Solution design document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C3742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Detailed design of the configured and/or customized solution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4C923A"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2B4BD2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CEFBA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Configured platform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99610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platform configured per the agreed solution design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2C3332"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CE8568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C8B57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Customized UI</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E76B3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Branding and UI customization applied per Section 25, Phase 5</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0982B5"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6709FB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4BA39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Deployed frontend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D1084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React frontend deployed to the agreed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36FC0F"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88DC4C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AD231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Deployed Express backend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295A1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The Express.js API and WebSocket server deployed to the agreed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71170A"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B85222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C3FB8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 setup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94A0E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Database configured and provisioned per the solution design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EE0010"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18DFFA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7B2E4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 configuration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ABD91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Security controls configured per the client-approved security architecture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B381FA"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1697DF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958D7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roles configured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613E3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configured per the agreed role model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9BF097"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57008B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122D8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account setup</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6A0BE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Initial administrator accounts provisioned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579807"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EC3691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0BACA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EB376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Reporting and analytics configured per Section 16</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B9D8EA"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063247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A285C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F2B32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Materials used in the training described in Section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D0B2AA"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37B288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7B854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manual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B50C0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End-user reference documentation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9A249B"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DEB949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CE6AD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manual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E5322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reference documentation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C2455C"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16B512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AF56B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Deployment guide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9E94B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Documentation of the deployed environment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BC934A"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D9B332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14314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Backup guide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B29BC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Documentation of backup procedures for the deployed environment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0DE871"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3594C7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05716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 handover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DC2BE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Formal handover to the ongoing support team (Phase 17)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8DDCB8"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BEAFD6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D7785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 plan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2FF51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Agreed User Acceptance Testing plan and criteria (Section 30)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DA9DF8"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D0656C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08F94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Test report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4F883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Summary of internal, security, and acceptance testing outcomes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2A3A2C"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C3CA01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3C750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Go-live checklist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633C5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Checklist confirming readiness for production go-live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0E3CBA" w14:textId="77777777" w:rsidR="00917CFD" w:rsidRDefault="00917CFD">
            <w:pPr>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8B5F7C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D630C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Source code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1A126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Provided only where included in the selected commercial model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4066D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Only if included in the commercial model</w:t>
            </w:r>
          </w:p>
        </w:tc>
      </w:tr>
      <w:tr w:rsidR="00000000" w14:paraId="6A5BD37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EF9DE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 documentation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89967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Provided where included in scope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5EFEA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If included</w:t>
            </w:r>
          </w:p>
        </w:tc>
      </w:tr>
    </w:tbl>
    <w:p w14:paraId="5FCD2A31" w14:textId="77777777" w:rsidR="00917CFD" w:rsidRDefault="00917CFD">
      <w:pPr>
        <w:pStyle w:val="Heading1"/>
        <w:rPr>
          <w:rFonts w:ascii="Segoe UI" w:eastAsia="Times New Roman" w:hAnsi="Segoe UI" w:cs="Segoe UI"/>
          <w:lang w:val="en"/>
        </w:rPr>
      </w:pPr>
      <w:bookmarkStart w:id="46" w:name="_Toc235442974"/>
      <w:r>
        <w:rPr>
          <w:rFonts w:ascii="Segoe UI" w:eastAsia="Times New Roman" w:hAnsi="Segoe UI" w:cs="Segoe UI"/>
          <w:lang w:val="en"/>
        </w:rPr>
        <w:t>29. Training and Knowledge Transfer</w:t>
      </w:r>
      <w:bookmarkEnd w:id="46"/>
    </w:p>
    <w:p w14:paraId="5CD87417"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Training is provided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own team can operate, administer, and support the platform confidently after go-live.</w:t>
      </w:r>
    </w:p>
    <w:tbl>
      <w:tblPr>
        <w:tblW w:w="5000" w:type="pct"/>
        <w:tblCellMar>
          <w:top w:w="15" w:type="dxa"/>
          <w:left w:w="15" w:type="dxa"/>
          <w:bottom w:w="15" w:type="dxa"/>
          <w:right w:w="15" w:type="dxa"/>
        </w:tblCellMar>
        <w:tblLook w:val="04A0" w:firstRow="1" w:lastRow="0" w:firstColumn="1" w:lastColumn="0" w:noHBand="0" w:noVBand="1"/>
      </w:tblPr>
      <w:tblGrid>
        <w:gridCol w:w="2984"/>
        <w:gridCol w:w="5617"/>
        <w:gridCol w:w="1018"/>
      </w:tblGrid>
      <w:tr w:rsidR="00000000" w14:paraId="51D99FA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6EA6B79"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Training Item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A29E7FC"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4B57F18"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Status</w:t>
            </w:r>
          </w:p>
        </w:tc>
      </w:tr>
      <w:tr w:rsidR="00000000" w14:paraId="5E55844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CF6F2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Administrator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E8646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administrators on platform configuration and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602AC5"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6C6AA1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BFB6C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Quiz-creator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D3281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staff authoring quizzes and question banks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B4C3C1"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29E455E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772EC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Support-team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49A77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Training for the client's internal support or IT team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AB262C"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7F2B1D3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C14D5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manuals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C0360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Reference documentation for end users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E59252"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313E823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0CC77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Quick-start guide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4DA74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Condensed getting-started reference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182B35" w14:textId="77777777" w:rsidR="00917CFD" w:rsidRDefault="00917CFD">
            <w:pPr>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Pr>
              <w:t>Included</w:t>
            </w:r>
          </w:p>
        </w:tc>
      </w:tr>
      <w:tr w:rsidR="00000000" w14:paraId="5647791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1682B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Recorded training</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A2C28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Recorded training sessions for later reference or onboarding new staff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0CEF5C"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7F00C86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FDF51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Train-the-trainer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B0965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Enables client-side trainers to deliver ongoing internal training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83CA9C"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r w:rsidR="00000000" w14:paraId="466C82F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15938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Arabic and English 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CA6A9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Bilingual training material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6882BD" w14:textId="77777777" w:rsidR="00917CFD" w:rsidRDefault="00917CFD">
            <w:pPr>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Pr>
              <w:t>Optional</w:t>
            </w:r>
          </w:p>
        </w:tc>
      </w:tr>
    </w:tbl>
    <w:p w14:paraId="4BE95D07" w14:textId="77777777" w:rsidR="00917CFD" w:rsidRDefault="00917CFD">
      <w:pPr>
        <w:pStyle w:val="Heading1"/>
        <w:rPr>
          <w:rFonts w:ascii="Segoe UI" w:eastAsia="Times New Roman" w:hAnsi="Segoe UI" w:cs="Segoe UI"/>
          <w:lang w:val="en"/>
        </w:rPr>
      </w:pPr>
      <w:bookmarkStart w:id="47" w:name="_Toc235442975"/>
      <w:r>
        <w:rPr>
          <w:rFonts w:ascii="Segoe UI" w:eastAsia="Times New Roman" w:hAnsi="Segoe UI" w:cs="Segoe UI"/>
          <w:lang w:val="en"/>
        </w:rPr>
        <w:t>30. Testing and Acceptance</w:t>
      </w:r>
      <w:bookmarkEnd w:id="47"/>
    </w:p>
    <w:p w14:paraId="52A2B5D3"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platform passes through three layers of testing before it is accepted for production go-live. Altanfith performs internal functional and regression testing (Phase 9) across the configured environment, followed by security-focused testing (Phase 10) against the controls described in Section 20, ahead of client security review and sign-off. User Acceptance Testing (Phase 11) is then carried out </w:t>
      </w:r>
      <w:r>
        <w:rPr>
          <w:rFonts w:ascii="Segoe UI" w:hAnsi="Segoe UI" w:cs="Segoe UI"/>
          <w:color w:val="1F2933"/>
          <w:sz w:val="21"/>
          <w:szCs w:val="21"/>
          <w:lang w:val="en"/>
        </w:rPr>
        <w:lastRenderedPageBreak/>
        <w:t xml:space="preserve">against a client-approved UAT plan and agreed acceptance criteria,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 not Altanfith alone — confirms that the configured platform meets its requirements before go-live.</w:t>
      </w:r>
    </w:p>
    <w:p w14:paraId="47264927"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Any defects identified during internal, security, or acceptance testing are triaged using the same four-level severity model used for support (Section 32): Critical, High, Medium, and Low. UAT sign-off is Milestone M5 in the project timeline (Section 26), and it gates go-live: production rollout depends on successful UAT.</w:t>
      </w:r>
    </w:p>
    <w:p w14:paraId="22D12D6B" w14:textId="77777777" w:rsidR="00917CFD" w:rsidRDefault="00917CFD">
      <w:pPr>
        <w:pStyle w:val="Heading1"/>
        <w:rPr>
          <w:rFonts w:ascii="Segoe UI" w:eastAsia="Times New Roman" w:hAnsi="Segoe UI" w:cs="Segoe UI"/>
          <w:lang w:val="en"/>
        </w:rPr>
      </w:pPr>
      <w:bookmarkStart w:id="48" w:name="_Toc235442976"/>
      <w:r>
        <w:rPr>
          <w:rFonts w:ascii="Segoe UI" w:eastAsia="Times New Roman" w:hAnsi="Segoe UI" w:cs="Segoe UI"/>
          <w:lang w:val="en"/>
        </w:rPr>
        <w:t>31. Support and Maintenance</w:t>
      </w:r>
      <w:bookmarkEnd w:id="48"/>
    </w:p>
    <w:p w14:paraId="4DC829F4"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Ongoing support is delivered under one of three packages,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level of coverage and responsiveness that matches its operational needs.</w:t>
      </w:r>
    </w:p>
    <w:tbl>
      <w:tblPr>
        <w:tblW w:w="5000" w:type="pct"/>
        <w:tblCellMar>
          <w:top w:w="15" w:type="dxa"/>
          <w:left w:w="15" w:type="dxa"/>
          <w:bottom w:w="15" w:type="dxa"/>
          <w:right w:w="15" w:type="dxa"/>
        </w:tblCellMar>
        <w:tblLook w:val="04A0" w:firstRow="1" w:lastRow="0" w:firstColumn="1" w:lastColumn="0" w:noHBand="0" w:noVBand="1"/>
      </w:tblPr>
      <w:tblGrid>
        <w:gridCol w:w="980"/>
        <w:gridCol w:w="8639"/>
      </w:tblGrid>
      <w:tr w:rsidR="00000000" w14:paraId="7B18561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2FE4571"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Package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FBAC4AF"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Includes</w:t>
            </w:r>
          </w:p>
        </w:tc>
      </w:tr>
      <w:tr w:rsidR="00000000" w14:paraId="1042983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ABE5D4"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Bronze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9CF3D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Oman business-hours support; email support; bug fixes; standard updates; best-effort response</w:t>
            </w:r>
          </w:p>
        </w:tc>
      </w:tr>
      <w:tr w:rsidR="00000000" w14:paraId="49BB3ED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D6DA36"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Silver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7E2E1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Everything in Bronze, plus: priority support; faster response times; monthly system health review; performance optimization; minor improvements; remote assistance</w:t>
            </w:r>
          </w:p>
        </w:tc>
      </w:tr>
      <w:tr w:rsidR="00000000" w14:paraId="73EACA9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658136"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Gold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1AD1A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Everything in Silver, plus: critical incident support; dedicated support contact; priority issue resolution; proactive monitoring; security monitoring; quarterly service review; emergency support; 24/7 support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 dedicated development allocation (</w:t>
            </w:r>
            <w:r>
              <w:rPr>
                <w:rStyle w:val="badge-opt1"/>
                <w:rFonts w:ascii="Segoe UI" w:eastAsia="Times New Roman" w:hAnsi="Segoe UI" w:cs="Segoe UI"/>
                <w:sz w:val="19"/>
                <w:szCs w:val="19"/>
              </w:rPr>
              <w:t>Optional</w:t>
            </w:r>
            <w:r>
              <w:rPr>
                <w:rFonts w:ascii="Segoe UI" w:eastAsia="Times New Roman" w:hAnsi="Segoe UI" w:cs="Segoe UI"/>
                <w:color w:val="1F2933"/>
                <w:sz w:val="19"/>
                <w:szCs w:val="19"/>
              </w:rPr>
              <w:t>)</w:t>
            </w:r>
          </w:p>
        </w:tc>
      </w:tr>
    </w:tbl>
    <w:p w14:paraId="116BD10A" w14:textId="77777777" w:rsidR="00917CFD" w:rsidRDefault="00917CFD">
      <w:pPr>
        <w:pStyle w:val="Heading1"/>
        <w:rPr>
          <w:rFonts w:ascii="Segoe UI" w:eastAsia="Times New Roman" w:hAnsi="Segoe UI" w:cs="Segoe UI"/>
          <w:lang w:val="en"/>
        </w:rPr>
      </w:pPr>
      <w:bookmarkStart w:id="49" w:name="_Toc235442977"/>
      <w:r>
        <w:rPr>
          <w:rFonts w:ascii="Segoe UI" w:eastAsia="Times New Roman" w:hAnsi="Segoe UI" w:cs="Segoe UI"/>
          <w:lang w:val="en"/>
        </w:rPr>
        <w:t>32. SLA</w:t>
      </w:r>
      <w:bookmarkEnd w:id="49"/>
    </w:p>
    <w:p w14:paraId="703F249A"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Service levels are defined by severity, with response time and target resolution time tracked as two separate measures — response confirms that an issue has been received and is being actioned; resolution is the target time to resolve it, and is not a guarantee.</w:t>
      </w:r>
    </w:p>
    <w:tbl>
      <w:tblPr>
        <w:tblW w:w="5000" w:type="pct"/>
        <w:tblCellMar>
          <w:top w:w="15" w:type="dxa"/>
          <w:left w:w="15" w:type="dxa"/>
          <w:bottom w:w="15" w:type="dxa"/>
          <w:right w:w="15" w:type="dxa"/>
        </w:tblCellMar>
        <w:tblLook w:val="04A0" w:firstRow="1" w:lastRow="0" w:firstColumn="1" w:lastColumn="0" w:noHBand="0" w:noVBand="1"/>
      </w:tblPr>
      <w:tblGrid>
        <w:gridCol w:w="1330"/>
        <w:gridCol w:w="4271"/>
        <w:gridCol w:w="1711"/>
        <w:gridCol w:w="2307"/>
      </w:tblGrid>
      <w:tr w:rsidR="00000000" w14:paraId="10FF4D7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16C1C16"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Severity</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B7E4072"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Definition</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57B480D"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Response Time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58817A1"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Target Resolution Time</w:t>
            </w:r>
          </w:p>
        </w:tc>
      </w:tr>
      <w:tr w:rsidR="00000000" w14:paraId="3D8E329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4B76C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 Critical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18214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Platform down / live session blocked for all users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C2A0F4"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A56E88"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552C84A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37CD3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 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C92C5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Major function degraded, no workaround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B80D7A"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EA00C6"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1CB88CC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E98A2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 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66D13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Limited impact, workaround exists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740D69"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3328FF"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r w:rsidR="00000000" w14:paraId="711C5A6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FDE62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4 — Low</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73CFB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Cosmetic / question / minor request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F4A66C"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[Response Time]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A1829C"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[TBC]</w:t>
            </w:r>
          </w:p>
        </w:tc>
      </w:tr>
    </w:tbl>
    <w:p w14:paraId="67C64444" w14:textId="77777777" w:rsidR="00917CFD" w:rsidRDefault="00917CFD">
      <w:pPr>
        <w:pStyle w:val="notice"/>
        <w:spacing w:before="120" w:beforeAutospacing="0" w:after="120" w:afterAutospacing="0"/>
        <w:rPr>
          <w:rFonts w:ascii="Segoe UI" w:hAnsi="Segoe UI" w:cs="Segoe UI"/>
          <w:color w:val="1F2933"/>
          <w:sz w:val="21"/>
          <w:szCs w:val="21"/>
          <w:lang w:val="en"/>
        </w:rPr>
      </w:pPr>
      <w:r>
        <w:rPr>
          <w:rFonts w:ascii="Segoe UI" w:hAnsi="Segoe UI" w:cs="Segoe UI"/>
          <w:color w:val="1F2933"/>
          <w:sz w:val="21"/>
          <w:szCs w:val="21"/>
          <w:lang w:val="en"/>
        </w:rPr>
        <w:t xml:space="preserve">Response and target resolution times are separate measures: response time confirms an issue has been received and triaged; target resolution time is a goal, dependent on the agreed SLA, and is not a guaranteed outcome. Actual values depend on the support package selected (Section 31) and the SLA agreed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24/7 coverage applies only where the Gold 24/7 option has been purchased.</w:t>
      </w:r>
    </w:p>
    <w:tbl>
      <w:tblPr>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09E3B35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35CCEE" w14:textId="77777777" w:rsidR="00917CFD" w:rsidRDefault="00917CFD">
            <w:pPr>
              <w:pStyle w:val="tag"/>
              <w:spacing w:before="120" w:beforeAutospacing="0" w:after="120" w:afterAutospacing="0"/>
              <w:rPr>
                <w:rFonts w:ascii="Segoe UI" w:hAnsi="Segoe UI" w:cs="Segoe UI"/>
                <w:spacing w:val="40"/>
                <w:sz w:val="22"/>
                <w:szCs w:val="22"/>
              </w:rPr>
            </w:pPr>
            <w:r>
              <w:rPr>
                <w:rFonts w:ascii="Segoe UI" w:hAnsi="Segoe UI" w:cs="Segoe UI"/>
                <w:spacing w:val="40"/>
                <w:sz w:val="22"/>
                <w:szCs w:val="22"/>
              </w:rPr>
              <w:t>PART FIVE</w:t>
            </w:r>
          </w:p>
          <w:p w14:paraId="77039356" w14:textId="77777777" w:rsidR="00917CFD" w:rsidRDefault="00917CFD">
            <w:pPr>
              <w:pStyle w:val="NormalWeb"/>
              <w:rPr>
                <w:rFonts w:ascii="Segoe UI" w:hAnsi="Segoe UI" w:cs="Segoe UI"/>
                <w:b/>
                <w:bCs/>
                <w:color w:val="FFFFFF"/>
                <w:sz w:val="44"/>
                <w:szCs w:val="44"/>
              </w:rPr>
            </w:pPr>
            <w:r>
              <w:rPr>
                <w:rFonts w:ascii="Segoe UI" w:hAnsi="Segoe UI" w:cs="Segoe UI"/>
                <w:b/>
                <w:bCs/>
                <w:color w:val="FFFFFF"/>
                <w:sz w:val="44"/>
                <w:szCs w:val="44"/>
              </w:rPr>
              <w:t>Commercial &amp; Legal Terms</w:t>
            </w:r>
          </w:p>
          <w:p w14:paraId="5F383204" w14:textId="77777777" w:rsidR="00917CFD" w:rsidRDefault="00917CFD">
            <w:pPr>
              <w:pStyle w:val="NormalWeb"/>
              <w:rPr>
                <w:rFonts w:ascii="Segoe UI" w:hAnsi="Segoe UI" w:cs="Segoe UI"/>
                <w:color w:val="1F2933"/>
              </w:rPr>
            </w:pPr>
            <w:r>
              <w:rPr>
                <w:rFonts w:ascii="Segoe UI" w:hAnsi="Segoe UI" w:cs="Segoe UI"/>
                <w:color w:val="1F2933"/>
              </w:rPr>
              <w:t xml:space="preserve">Pricing models, terms, and the path to a signed agreement with </w:t>
            </w:r>
            <w:r>
              <w:rPr>
                <w:rStyle w:val="Strong"/>
                <w:rFonts w:ascii="Segoe UI" w:hAnsi="Segoe UI" w:cs="Segoe UI"/>
                <w:color w:val="1F2933"/>
              </w:rPr>
              <w:t>[Client Name]</w:t>
            </w:r>
          </w:p>
        </w:tc>
      </w:tr>
    </w:tbl>
    <w:p w14:paraId="7F6331E5" w14:textId="77777777" w:rsidR="00917CFD" w:rsidRDefault="00917CFD">
      <w:pPr>
        <w:pStyle w:val="Heading1"/>
        <w:pageBreakBefore/>
        <w:rPr>
          <w:rFonts w:ascii="Segoe UI" w:eastAsia="Times New Roman" w:hAnsi="Segoe UI" w:cs="Segoe UI"/>
          <w:lang w:val="en"/>
        </w:rPr>
      </w:pPr>
      <w:bookmarkStart w:id="50" w:name="_Toc235442978"/>
      <w:r>
        <w:rPr>
          <w:rFonts w:ascii="Segoe UI" w:eastAsia="Times New Roman" w:hAnsi="Segoe UI" w:cs="Segoe UI"/>
          <w:lang w:val="en"/>
        </w:rPr>
        <w:lastRenderedPageBreak/>
        <w:t>33. Commercial Models</w:t>
      </w:r>
      <w:bookmarkEnd w:id="50"/>
    </w:p>
    <w:p w14:paraId="1B7E079E"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Live Quiz Platform is offered under three distinct commercial models, so that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can select the ownership, cost, and delivery structure that best fits its procurement approach. All figures shown in this and the following section are editable placeholders; final pricing is confirmed after the discovery phase described in Section 25.</w:t>
      </w:r>
    </w:p>
    <w:p w14:paraId="4CF701C1" w14:textId="77777777" w:rsidR="00917CFD" w:rsidRDefault="00917CFD">
      <w:pPr>
        <w:pStyle w:val="Heading2"/>
        <w:rPr>
          <w:rFonts w:ascii="Segoe UI" w:eastAsia="Times New Roman" w:hAnsi="Segoe UI" w:cs="Segoe UI"/>
          <w:lang w:val="en"/>
        </w:rPr>
      </w:pPr>
      <w:bookmarkStart w:id="51" w:name="_Toc235442979"/>
      <w:r>
        <w:rPr>
          <w:rFonts w:ascii="Segoe UI" w:eastAsia="Times New Roman" w:hAnsi="Segoe UI" w:cs="Segoe UI"/>
          <w:lang w:val="en"/>
        </w:rPr>
        <w:t>33.1 Model A — Annual SaaS Subscription</w:t>
      </w:r>
      <w:bookmarkEnd w:id="51"/>
    </w:p>
    <w:p w14:paraId="3B0B1C49"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An annual, subscription-based model in which Altanfith hosts and operates the platform on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behalf. Includes: annual license; cloud hosting; maintenance; security updates; backup; monitoring; support; standard upgrades; an agreed number of users and sessions; an AI usage allowance, with optional overage pricing; customization priced separately from the base subscription.</w:t>
      </w:r>
    </w:p>
    <w:p w14:paraId="3448E7D3" w14:textId="77777777" w:rsidR="00917CFD" w:rsidRDefault="00917CFD">
      <w:pPr>
        <w:pStyle w:val="Heading2"/>
        <w:rPr>
          <w:rFonts w:ascii="Segoe UI" w:eastAsia="Times New Roman" w:hAnsi="Segoe UI" w:cs="Segoe UI"/>
          <w:lang w:val="en"/>
        </w:rPr>
      </w:pPr>
      <w:bookmarkStart w:id="52" w:name="_Toc235442980"/>
      <w:r>
        <w:rPr>
          <w:rFonts w:ascii="Segoe UI" w:eastAsia="Times New Roman" w:hAnsi="Segoe UI" w:cs="Segoe UI"/>
          <w:lang w:val="en"/>
        </w:rPr>
        <w:t>33.2 Model B — Perpetual License / One-Time Purchase</w:t>
      </w:r>
      <w:bookmarkEnd w:id="52"/>
    </w:p>
    <w:p w14:paraId="6BF2522E"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 one-time purchase model suited to organizations that prefer to own the software outright. Includes: one-time software license; deployment; initial configuration; training; documentation; an optional source-code license; optional source-code ownership; optional annual maintenance, recommended at </w:t>
      </w:r>
      <w:r>
        <w:rPr>
          <w:rStyle w:val="Strong"/>
          <w:rFonts w:ascii="Segoe UI" w:hAnsi="Segoe UI" w:cs="Segoe UI"/>
          <w:color w:val="1F2933"/>
          <w:sz w:val="21"/>
          <w:szCs w:val="21"/>
          <w:lang w:val="en"/>
        </w:rPr>
        <w:t>[TBC]%</w:t>
      </w:r>
      <w:r>
        <w:rPr>
          <w:rFonts w:ascii="Segoe UI" w:hAnsi="Segoe UI" w:cs="Segoe UI"/>
          <w:color w:val="1F2933"/>
          <w:sz w:val="21"/>
          <w:szCs w:val="21"/>
          <w:lang w:val="en"/>
        </w:rPr>
        <w:t xml:space="preserve"> of software value, payable annually in advance. Major new features are excluded unless separately agreed, and infrastructure costs are excluded unless explicitly listed in the quotation.</w:t>
      </w:r>
    </w:p>
    <w:p w14:paraId="4A47A852" w14:textId="77777777" w:rsidR="00917CFD" w:rsidRDefault="00917CFD">
      <w:pPr>
        <w:pStyle w:val="Heading2"/>
        <w:rPr>
          <w:rFonts w:ascii="Segoe UI" w:eastAsia="Times New Roman" w:hAnsi="Segoe UI" w:cs="Segoe UI"/>
          <w:lang w:val="en"/>
        </w:rPr>
      </w:pPr>
      <w:bookmarkStart w:id="53" w:name="_Toc235442981"/>
      <w:r>
        <w:rPr>
          <w:rFonts w:ascii="Segoe UI" w:eastAsia="Times New Roman" w:hAnsi="Segoe UI" w:cs="Segoe UI"/>
          <w:lang w:val="en"/>
        </w:rPr>
        <w:t>33.3 Model C — Enterprise Custom Development Partnership</w:t>
      </w:r>
      <w:bookmarkEnd w:id="53"/>
    </w:p>
    <w:p w14:paraId="3A112423"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An ongoing partnership model for organizations requiring deep customization and integration work. Includes: a discovery workshop; customized workflows; custom reports; system integrations (single sign-on, Microsoft Entra ID / Active Directory, HR systems, LMS, Microsoft Teams, Power BI); dedicated support; phased delivery; change requests handled and quoted separately (Section 38); and dedicated development hours or a retainer arrangement.</w:t>
      </w:r>
    </w:p>
    <w:p w14:paraId="3EA41E18" w14:textId="77777777" w:rsidR="00917CFD" w:rsidRDefault="00917CFD">
      <w:pPr>
        <w:pStyle w:val="Heading2"/>
        <w:rPr>
          <w:rFonts w:ascii="Segoe UI" w:eastAsia="Times New Roman" w:hAnsi="Segoe UI" w:cs="Segoe UI"/>
          <w:lang w:val="en"/>
        </w:rPr>
      </w:pPr>
      <w:bookmarkStart w:id="54" w:name="_Toc235442982"/>
      <w:r>
        <w:rPr>
          <w:rFonts w:ascii="Segoe UI" w:eastAsia="Times New Roman" w:hAnsi="Segoe UI" w:cs="Segoe UI"/>
          <w:lang w:val="en"/>
        </w:rPr>
        <w:t>33.4 Model Comparison</w:t>
      </w:r>
      <w:bookmarkEnd w:id="54"/>
    </w:p>
    <w:tbl>
      <w:tblPr>
        <w:tblW w:w="5000" w:type="pct"/>
        <w:tblCellMar>
          <w:top w:w="15" w:type="dxa"/>
          <w:left w:w="15" w:type="dxa"/>
          <w:bottom w:w="15" w:type="dxa"/>
          <w:right w:w="15" w:type="dxa"/>
        </w:tblCellMar>
        <w:tblLook w:val="04A0" w:firstRow="1" w:lastRow="0" w:firstColumn="1" w:lastColumn="0" w:noHBand="0" w:noVBand="1"/>
      </w:tblPr>
      <w:tblGrid>
        <w:gridCol w:w="1257"/>
        <w:gridCol w:w="2731"/>
        <w:gridCol w:w="2567"/>
        <w:gridCol w:w="3064"/>
      </w:tblGrid>
      <w:tr w:rsidR="00000000" w14:paraId="2D7D0B8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9234E38" w14:textId="77777777" w:rsidR="00917CFD" w:rsidRDefault="00917CFD">
            <w:pPr>
              <w:rPr>
                <w:rFonts w:ascii="Segoe UI" w:eastAsia="Times New Roman" w:hAnsi="Segoe UI" w:cs="Segoe UI"/>
                <w:lang w:val="en"/>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A7C8978"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 A — SaaS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6B2933E"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 B — Perpetual License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BC77268"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 C — Enterprise Partnership</w:t>
            </w:r>
          </w:p>
        </w:tc>
      </w:tr>
      <w:tr w:rsidR="00000000" w14:paraId="537F184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2FE461"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Ownership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5928C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Altanfith-hosted; no source-code ownership by default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7DC4A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Client-owned license; source code optional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ED8E7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agreed scope; typically Altanfith-hosted with client-owned outputs</w:t>
            </w:r>
          </w:p>
        </w:tc>
      </w:tr>
      <w:tr w:rsidR="00000000" w14:paraId="0643D4B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D2A28C"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Upfront cost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B2B76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Low — annual subscription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324BB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Higher — one-time license fee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8ED9B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Variable — scoped by engagement</w:t>
            </w:r>
          </w:p>
        </w:tc>
      </w:tr>
      <w:tr w:rsidR="00000000" w14:paraId="6FD4583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436A82"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Hosting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59DFC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Altanfith-managed cloud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E9E9E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Client-managed, on-premises or client-selected cloud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BFD17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Per final design (Section 19)</w:t>
            </w:r>
          </w:p>
        </w:tc>
      </w:tr>
      <w:tr w:rsidR="00000000" w14:paraId="17733BF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490B79"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Upgrades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4A048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Included, standard upgrades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9CE4F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Major features excluded unless agreed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08D8D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Delivered as part of the ongoing partnership</w:t>
            </w:r>
          </w:p>
        </w:tc>
      </w:tr>
      <w:tr w:rsidR="00000000" w14:paraId="3946507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CF8137"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Best for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9CEDB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Fastest implementation; lowest initial investment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57DA4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Organizations preferring outright ownership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5C842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Organizations needing deep customization and integration</w:t>
            </w:r>
          </w:p>
        </w:tc>
      </w:tr>
    </w:tbl>
    <w:p w14:paraId="5988C016" w14:textId="77777777" w:rsidR="00917CFD" w:rsidRDefault="00917CFD">
      <w:pPr>
        <w:pStyle w:val="Heading1"/>
        <w:rPr>
          <w:rFonts w:ascii="Segoe UI" w:eastAsia="Times New Roman" w:hAnsi="Segoe UI" w:cs="Segoe UI"/>
          <w:lang w:val="en"/>
        </w:rPr>
      </w:pPr>
      <w:bookmarkStart w:id="55" w:name="_Toc235442983"/>
      <w:r>
        <w:rPr>
          <w:rFonts w:ascii="Segoe UI" w:eastAsia="Times New Roman" w:hAnsi="Segoe UI" w:cs="Segoe UI"/>
          <w:lang w:val="en"/>
        </w:rPr>
        <w:t>34. Pricing Tables</w:t>
      </w:r>
      <w:bookmarkEnd w:id="55"/>
    </w:p>
    <w:p w14:paraId="6E3DFF4E"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tables below set out the pricing structure for each commercial model. All amounts are shown as </w:t>
      </w:r>
      <w:r>
        <w:rPr>
          <w:rStyle w:val="Strong"/>
          <w:rFonts w:ascii="Segoe UI" w:hAnsi="Segoe UI" w:cs="Segoe UI"/>
          <w:color w:val="1F2933"/>
          <w:sz w:val="21"/>
          <w:szCs w:val="21"/>
          <w:lang w:val="en"/>
        </w:rPr>
        <w:t>OMR [TBC]</w:t>
      </w:r>
      <w:r>
        <w:rPr>
          <w:rFonts w:ascii="Segoe UI" w:hAnsi="Segoe UI" w:cs="Segoe UI"/>
          <w:color w:val="1F2933"/>
          <w:sz w:val="21"/>
          <w:szCs w:val="21"/>
          <w:lang w:val="en"/>
        </w:rPr>
        <w:t xml:space="preserve"> or </w:t>
      </w:r>
      <w:r>
        <w:rPr>
          <w:rStyle w:val="Strong"/>
          <w:rFonts w:ascii="Segoe UI" w:hAnsi="Segoe UI" w:cs="Segoe UI"/>
          <w:color w:val="1F2933"/>
          <w:sz w:val="21"/>
          <w:szCs w:val="21"/>
          <w:lang w:val="en"/>
        </w:rPr>
        <w:t>[TBC]%</w:t>
      </w:r>
      <w:r>
        <w:rPr>
          <w:rFonts w:ascii="Segoe UI" w:hAnsi="Segoe UI" w:cs="Segoe UI"/>
          <w:color w:val="1F2933"/>
          <w:sz w:val="21"/>
          <w:szCs w:val="21"/>
          <w:lang w:val="en"/>
        </w:rPr>
        <w:t xml:space="preserve"> placeholders; they are editable and are provided to illustrate the pricing structure only. Final pricing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is confirmed after the discovery phase (Section 25, Phase 1), once the factors listed in Section 34.4 are known.</w:t>
      </w:r>
    </w:p>
    <w:tbl>
      <w:tblPr>
        <w:tblW w:w="5000" w:type="pct"/>
        <w:tblCellMar>
          <w:top w:w="15" w:type="dxa"/>
          <w:left w:w="15" w:type="dxa"/>
          <w:bottom w:w="15" w:type="dxa"/>
          <w:right w:w="15" w:type="dxa"/>
        </w:tblCellMar>
        <w:tblLook w:val="04A0" w:firstRow="1" w:lastRow="0" w:firstColumn="1" w:lastColumn="0" w:noHBand="0" w:noVBand="1"/>
      </w:tblPr>
      <w:tblGrid>
        <w:gridCol w:w="3436"/>
        <w:gridCol w:w="4829"/>
        <w:gridCol w:w="1354"/>
      </w:tblGrid>
      <w:tr w:rsidR="00000000" w14:paraId="4FA081D5"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B784214"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Model</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F8BE517"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Item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4E06572"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Price</w:t>
            </w:r>
          </w:p>
        </w:tc>
      </w:tr>
      <w:tr w:rsidR="00000000" w14:paraId="007BBAF5"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A1A3CA"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A — Annual SaaS Subscription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156D4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Subscription</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0EF28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7D442F7E"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25BFF12B" w14:textId="77777777" w:rsidR="00917CFD" w:rsidRDefault="00917CFD">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93BFE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Additional User Pack</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352E7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3021F59A"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3BDEF1AE" w14:textId="77777777" w:rsidR="00917CFD" w:rsidRDefault="00917CFD">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EA724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Consumption Allowance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2E23D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r>
      <w:tr w:rsidR="00000000" w14:paraId="39782231"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21D7F083" w14:textId="77777777" w:rsidR="00917CFD" w:rsidRDefault="00917CFD">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3283B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Overage (beyond agreed usage)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F3F12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173F5421"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C47948"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 — Perpetual License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6DA3F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One-Time License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36ED6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61299F91"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738B2E2F" w14:textId="77777777" w:rsidR="00917CFD" w:rsidRDefault="00917CFD">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77A3C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Implementation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D2057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51E81E3B"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14DB73FE" w14:textId="77777777" w:rsidR="00917CFD" w:rsidRDefault="00917CFD">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FD837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Annual Maintenance (optional, recommended)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A9E5F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r>
      <w:tr w:rsidR="00000000" w14:paraId="1134C604"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50DC8DAE" w14:textId="77777777" w:rsidR="00917CFD" w:rsidRDefault="00917CFD">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343AA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Source-Code License (optional)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BB0ED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5FE0B9FD"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9D499E"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 — Enterprise Partnership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1DF4C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Discovery Workshop</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449A5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6905D9DB"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4B4C1153" w14:textId="77777777" w:rsidR="00917CFD" w:rsidRDefault="00917CFD">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41850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Custom Development Day Rate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9847C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45046402"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2083947B" w14:textId="77777777" w:rsidR="00917CFD" w:rsidRDefault="00917CFD">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E3F81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Monthly Retainer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B085A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r w:rsidR="00000000" w14:paraId="3D630EAF"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547D82BB" w14:textId="77777777" w:rsidR="00917CFD" w:rsidRDefault="00917CFD">
            <w:pPr>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0D304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Package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00EBC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OMR [TBC]</w:t>
            </w:r>
          </w:p>
        </w:tc>
      </w:tr>
    </w:tbl>
    <w:p w14:paraId="1C37290B" w14:textId="77777777" w:rsidR="00917CFD" w:rsidRDefault="00917CFD">
      <w:pPr>
        <w:pStyle w:val="Heading2"/>
        <w:rPr>
          <w:rFonts w:ascii="Segoe UI" w:eastAsia="Times New Roman" w:hAnsi="Segoe UI" w:cs="Segoe UI"/>
          <w:lang w:val="en"/>
        </w:rPr>
      </w:pPr>
      <w:bookmarkStart w:id="56" w:name="_Toc235442984"/>
      <w:r>
        <w:rPr>
          <w:rFonts w:ascii="Segoe UI" w:eastAsia="Times New Roman" w:hAnsi="Segoe UI" w:cs="Segoe UI"/>
          <w:lang w:val="en"/>
        </w:rPr>
        <w:t>34.4 Pricing Methodology</w:t>
      </w:r>
      <w:bookmarkEnd w:id="56"/>
    </w:p>
    <w:p w14:paraId="0B2E39D4"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Final pricing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depends on a defined set of factors, confirmed during discovery: number of users · number of administrators · number of organizations/departments · expected concurrent users · number of live sessions · hosting model · data residency · AI usage · level of customization · system integrations · support SLA · cybersecurity requirements · source-code requirements · reporting requirements · language requirements · training requirements · project duration.</w:t>
      </w:r>
    </w:p>
    <w:p w14:paraId="076D41A7" w14:textId="77777777" w:rsidR="00917CFD" w:rsidRDefault="00917CFD">
      <w:pPr>
        <w:pStyle w:val="Heading1"/>
        <w:rPr>
          <w:rFonts w:ascii="Segoe UI" w:eastAsia="Times New Roman" w:hAnsi="Segoe UI" w:cs="Segoe UI"/>
          <w:lang w:val="en"/>
        </w:rPr>
      </w:pPr>
      <w:bookmarkStart w:id="57" w:name="_Toc235442985"/>
      <w:r>
        <w:rPr>
          <w:rFonts w:ascii="Segoe UI" w:eastAsia="Times New Roman" w:hAnsi="Segoe UI" w:cs="Segoe UI"/>
          <w:lang w:val="en"/>
        </w:rPr>
        <w:t>35. Assumptions</w:t>
      </w:r>
      <w:bookmarkEnd w:id="57"/>
    </w:p>
    <w:p w14:paraId="057C49A9"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and the pricing in Section 34, are prepared on the basis of the following assumptions. Where an assumption does not hold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scope and pricing are revisited during discovery.</w:t>
      </w:r>
    </w:p>
    <w:p w14:paraId="0C228F65"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1.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provides timely access to relevant stakeholders throughout the engagement. 2.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provides branding material (logo, color palette, style guidance) required for UI customization. 3.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provides infrastructure for an on-premises deployment, where selected. 4.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reviews and approves security and network configurations as they are proposed. 5. Third-party software licenses are excluded from pricing unless explicitly listed in the commercial agreement. 6. AI API cos</w:t>
      </w:r>
      <w:r>
        <w:rPr>
          <w:rFonts w:ascii="Segoe UI" w:hAnsi="Segoe UI" w:cs="Segoe UI"/>
          <w:color w:val="1F2933"/>
          <w:sz w:val="21"/>
          <w:szCs w:val="21"/>
          <w:lang w:val="en"/>
        </w:rPr>
        <w:t xml:space="preserve">ts beyond the agreed allowance may be billed separately. 7. Internet connectivity is required to use cloud-based AI generation features. 8. On-premises AI deployment, if pursued, may require separate, dedicated infrastructure. 9. Requirements identified outside the agreed scope are handled through the change-request process (Section 38). 10. Final integration scope depends on the availability of the relevant third-party APIs. 11.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is responsible for the accuracy of its own content, unless an AI</w:t>
      </w:r>
      <w:r>
        <w:rPr>
          <w:rFonts w:ascii="Segoe UI" w:hAnsi="Segoe UI" w:cs="Segoe UI"/>
          <w:color w:val="1F2933"/>
          <w:sz w:val="21"/>
          <w:szCs w:val="21"/>
          <w:lang w:val="en"/>
        </w:rPr>
        <w:t xml:space="preserve"> content-review service is separately included in scope. 12. AI-generated content should be reviewed by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before it is used in a live or published context. 13. Production rollout depends on successful completion of User Acceptance Testing (Section 30).</w:t>
      </w:r>
    </w:p>
    <w:p w14:paraId="24E3D59B" w14:textId="77777777" w:rsidR="00917CFD" w:rsidRDefault="00917CFD">
      <w:pPr>
        <w:pStyle w:val="Heading1"/>
        <w:rPr>
          <w:rFonts w:ascii="Segoe UI" w:eastAsia="Times New Roman" w:hAnsi="Segoe UI" w:cs="Segoe UI"/>
          <w:lang w:val="en"/>
        </w:rPr>
      </w:pPr>
      <w:bookmarkStart w:id="58" w:name="_Toc235442986"/>
      <w:r>
        <w:rPr>
          <w:rFonts w:ascii="Segoe UI" w:eastAsia="Times New Roman" w:hAnsi="Segoe UI" w:cs="Segoe UI"/>
          <w:lang w:val="en"/>
        </w:rPr>
        <w:t>36. Exclusions</w:t>
      </w:r>
      <w:bookmarkEnd w:id="58"/>
    </w:p>
    <w:p w14:paraId="538672D3"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The following items are excluded from this proposal and, unless separately listed in the commercial agreement, are not included in the pricing set out in Section 34.</w:t>
      </w:r>
    </w:p>
    <w:p w14:paraId="67EFE87C"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1. Hardware procurement. 2.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data-center costs. 3. Third-party software licenses. 4. Microsoft licenses. 5. SMS charges. 6. Email service charges. 7. AI API overage charges beyond the agreed allowance. 8. External penetration testing (available as an optional service, Section 20). 9. Data migration from unknown or undocumented legacy systems. 10. Unsupported third-party integrations. 11. Major scope changes (handled via the change-request process, Section 38). 12. Custom mobile applications, unless explicitly included i</w:t>
      </w:r>
      <w:r>
        <w:rPr>
          <w:rFonts w:ascii="Segoe UI" w:hAnsi="Segoe UI" w:cs="Segoe UI"/>
          <w:color w:val="1F2933"/>
          <w:sz w:val="21"/>
          <w:szCs w:val="21"/>
          <w:lang w:val="en"/>
        </w:rPr>
        <w:t>n scope. 13. 24/7 support, unless purchased as part of the Gold package (Section 31). 14. Legal or regulatory certification. 15. Cybersecurity certification. 16. Formal compliance accreditation. 17. Travel outside Muscat, unless separately agreed.</w:t>
      </w:r>
    </w:p>
    <w:p w14:paraId="79B6C319" w14:textId="77777777" w:rsidR="00917CFD" w:rsidRDefault="00917CFD">
      <w:pPr>
        <w:pStyle w:val="Heading1"/>
        <w:rPr>
          <w:rFonts w:ascii="Segoe UI" w:eastAsia="Times New Roman" w:hAnsi="Segoe UI" w:cs="Segoe UI"/>
          <w:lang w:val="en"/>
        </w:rPr>
      </w:pPr>
      <w:bookmarkStart w:id="59" w:name="_Toc235442987"/>
      <w:r>
        <w:rPr>
          <w:rFonts w:ascii="Segoe UI" w:eastAsia="Times New Roman" w:hAnsi="Segoe UI" w:cs="Segoe UI"/>
          <w:lang w:val="en"/>
        </w:rPr>
        <w:lastRenderedPageBreak/>
        <w:t>37. Risk and Mitigation</w:t>
      </w:r>
      <w:bookmarkEnd w:id="59"/>
    </w:p>
    <w:p w14:paraId="73677F0E"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table below sets out the risks Altanfith Aldwaliah SPC typically manages on an engagement of this type, and how each is mitigated. Likelihood is confirmed jointly with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during discovery.</w:t>
      </w:r>
    </w:p>
    <w:tbl>
      <w:tblPr>
        <w:tblW w:w="5000" w:type="pct"/>
        <w:tblCellMar>
          <w:top w:w="15" w:type="dxa"/>
          <w:left w:w="15" w:type="dxa"/>
          <w:bottom w:w="15" w:type="dxa"/>
          <w:right w:w="15" w:type="dxa"/>
        </w:tblCellMar>
        <w:tblLook w:val="04A0" w:firstRow="1" w:lastRow="0" w:firstColumn="1" w:lastColumn="0" w:noHBand="0" w:noVBand="1"/>
      </w:tblPr>
      <w:tblGrid>
        <w:gridCol w:w="2849"/>
        <w:gridCol w:w="1173"/>
        <w:gridCol w:w="940"/>
        <w:gridCol w:w="4657"/>
      </w:tblGrid>
      <w:tr w:rsidR="00000000" w14:paraId="5355D52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482285B"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Risk</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0531707"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Likelihood</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EA75DEE"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Impact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5CB4D00"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Mitigation</w:t>
            </w:r>
          </w:p>
        </w:tc>
      </w:tr>
      <w:tr w:rsidR="00000000" w14:paraId="342D040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DF6FC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Infrastructure readiness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CFA54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05081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1405B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Early technical assessment (Phase 2); readiness checklist confirmed before deployment</w:t>
            </w:r>
          </w:p>
        </w:tc>
      </w:tr>
      <w:tr w:rsidR="00000000" w14:paraId="2A2F101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FFFE1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Cybersecurity approval delays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C2D29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16448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4F95B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Client security team engaged from Phase 3; architecture submitted early for review</w:t>
            </w:r>
          </w:p>
        </w:tc>
      </w:tr>
      <w:tr w:rsidR="00000000" w14:paraId="15E29CD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899CF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Scope changes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58BD8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6BA42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86652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Formal change-request process (Section 38); milestone-based sign-offs</w:t>
            </w:r>
          </w:p>
        </w:tc>
      </w:tr>
      <w:tr w:rsidR="00000000" w14:paraId="6261AE3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A70B7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Third-party API limitations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6FB2A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25125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3CBE6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APIs validated during discovery; fallback approaches designed where needed</w:t>
            </w:r>
          </w:p>
        </w:tc>
      </w:tr>
      <w:tr w:rsidR="00000000" w14:paraId="5A9FEF9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6464C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service availability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7B952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1648C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Low</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F37A1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AI features degrade gracefully; the core platform operates independently of AI services</w:t>
            </w:r>
          </w:p>
        </w:tc>
      </w:tr>
      <w:tr w:rsidR="00000000" w14:paraId="5519F5B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B6696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adoption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F5E16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D49EC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DC364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Structured training, bilingual materials, and a hypercare period after go-live</w:t>
            </w:r>
          </w:p>
        </w:tc>
      </w:tr>
      <w:tr w:rsidR="00000000" w14:paraId="774C664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F342D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Poor venue/participant internet connectivity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593F0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D2C29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80ABD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Automatic session reconnection; venue network checklist ahead of live events</w:t>
            </w:r>
          </w:p>
        </w:tc>
      </w:tr>
      <w:tr w:rsidR="00000000" w14:paraId="3903575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FC036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 concurrent usage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1BC2B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09ABB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10D5F0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Load testing before go-live; sizing based on </w:t>
            </w:r>
            <w:r>
              <w:rPr>
                <w:rStyle w:val="Strong"/>
                <w:rFonts w:ascii="Segoe UI" w:eastAsia="Times New Roman" w:hAnsi="Segoe UI" w:cs="Segoe UI"/>
                <w:color w:val="1F2933"/>
                <w:sz w:val="19"/>
                <w:szCs w:val="19"/>
              </w:rPr>
              <w:t>[Concurrent Participants]</w:t>
            </w:r>
          </w:p>
        </w:tc>
      </w:tr>
      <w:tr w:rsidR="00000000" w14:paraId="013F806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39E57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Delayed client feedback</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23F52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8159A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5905C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Weekly governance cadence; agreed review SLAs built into the project plan</w:t>
            </w:r>
          </w:p>
        </w:tc>
      </w:tr>
      <w:tr w:rsidR="00000000" w14:paraId="0A59626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2ECD5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Data migration complexity</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8819C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5111C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24B5A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Migration treated as a scoped, optional phase with its own assessment (Phase 12)</w:t>
            </w:r>
          </w:p>
        </w:tc>
      </w:tr>
      <w:tr w:rsidR="00000000" w14:paraId="6CFBA2F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2176CB"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 delays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D70E0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41286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B81B4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Integrations phased separately (Phase 8); core go-live is not blocked by integration work</w:t>
            </w:r>
          </w:p>
        </w:tc>
      </w:tr>
      <w:tr w:rsidR="00000000" w14:paraId="5C7F31C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A71F9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Security testing findings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74B41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2C7E1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High</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EEF02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Remediation window built into the plan; retest before go-live (Phase 10)</w:t>
            </w:r>
          </w:p>
        </w:tc>
      </w:tr>
      <w:tr w:rsidR="00000000" w14:paraId="5D8EF4E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A5689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Internal change management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A99B9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[TBC]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C358B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Medium</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2FEC7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Sponsor-led communication plan; departmental change champions</w:t>
            </w:r>
          </w:p>
        </w:tc>
      </w:tr>
    </w:tbl>
    <w:p w14:paraId="50564F28" w14:textId="77777777" w:rsidR="00917CFD" w:rsidRDefault="00917CFD">
      <w:pPr>
        <w:pStyle w:val="Heading1"/>
        <w:rPr>
          <w:rFonts w:ascii="Segoe UI" w:eastAsia="Times New Roman" w:hAnsi="Segoe UI" w:cs="Segoe UI"/>
          <w:lang w:val="en"/>
        </w:rPr>
      </w:pPr>
      <w:bookmarkStart w:id="60" w:name="_Toc235442988"/>
      <w:r>
        <w:rPr>
          <w:rFonts w:ascii="Segoe UI" w:eastAsia="Times New Roman" w:hAnsi="Segoe UI" w:cs="Segoe UI"/>
          <w:lang w:val="en"/>
        </w:rPr>
        <w:t>38. Change Request Process</w:t>
      </w:r>
      <w:bookmarkEnd w:id="60"/>
    </w:p>
    <w:p w14:paraId="1A279A6F"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Any requirement outside the agreed scope is handled through a formal change-request process, so that scope, cost, and schedule remain visible and agreed by both parties at every step: a change is requested by either party; Altanfith assesses its impact on scope, cost, and schedule; a written quotation is provided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the change proceeds only after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written approval; and, once approved, delivery is scheduled into the project plan. No change work is carried out without prior written approval.</w:t>
      </w:r>
    </w:p>
    <w:p w14:paraId="7C5C5330" w14:textId="77777777" w:rsidR="00917CFD" w:rsidRDefault="00917CFD">
      <w:pPr>
        <w:pStyle w:val="Heading1"/>
        <w:rPr>
          <w:rFonts w:ascii="Segoe UI" w:eastAsia="Times New Roman" w:hAnsi="Segoe UI" w:cs="Segoe UI"/>
          <w:lang w:val="en"/>
        </w:rPr>
      </w:pPr>
      <w:bookmarkStart w:id="61" w:name="_Toc235442989"/>
      <w:r>
        <w:rPr>
          <w:rFonts w:ascii="Segoe UI" w:eastAsia="Times New Roman" w:hAnsi="Segoe UI" w:cs="Segoe UI"/>
          <w:lang w:val="en"/>
        </w:rPr>
        <w:t>39. Intellectual Property</w:t>
      </w:r>
      <w:bookmarkEnd w:id="61"/>
    </w:p>
    <w:p w14:paraId="7CF0417C"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Intellectual property ownership is set out clearly and is linked to the commercial model selected (Section 33).</w:t>
      </w:r>
    </w:p>
    <w:p w14:paraId="280D255D" w14:textId="77777777" w:rsidR="00917CFD" w:rsidRDefault="00917CFD">
      <w:pPr>
        <w:numPr>
          <w:ilvl w:val="0"/>
          <w:numId w:val="3"/>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Standard platform intellectual property remains with Altanfith Aldwaliah SPC unless expressly transferred by separate agreement.</w:t>
      </w:r>
    </w:p>
    <w:p w14:paraId="1B5F293E" w14:textId="77777777" w:rsidR="00917CFD" w:rsidRDefault="00917CFD">
      <w:pPr>
        <w:numPr>
          <w:ilvl w:val="0"/>
          <w:numId w:val="3"/>
        </w:numPr>
        <w:spacing w:before="100" w:beforeAutospacing="1" w:after="100" w:afterAutospacing="1"/>
        <w:rPr>
          <w:rFonts w:ascii="Segoe UI" w:eastAsia="Times New Roman" w:hAnsi="Segoe UI" w:cs="Segoe UI"/>
          <w:color w:val="1F2933"/>
          <w:sz w:val="21"/>
          <w:szCs w:val="21"/>
          <w:lang w:val="en"/>
        </w:rPr>
      </w:pP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 xml:space="preserve">'s content and data — including quiz content, participant data, and reports — remain the property of </w:t>
      </w:r>
      <w:r>
        <w:rPr>
          <w:rStyle w:val="Strong"/>
          <w:rFonts w:ascii="Segoe UI" w:eastAsia="Times New Roman" w:hAnsi="Segoe UI" w:cs="Segoe UI"/>
          <w:color w:val="1F2933"/>
          <w:sz w:val="21"/>
          <w:szCs w:val="21"/>
          <w:lang w:val="en"/>
        </w:rPr>
        <w:t>[Client Name]</w:t>
      </w:r>
      <w:r>
        <w:rPr>
          <w:rFonts w:ascii="Segoe UI" w:eastAsia="Times New Roman" w:hAnsi="Segoe UI" w:cs="Segoe UI"/>
          <w:color w:val="1F2933"/>
          <w:sz w:val="21"/>
          <w:szCs w:val="21"/>
          <w:lang w:val="en"/>
        </w:rPr>
        <w:t xml:space="preserve"> at all times (see also Section 22).</w:t>
      </w:r>
    </w:p>
    <w:p w14:paraId="2CBDFBCD" w14:textId="77777777" w:rsidR="00917CFD" w:rsidRDefault="00917CFD">
      <w:pPr>
        <w:numPr>
          <w:ilvl w:val="0"/>
          <w:numId w:val="3"/>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Source-code ownership is not included by default under any commercial model; it applies only where expressly stated in the signed commercial agreement (see Model B, Section 33.2).</w:t>
      </w:r>
    </w:p>
    <w:p w14:paraId="0F71BDDE" w14:textId="77777777" w:rsidR="00917CFD" w:rsidRDefault="00917CFD">
      <w:pPr>
        <w:pStyle w:val="Heading1"/>
        <w:rPr>
          <w:rFonts w:ascii="Segoe UI" w:eastAsia="Times New Roman" w:hAnsi="Segoe UI" w:cs="Segoe UI"/>
          <w:lang w:val="en"/>
        </w:rPr>
      </w:pPr>
      <w:bookmarkStart w:id="62" w:name="_Toc235442990"/>
      <w:r>
        <w:rPr>
          <w:rFonts w:ascii="Segoe UI" w:eastAsia="Times New Roman" w:hAnsi="Segoe UI" w:cs="Segoe UI"/>
          <w:lang w:val="en"/>
        </w:rPr>
        <w:t>40. Confidentiality</w:t>
      </w:r>
      <w:bookmarkEnd w:id="62"/>
    </w:p>
    <w:p w14:paraId="198DB1B0"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Both parties agree to treat information shared during this engagement — including this proposal, technical designs, and commercial terms — as confidential, and to use it only for the purposes of evaluating and, if agreed, delivering this engagement. This obligation is mutual: it applies equally to Altanfith Aldwaliah SPC and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A separate non-disclosure agreement is available on request, ahead of, or alongside, more detailed technical or commercial discussions.</w:t>
      </w:r>
    </w:p>
    <w:p w14:paraId="6BE65DB7" w14:textId="77777777" w:rsidR="00917CFD" w:rsidRDefault="00917CFD">
      <w:pPr>
        <w:pStyle w:val="Heading1"/>
        <w:rPr>
          <w:rFonts w:ascii="Segoe UI" w:eastAsia="Times New Roman" w:hAnsi="Segoe UI" w:cs="Segoe UI"/>
          <w:lang w:val="en"/>
        </w:rPr>
      </w:pPr>
      <w:bookmarkStart w:id="63" w:name="_Toc235442991"/>
      <w:r>
        <w:rPr>
          <w:rFonts w:ascii="Segoe UI" w:eastAsia="Times New Roman" w:hAnsi="Segoe UI" w:cs="Segoe UI"/>
          <w:lang w:val="en"/>
        </w:rPr>
        <w:t>41. Proposal Validity</w:t>
      </w:r>
      <w:bookmarkEnd w:id="63"/>
    </w:p>
    <w:p w14:paraId="7FA618D5"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This proposal, including the commercial terms set out in Sections 33, 34, and 42, is valid for a period of </w:t>
      </w:r>
      <w:r>
        <w:rPr>
          <w:rStyle w:val="Strong"/>
          <w:rFonts w:ascii="Segoe UI" w:hAnsi="Segoe UI" w:cs="Segoe UI"/>
          <w:color w:val="1F2933"/>
          <w:sz w:val="21"/>
          <w:szCs w:val="21"/>
          <w:lang w:val="en"/>
        </w:rPr>
        <w:t>30 days</w:t>
      </w:r>
      <w:r>
        <w:rPr>
          <w:rFonts w:ascii="Segoe UI" w:hAnsi="Segoe UI" w:cs="Segoe UI"/>
          <w:color w:val="1F2933"/>
          <w:sz w:val="21"/>
          <w:szCs w:val="21"/>
          <w:lang w:val="en"/>
        </w:rPr>
        <w:t xml:space="preserve"> from </w:t>
      </w:r>
      <w:r>
        <w:rPr>
          <w:rStyle w:val="Strong"/>
          <w:rFonts w:ascii="Segoe UI" w:hAnsi="Segoe UI" w:cs="Segoe UI"/>
          <w:color w:val="1F2933"/>
          <w:sz w:val="21"/>
          <w:szCs w:val="21"/>
          <w:lang w:val="en"/>
        </w:rPr>
        <w:t>[Date]</w:t>
      </w:r>
      <w:r>
        <w:rPr>
          <w:rFonts w:ascii="Segoe UI" w:hAnsi="Segoe UI" w:cs="Segoe UI"/>
          <w:color w:val="1F2933"/>
          <w:sz w:val="21"/>
          <w:szCs w:val="21"/>
          <w:lang w:val="en"/>
        </w:rPr>
        <w:t>. Beyond this period, pricing and availability are subject to reconfirmation by Altanfith Aldwaliah SPC.</w:t>
      </w:r>
    </w:p>
    <w:p w14:paraId="22139E30" w14:textId="77777777" w:rsidR="00917CFD" w:rsidRDefault="00917CFD">
      <w:pPr>
        <w:pStyle w:val="Heading1"/>
        <w:rPr>
          <w:rFonts w:ascii="Segoe UI" w:eastAsia="Times New Roman" w:hAnsi="Segoe UI" w:cs="Segoe UI"/>
          <w:lang w:val="en"/>
        </w:rPr>
      </w:pPr>
      <w:bookmarkStart w:id="64" w:name="_Toc235442992"/>
      <w:r>
        <w:rPr>
          <w:rFonts w:ascii="Segoe UI" w:eastAsia="Times New Roman" w:hAnsi="Segoe UI" w:cs="Segoe UI"/>
          <w:lang w:val="en"/>
        </w:rPr>
        <w:lastRenderedPageBreak/>
        <w:t>42. Payment Terms</w:t>
      </w:r>
      <w:bookmarkEnd w:id="64"/>
    </w:p>
    <w:p w14:paraId="65A8662F" w14:textId="77777777" w:rsidR="00917CFD" w:rsidRDefault="00917CFD">
      <w:pPr>
        <w:pStyle w:val="notice"/>
        <w:spacing w:before="120" w:beforeAutospacing="0" w:after="120" w:afterAutospacing="0"/>
        <w:rPr>
          <w:rFonts w:ascii="Segoe UI" w:hAnsi="Segoe UI" w:cs="Segoe UI"/>
          <w:color w:val="1F2933"/>
          <w:sz w:val="21"/>
          <w:szCs w:val="21"/>
          <w:lang w:val="en"/>
        </w:rPr>
      </w:pPr>
      <w:r>
        <w:rPr>
          <w:rStyle w:val="Strong"/>
          <w:rFonts w:ascii="Segoe UI" w:hAnsi="Segoe UI" w:cs="Segoe UI"/>
          <w:color w:val="1F2933"/>
          <w:sz w:val="21"/>
          <w:szCs w:val="21"/>
          <w:lang w:val="en"/>
        </w:rPr>
        <w:t>Proposed terms — subject to negotiation.</w:t>
      </w:r>
      <w:r>
        <w:rPr>
          <w:rFonts w:ascii="Segoe UI" w:hAnsi="Segoe UI" w:cs="Segoe UI"/>
          <w:color w:val="1F2933"/>
          <w:sz w:val="21"/>
          <w:szCs w:val="21"/>
          <w:lang w:val="en"/>
        </w:rPr>
        <w:t xml:space="preserve"> The terms below illustrate the structure Altanfith Aldwaliah SPC typically proposes; final payment terms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are agreed in the signed commercial agreement.</w:t>
      </w:r>
    </w:p>
    <w:p w14:paraId="0865159C" w14:textId="77777777" w:rsidR="00917CFD" w:rsidRDefault="00917CFD">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Currency: Omani Rial (OMR). Amounts are exclusive of applicable taxes unless otherwise stated.</w:t>
      </w:r>
    </w:p>
    <w:p w14:paraId="28FAB0CE" w14:textId="77777777" w:rsidR="00917CFD" w:rsidRDefault="00917CFD">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Example milestone payment structure for project-based engagements: </w:t>
      </w:r>
      <w:r>
        <w:rPr>
          <w:rStyle w:val="Strong"/>
          <w:rFonts w:ascii="Segoe UI" w:eastAsia="Times New Roman" w:hAnsi="Segoe UI" w:cs="Segoe UI"/>
          <w:color w:val="1F2933"/>
          <w:sz w:val="21"/>
          <w:szCs w:val="21"/>
          <w:lang w:val="en"/>
        </w:rPr>
        <w:t>30%</w:t>
      </w:r>
      <w:r>
        <w:rPr>
          <w:rFonts w:ascii="Segoe UI" w:eastAsia="Times New Roman" w:hAnsi="Segoe UI" w:cs="Segoe UI"/>
          <w:color w:val="1F2933"/>
          <w:sz w:val="21"/>
          <w:szCs w:val="21"/>
          <w:lang w:val="en"/>
        </w:rPr>
        <w:t xml:space="preserve"> upon purchase order, </w:t>
      </w:r>
      <w:r>
        <w:rPr>
          <w:rStyle w:val="Strong"/>
          <w:rFonts w:ascii="Segoe UI" w:eastAsia="Times New Roman" w:hAnsi="Segoe UI" w:cs="Segoe UI"/>
          <w:color w:val="1F2933"/>
          <w:sz w:val="21"/>
          <w:szCs w:val="21"/>
          <w:lang w:val="en"/>
        </w:rPr>
        <w:t>30%</w:t>
      </w:r>
      <w:r>
        <w:rPr>
          <w:rFonts w:ascii="Segoe UI" w:eastAsia="Times New Roman" w:hAnsi="Segoe UI" w:cs="Segoe UI"/>
          <w:color w:val="1F2933"/>
          <w:sz w:val="21"/>
          <w:szCs w:val="21"/>
          <w:lang w:val="en"/>
        </w:rPr>
        <w:t xml:space="preserve"> after design approval, </w:t>
      </w:r>
      <w:r>
        <w:rPr>
          <w:rStyle w:val="Strong"/>
          <w:rFonts w:ascii="Segoe UI" w:eastAsia="Times New Roman" w:hAnsi="Segoe UI" w:cs="Segoe UI"/>
          <w:color w:val="1F2933"/>
          <w:sz w:val="21"/>
          <w:szCs w:val="21"/>
          <w:lang w:val="en"/>
        </w:rPr>
        <w:t>30%</w:t>
      </w:r>
      <w:r>
        <w:rPr>
          <w:rFonts w:ascii="Segoe UI" w:eastAsia="Times New Roman" w:hAnsi="Segoe UI" w:cs="Segoe UI"/>
          <w:color w:val="1F2933"/>
          <w:sz w:val="21"/>
          <w:szCs w:val="21"/>
          <w:lang w:val="en"/>
        </w:rPr>
        <w:t xml:space="preserve"> after UAT sign-off, </w:t>
      </w:r>
      <w:r>
        <w:rPr>
          <w:rStyle w:val="Strong"/>
          <w:rFonts w:ascii="Segoe UI" w:eastAsia="Times New Roman" w:hAnsi="Segoe UI" w:cs="Segoe UI"/>
          <w:color w:val="1F2933"/>
          <w:sz w:val="21"/>
          <w:szCs w:val="21"/>
          <w:lang w:val="en"/>
        </w:rPr>
        <w:t>10%</w:t>
      </w:r>
      <w:r>
        <w:rPr>
          <w:rFonts w:ascii="Segoe UI" w:eastAsia="Times New Roman" w:hAnsi="Segoe UI" w:cs="Segoe UI"/>
          <w:color w:val="1F2933"/>
          <w:sz w:val="21"/>
          <w:szCs w:val="21"/>
          <w:lang w:val="en"/>
        </w:rPr>
        <w:t xml:space="preserve"> after go-live.</w:t>
      </w:r>
    </w:p>
    <w:p w14:paraId="345D8BFA" w14:textId="77777777" w:rsidR="00917CFD" w:rsidRDefault="00917CFD">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SaaS subscription (Model A): annual payment in advance.</w:t>
      </w:r>
    </w:p>
    <w:p w14:paraId="03CFD80E" w14:textId="77777777" w:rsidR="00917CFD" w:rsidRDefault="00917CFD">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Maintenance (Model B, optional): annual payment in advance.</w:t>
      </w:r>
    </w:p>
    <w:p w14:paraId="57A04995" w14:textId="77777777" w:rsidR="00917CFD" w:rsidRDefault="00917CFD">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Change requests (Section 38): quoted and invoiced separately.</w:t>
      </w:r>
    </w:p>
    <w:p w14:paraId="3B33B152" w14:textId="77777777" w:rsidR="00917CFD" w:rsidRDefault="00917CFD">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Travel outside Muscat: charged separately, where required and agreed in advance.</w:t>
      </w:r>
    </w:p>
    <w:p w14:paraId="4926689C" w14:textId="77777777" w:rsidR="00917CFD" w:rsidRDefault="00917CFD">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Third-party services: charged at cost, plus an agreed administration fee where applicable.</w:t>
      </w:r>
    </w:p>
    <w:p w14:paraId="61880FFF" w14:textId="77777777" w:rsidR="00917CFD" w:rsidRDefault="00917CFD">
      <w:pPr>
        <w:numPr>
          <w:ilvl w:val="0"/>
          <w:numId w:val="4"/>
        </w:numPr>
        <w:spacing w:before="100" w:beforeAutospacing="1" w:after="100" w:afterAutospacing="1"/>
        <w:rPr>
          <w:rFonts w:ascii="Segoe UI" w:eastAsia="Times New Roman" w:hAnsi="Segoe UI" w:cs="Segoe UI"/>
          <w:color w:val="1F2933"/>
          <w:sz w:val="21"/>
          <w:szCs w:val="21"/>
          <w:lang w:val="en"/>
        </w:rPr>
      </w:pPr>
      <w:r>
        <w:rPr>
          <w:rFonts w:ascii="Segoe UI" w:eastAsia="Times New Roman" w:hAnsi="Segoe UI" w:cs="Segoe UI"/>
          <w:color w:val="1F2933"/>
          <w:sz w:val="21"/>
          <w:szCs w:val="21"/>
          <w:lang w:val="en"/>
        </w:rPr>
        <w:t xml:space="preserve">Payment schedule: </w:t>
      </w:r>
      <w:r>
        <w:rPr>
          <w:rStyle w:val="Strong"/>
          <w:rFonts w:ascii="Segoe UI" w:eastAsia="Times New Roman" w:hAnsi="Segoe UI" w:cs="Segoe UI"/>
          <w:color w:val="1F2933"/>
          <w:sz w:val="21"/>
          <w:szCs w:val="21"/>
          <w:lang w:val="en"/>
        </w:rPr>
        <w:t>[Payment Terms]</w:t>
      </w:r>
      <w:r>
        <w:rPr>
          <w:rFonts w:ascii="Segoe UI" w:eastAsia="Times New Roman" w:hAnsi="Segoe UI" w:cs="Segoe UI"/>
          <w:color w:val="1F2933"/>
          <w:sz w:val="21"/>
          <w:szCs w:val="21"/>
          <w:lang w:val="en"/>
        </w:rPr>
        <w:t>.</w:t>
      </w:r>
    </w:p>
    <w:p w14:paraId="3BDA95FC" w14:textId="77777777" w:rsidR="00917CFD" w:rsidRDefault="00917CFD">
      <w:pPr>
        <w:pStyle w:val="Heading1"/>
        <w:rPr>
          <w:rFonts w:ascii="Segoe UI" w:eastAsia="Times New Roman" w:hAnsi="Segoe UI" w:cs="Segoe UI"/>
          <w:lang w:val="en"/>
        </w:rPr>
      </w:pPr>
      <w:bookmarkStart w:id="65" w:name="_Toc235442993"/>
      <w:r>
        <w:rPr>
          <w:rFonts w:ascii="Segoe UI" w:eastAsia="Times New Roman" w:hAnsi="Segoe UI" w:cs="Segoe UI"/>
          <w:lang w:val="en"/>
        </w:rPr>
        <w:t>43. Termination and Exit</w:t>
      </w:r>
      <w:bookmarkEnd w:id="65"/>
    </w:p>
    <w:p w14:paraId="4BB8B10C"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Either party may terminate the agreement on the notice period set out in the signed contract. On termination, Altanfith Aldwaliah SPC provides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with an export of its data in an agreed format, carries out an orderly handover of the platform and any outstanding documentation, and deletes client data in line with the retention terms agreed in the contract. For on-premises deployments,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's data never leaves its own environment at any point, including at termination, since it was never hosted outside client control.</w:t>
      </w:r>
    </w:p>
    <w:p w14:paraId="076D04A9" w14:textId="77777777" w:rsidR="00917CFD" w:rsidRDefault="00917CFD">
      <w:pPr>
        <w:pStyle w:val="Heading1"/>
        <w:rPr>
          <w:rFonts w:ascii="Segoe UI" w:eastAsia="Times New Roman" w:hAnsi="Segoe UI" w:cs="Segoe UI"/>
          <w:lang w:val="en"/>
        </w:rPr>
      </w:pPr>
      <w:bookmarkStart w:id="66" w:name="_Toc235442994"/>
      <w:r>
        <w:rPr>
          <w:rFonts w:ascii="Segoe UI" w:eastAsia="Times New Roman" w:hAnsi="Segoe UI" w:cs="Segoe UI"/>
          <w:lang w:val="en"/>
        </w:rPr>
        <w:t>44. Future Roadmap</w:t>
      </w:r>
      <w:bookmarkEnd w:id="66"/>
    </w:p>
    <w:p w14:paraId="7C587F10"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items below represent Altanfith Aldwaliah SPC's future development direction for the Live Quiz Platform. All roadmap items are </w:t>
      </w:r>
      <w:r>
        <w:rPr>
          <w:rStyle w:val="badge-fut1"/>
          <w:rFonts w:ascii="Segoe UI" w:hAnsi="Segoe UI" w:cs="Segoe UI"/>
          <w:sz w:val="21"/>
          <w:szCs w:val="21"/>
          <w:lang w:val="en"/>
        </w:rPr>
        <w:t>Future enhancement</w:t>
      </w:r>
      <w:r>
        <w:rPr>
          <w:rFonts w:ascii="Segoe UI" w:hAnsi="Segoe UI" w:cs="Segoe UI"/>
          <w:color w:val="1F2933"/>
          <w:sz w:val="21"/>
          <w:szCs w:val="21"/>
          <w:lang w:val="en"/>
        </w:rPr>
        <w:t xml:space="preserve"> or </w:t>
      </w:r>
      <w:r>
        <w:rPr>
          <w:rStyle w:val="badge-opt1"/>
          <w:rFonts w:ascii="Segoe UI" w:hAnsi="Segoe UI" w:cs="Segoe UI"/>
          <w:sz w:val="21"/>
          <w:szCs w:val="21"/>
          <w:lang w:val="en"/>
        </w:rPr>
        <w:t>Optional</w:t>
      </w:r>
      <w:r>
        <w:rPr>
          <w:rFonts w:ascii="Segoe UI" w:hAnsi="Segoe UI" w:cs="Segoe UI"/>
          <w:color w:val="1F2933"/>
          <w:sz w:val="21"/>
          <w:szCs w:val="21"/>
          <w:lang w:val="en"/>
        </w:rPr>
        <w:t xml:space="preserve">, are not part of the current platform, and their delivery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is subject to a separate agreement.</w:t>
      </w:r>
    </w:p>
    <w:p w14:paraId="6A0F8770" w14:textId="77777777" w:rsidR="00917CFD" w:rsidRDefault="00917CFD">
      <w:pPr>
        <w:pStyle w:val="Heading2"/>
        <w:rPr>
          <w:rFonts w:ascii="Segoe UI" w:eastAsia="Times New Roman" w:hAnsi="Segoe UI" w:cs="Segoe UI"/>
          <w:lang w:val="en"/>
        </w:rPr>
      </w:pPr>
      <w:bookmarkStart w:id="67" w:name="_Toc235442995"/>
      <w:r>
        <w:rPr>
          <w:rFonts w:ascii="Segoe UI" w:eastAsia="Times New Roman" w:hAnsi="Segoe UI" w:cs="Segoe UI"/>
          <w:lang w:val="en"/>
        </w:rPr>
        <w:t>44.1 Learning &amp; Assessment</w:t>
      </w:r>
      <w:bookmarkEnd w:id="67"/>
    </w:p>
    <w:p w14:paraId="70CBD2FD"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LMS module · employee certification · training course management · interview assessment module · recruitment assessment · HSE compliance assessments · employee performance evaluation · employee learning profiles · automated certificate generation · gamification, badges &amp; achievements. </w:t>
      </w:r>
      <w:r>
        <w:rPr>
          <w:rStyle w:val="badge-fut1"/>
          <w:rFonts w:ascii="Segoe UI" w:hAnsi="Segoe UI" w:cs="Segoe UI"/>
          <w:sz w:val="21"/>
          <w:szCs w:val="21"/>
          <w:lang w:val="en"/>
        </w:rPr>
        <w:t>Future enhancement</w:t>
      </w:r>
    </w:p>
    <w:p w14:paraId="566A250D" w14:textId="77777777" w:rsidR="00917CFD" w:rsidRDefault="00917CFD">
      <w:pPr>
        <w:pStyle w:val="Heading2"/>
        <w:rPr>
          <w:rFonts w:ascii="Segoe UI" w:eastAsia="Times New Roman" w:hAnsi="Segoe UI" w:cs="Segoe UI"/>
          <w:lang w:val="en"/>
        </w:rPr>
      </w:pPr>
      <w:bookmarkStart w:id="68" w:name="_Toc235442996"/>
      <w:r>
        <w:rPr>
          <w:rFonts w:ascii="Segoe UI" w:eastAsia="Times New Roman" w:hAnsi="Segoe UI" w:cs="Segoe UI"/>
          <w:lang w:val="en"/>
        </w:rPr>
        <w:t>44.2 AI</w:t>
      </w:r>
      <w:bookmarkEnd w:id="68"/>
    </w:p>
    <w:p w14:paraId="411C485A"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AI-generated reports · AI recommendations · chatbot assistant · private, on-premises AI deployment. </w:t>
      </w:r>
      <w:r>
        <w:rPr>
          <w:rStyle w:val="badge-fut1"/>
          <w:rFonts w:ascii="Segoe UI" w:hAnsi="Segoe UI" w:cs="Segoe UI"/>
          <w:sz w:val="21"/>
          <w:szCs w:val="21"/>
          <w:lang w:val="en"/>
        </w:rPr>
        <w:t>Future enhancement</w:t>
      </w:r>
    </w:p>
    <w:p w14:paraId="75107C5C" w14:textId="77777777" w:rsidR="00917CFD" w:rsidRDefault="00917CFD">
      <w:pPr>
        <w:pStyle w:val="Heading2"/>
        <w:rPr>
          <w:rFonts w:ascii="Segoe UI" w:eastAsia="Times New Roman" w:hAnsi="Segoe UI" w:cs="Segoe UI"/>
          <w:lang w:val="en"/>
        </w:rPr>
      </w:pPr>
      <w:bookmarkStart w:id="69" w:name="_Toc235442997"/>
      <w:r>
        <w:rPr>
          <w:rFonts w:ascii="Segoe UI" w:eastAsia="Times New Roman" w:hAnsi="Segoe UI" w:cs="Segoe UI"/>
          <w:lang w:val="en"/>
        </w:rPr>
        <w:t>44.3 Integrations</w:t>
      </w:r>
      <w:bookmarkEnd w:id="69"/>
    </w:p>
    <w:p w14:paraId="147FC332"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Microsoft Teams · Outlook · Microsoft Entra ID SSO · Active Directory · HR systems · Power BI. </w:t>
      </w:r>
      <w:r>
        <w:rPr>
          <w:rStyle w:val="badge-opt1"/>
          <w:rFonts w:ascii="Segoe UI" w:hAnsi="Segoe UI" w:cs="Segoe UI"/>
          <w:sz w:val="21"/>
          <w:szCs w:val="21"/>
          <w:lang w:val="en"/>
        </w:rPr>
        <w:t>Optional</w:t>
      </w:r>
      <w:r>
        <w:rPr>
          <w:rFonts w:ascii="Segoe UI" w:hAnsi="Segoe UI" w:cs="Segoe UI"/>
          <w:color w:val="1F2933"/>
          <w:sz w:val="21"/>
          <w:szCs w:val="21"/>
          <w:lang w:val="en"/>
        </w:rPr>
        <w:t xml:space="preserve"> (scoped under Model C, Section 33.3)</w:t>
      </w:r>
    </w:p>
    <w:p w14:paraId="04700CB1" w14:textId="77777777" w:rsidR="00917CFD" w:rsidRDefault="00917CFD">
      <w:pPr>
        <w:pStyle w:val="Heading2"/>
        <w:rPr>
          <w:rFonts w:ascii="Segoe UI" w:eastAsia="Times New Roman" w:hAnsi="Segoe UI" w:cs="Segoe UI"/>
          <w:lang w:val="en"/>
        </w:rPr>
      </w:pPr>
      <w:bookmarkStart w:id="70" w:name="_Toc235442998"/>
      <w:r>
        <w:rPr>
          <w:rFonts w:ascii="Segoe UI" w:eastAsia="Times New Roman" w:hAnsi="Segoe UI" w:cs="Segoe UI"/>
          <w:lang w:val="en"/>
        </w:rPr>
        <w:lastRenderedPageBreak/>
        <w:t>44.4 Platform</w:t>
      </w:r>
      <w:bookmarkEnd w:id="70"/>
    </w:p>
    <w:p w14:paraId="59A38644"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Mobile application · offline mode · advanced multilingual support · Oman-based hosting. </w:t>
      </w:r>
      <w:r>
        <w:rPr>
          <w:rStyle w:val="badge-fut1"/>
          <w:rFonts w:ascii="Segoe UI" w:hAnsi="Segoe UI" w:cs="Segoe UI"/>
          <w:sz w:val="21"/>
          <w:szCs w:val="21"/>
          <w:lang w:val="en"/>
        </w:rPr>
        <w:t>Future enhancement</w:t>
      </w:r>
    </w:p>
    <w:p w14:paraId="7162BFBC" w14:textId="77777777" w:rsidR="00917CFD" w:rsidRDefault="00917CFD">
      <w:pPr>
        <w:pStyle w:val="Heading1"/>
        <w:rPr>
          <w:rFonts w:ascii="Segoe UI" w:eastAsia="Times New Roman" w:hAnsi="Segoe UI" w:cs="Segoe UI"/>
          <w:lang w:val="en"/>
        </w:rPr>
      </w:pPr>
      <w:bookmarkStart w:id="71" w:name="_Toc235442999"/>
      <w:r>
        <w:rPr>
          <w:rFonts w:ascii="Segoe UI" w:eastAsia="Times New Roman" w:hAnsi="Segoe UI" w:cs="Segoe UI"/>
          <w:lang w:val="en"/>
        </w:rPr>
        <w:t>45. Why Altanfith Aldwaliah SPC</w:t>
      </w:r>
      <w:bookmarkEnd w:id="71"/>
    </w:p>
    <w:p w14:paraId="746271C0"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Selecting a delivery partner for a platform of this kind is as much about the partner as it is about the software. The reasons set out below are ordered by the value they bring to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with our local presence as the foundation that supports the offer, not the offer itself.</w:t>
      </w:r>
    </w:p>
    <w:p w14:paraId="7FB2C6A9"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An enterprise engagement and assessment platform, already proven in real operational use (Section 12) — not a concept or a demonstration environment. Deep customization across branding, workflows, reporting, and integrations, rather than a fixed, one-size-fits-all product. In-house AI development capability, already reflected in the platform's current AI-assisted generation (Section 14). Flexible commercial models — SaaS, perpetual license, and enterprise partnership (Section 33). Cloud, on-premises, and hy</w:t>
      </w:r>
      <w:r>
        <w:rPr>
          <w:rFonts w:ascii="Segoe UI" w:hAnsi="Segoe UI" w:cs="Segoe UI"/>
          <w:color w:val="1F2933"/>
          <w:sz w:val="21"/>
          <w:szCs w:val="21"/>
          <w:lang w:val="en"/>
        </w:rPr>
        <w:t>brid deployment options (Section 19). A structured support and maintenance model (Section 31). A continuous improvement roadmap (Section 44). A long-term partnership approach to delivery and support. And, underpinning all of it: an Omani company, with local understanding, direct technical support, and fast communication in Arabic and English, without offshore handover delays.</w:t>
      </w:r>
    </w:p>
    <w:p w14:paraId="087C419A" w14:textId="77777777" w:rsidR="00917CFD" w:rsidRDefault="00917CFD">
      <w:pPr>
        <w:pStyle w:val="Heading1"/>
        <w:rPr>
          <w:rFonts w:ascii="Segoe UI" w:eastAsia="Times New Roman" w:hAnsi="Segoe UI" w:cs="Segoe UI"/>
          <w:lang w:val="en"/>
        </w:rPr>
      </w:pPr>
      <w:bookmarkStart w:id="72" w:name="_Toc235443000"/>
      <w:r>
        <w:rPr>
          <w:rFonts w:ascii="Segoe UI" w:eastAsia="Times New Roman" w:hAnsi="Segoe UI" w:cs="Segoe UI"/>
          <w:lang w:val="en"/>
        </w:rPr>
        <w:t>46. Next Steps</w:t>
      </w:r>
      <w:bookmarkEnd w:id="72"/>
    </w:p>
    <w:p w14:paraId="21ED5C55"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We propose the following steps to move from this proposal to a signed agreement and, ultimately, a live platform for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w:t>
      </w:r>
    </w:p>
    <w:tbl>
      <w:tblPr>
        <w:tblW w:w="5000" w:type="pct"/>
        <w:tblCellMar>
          <w:top w:w="15" w:type="dxa"/>
          <w:left w:w="15" w:type="dxa"/>
          <w:bottom w:w="15" w:type="dxa"/>
          <w:right w:w="15" w:type="dxa"/>
        </w:tblCellMar>
        <w:tblLook w:val="04A0" w:firstRow="1" w:lastRow="0" w:firstColumn="1" w:lastColumn="0" w:noHBand="0" w:noVBand="1"/>
      </w:tblPr>
      <w:tblGrid>
        <w:gridCol w:w="2536"/>
        <w:gridCol w:w="7083"/>
      </w:tblGrid>
      <w:tr w:rsidR="00000000" w14:paraId="6716BBC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9FBE2E0"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Step</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F3B757B"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Description</w:t>
            </w:r>
          </w:p>
        </w:tc>
      </w:tr>
      <w:tr w:rsidR="00000000" w14:paraId="2CF4864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2FE30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 Proposal review meeting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25031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Review this proposal together, answer questions, and clarify any assumptions</w:t>
            </w:r>
          </w:p>
        </w:tc>
      </w:tr>
      <w:tr w:rsidR="00000000" w14:paraId="462ADA7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CF8A5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2. Discovery workshop</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F9EDF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Confirm detailed requirements, infrastructure, and integration scope (Section 25, Phase 1)</w:t>
            </w:r>
          </w:p>
        </w:tc>
      </w:tr>
      <w:tr w:rsidR="00000000" w14:paraId="0332A09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0C213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3. Confirmed scope &amp; pricing</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62D28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Finalize scope and issue confirmed pricing based on the factors in Section 34.4</w:t>
            </w:r>
          </w:p>
        </w:tc>
      </w:tr>
      <w:tr w:rsidR="00000000" w14:paraId="09AF63E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469E5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4. Contract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3523E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Execute the signed commercial agreement, including final terms (Sections 33, 42)</w:t>
            </w:r>
          </w:p>
        </w:tc>
      </w:tr>
      <w:tr w:rsidR="00000000" w14:paraId="2760D52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979E7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5. Project kickoff</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A6C1A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Begin delivery under the methodology set out in Section 25</w:t>
            </w:r>
          </w:p>
        </w:tc>
      </w:tr>
    </w:tbl>
    <w:p w14:paraId="48DE01B3" w14:textId="77777777" w:rsidR="00917CFD" w:rsidRDefault="00917CFD">
      <w:pPr>
        <w:pStyle w:val="Heading1"/>
        <w:rPr>
          <w:rFonts w:ascii="Segoe UI" w:eastAsia="Times New Roman" w:hAnsi="Segoe UI" w:cs="Segoe UI"/>
          <w:lang w:val="en"/>
        </w:rPr>
      </w:pPr>
      <w:bookmarkStart w:id="73" w:name="_Toc235443001"/>
      <w:r>
        <w:rPr>
          <w:rFonts w:ascii="Segoe UI" w:eastAsia="Times New Roman" w:hAnsi="Segoe UI" w:cs="Segoe UI"/>
          <w:lang w:val="en"/>
        </w:rPr>
        <w:lastRenderedPageBreak/>
        <w:t>47. Acceptance Page</w:t>
      </w:r>
      <w:bookmarkEnd w:id="73"/>
    </w:p>
    <w:p w14:paraId="07F40347"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This proposal is accepted and agreed by the signatories below on behalf of their respective organizations.</w:t>
      </w:r>
    </w:p>
    <w:tbl>
      <w:tblPr>
        <w:tblW w:w="5000" w:type="pct"/>
        <w:tblCellMar>
          <w:top w:w="15" w:type="dxa"/>
          <w:left w:w="15" w:type="dxa"/>
          <w:bottom w:w="15" w:type="dxa"/>
          <w:right w:w="15" w:type="dxa"/>
        </w:tblCellMar>
        <w:tblLook w:val="04A0" w:firstRow="1" w:lastRow="0" w:firstColumn="1" w:lastColumn="0" w:noHBand="0" w:noVBand="1"/>
      </w:tblPr>
      <w:tblGrid>
        <w:gridCol w:w="4809"/>
        <w:gridCol w:w="4810"/>
      </w:tblGrid>
      <w:tr w:rsidR="00000000" w14:paraId="0D654B1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72E66B4"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 xml:space="preserve">For </w:t>
            </w:r>
            <w:r>
              <w:rPr>
                <w:rStyle w:val="Strong"/>
                <w:rFonts w:ascii="Segoe UI" w:eastAsia="Times New Roman" w:hAnsi="Segoe UI" w:cs="Segoe UI"/>
                <w:color w:val="FFFFFF"/>
                <w:sz w:val="19"/>
                <w:szCs w:val="19"/>
              </w:rPr>
              <w:t>[Client Name]</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A26CBCE"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For Altanfith Aldwaliah SPC</w:t>
            </w:r>
          </w:p>
        </w:tc>
      </w:tr>
      <w:tr w:rsidR="00000000" w14:paraId="73E0515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FEA67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Name: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451FC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Name: ____________________________</w:t>
            </w:r>
          </w:p>
        </w:tc>
      </w:tr>
      <w:tr w:rsidR="00000000" w14:paraId="2212889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F9D2462"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Title: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89C33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Title: ____________________________</w:t>
            </w:r>
          </w:p>
        </w:tc>
      </w:tr>
      <w:tr w:rsidR="00000000" w14:paraId="679AA12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0FF05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Signature: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84E6E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Signature: ____________________________</w:t>
            </w:r>
          </w:p>
        </w:tc>
      </w:tr>
      <w:tr w:rsidR="00000000" w14:paraId="0241281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2442D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24C90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Date: ____________________________</w:t>
            </w:r>
          </w:p>
        </w:tc>
      </w:tr>
    </w:tbl>
    <w:p w14:paraId="18AB3786" w14:textId="77777777" w:rsidR="00917CFD" w:rsidRDefault="00917CFD">
      <w:pPr>
        <w:pStyle w:val="Heading1"/>
        <w:rPr>
          <w:rFonts w:ascii="Segoe UI" w:eastAsia="Times New Roman" w:hAnsi="Segoe UI" w:cs="Segoe UI"/>
          <w:lang w:val="en"/>
        </w:rPr>
      </w:pPr>
      <w:bookmarkStart w:id="74" w:name="_Toc235443002"/>
      <w:r>
        <w:rPr>
          <w:rFonts w:ascii="Segoe UI" w:eastAsia="Times New Roman" w:hAnsi="Segoe UI" w:cs="Segoe UI"/>
          <w:lang w:val="en"/>
        </w:rPr>
        <w:t>48. Contact Details</w:t>
      </w:r>
      <w:bookmarkEnd w:id="74"/>
    </w:p>
    <w:tbl>
      <w:tblPr>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5FA4D0F6" w14:textId="77777777">
        <w:tc>
          <w:tcPr>
            <w:tcW w:w="1600" w:type="pct"/>
            <w:tcBorders>
              <w:top w:val="nil"/>
              <w:left w:val="nil"/>
              <w:bottom w:val="nil"/>
              <w:right w:val="nil"/>
            </w:tcBorders>
            <w:tcMar>
              <w:top w:w="40" w:type="dxa"/>
              <w:left w:w="120" w:type="dxa"/>
              <w:bottom w:w="40" w:type="dxa"/>
              <w:right w:w="120" w:type="dxa"/>
            </w:tcMar>
            <w:hideMark/>
          </w:tcPr>
          <w:p w14:paraId="7B7DC241"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Company</w:t>
            </w:r>
          </w:p>
        </w:tc>
        <w:tc>
          <w:tcPr>
            <w:tcW w:w="0" w:type="auto"/>
            <w:tcBorders>
              <w:top w:val="nil"/>
              <w:left w:val="nil"/>
              <w:bottom w:val="nil"/>
              <w:right w:val="nil"/>
            </w:tcBorders>
            <w:tcMar>
              <w:top w:w="40" w:type="dxa"/>
              <w:left w:w="120" w:type="dxa"/>
              <w:bottom w:w="40" w:type="dxa"/>
              <w:right w:w="120" w:type="dxa"/>
            </w:tcMar>
            <w:hideMark/>
          </w:tcPr>
          <w:p w14:paraId="22923FC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Altanfith Aldwaliah SPC</w:t>
            </w:r>
          </w:p>
        </w:tc>
      </w:tr>
      <w:tr w:rsidR="00000000" w14:paraId="6AAE74A4" w14:textId="77777777">
        <w:tc>
          <w:tcPr>
            <w:tcW w:w="0" w:type="auto"/>
            <w:tcBorders>
              <w:top w:val="nil"/>
              <w:left w:val="nil"/>
              <w:bottom w:val="nil"/>
              <w:right w:val="nil"/>
            </w:tcBorders>
            <w:tcMar>
              <w:top w:w="40" w:type="dxa"/>
              <w:left w:w="120" w:type="dxa"/>
              <w:bottom w:w="40" w:type="dxa"/>
              <w:right w:w="120" w:type="dxa"/>
            </w:tcMar>
            <w:hideMark/>
          </w:tcPr>
          <w:p w14:paraId="50F16540"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Solution</w:t>
            </w:r>
          </w:p>
        </w:tc>
        <w:tc>
          <w:tcPr>
            <w:tcW w:w="0" w:type="auto"/>
            <w:tcBorders>
              <w:top w:val="nil"/>
              <w:left w:val="nil"/>
              <w:bottom w:val="nil"/>
              <w:right w:val="nil"/>
            </w:tcBorders>
            <w:tcMar>
              <w:top w:w="40" w:type="dxa"/>
              <w:left w:w="120" w:type="dxa"/>
              <w:bottom w:w="40" w:type="dxa"/>
              <w:right w:w="120" w:type="dxa"/>
            </w:tcMar>
            <w:hideMark/>
          </w:tcPr>
          <w:p w14:paraId="57C63A1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Platform</w:t>
            </w:r>
          </w:p>
        </w:tc>
      </w:tr>
      <w:tr w:rsidR="00000000" w14:paraId="403A9A8E" w14:textId="77777777">
        <w:tc>
          <w:tcPr>
            <w:tcW w:w="0" w:type="auto"/>
            <w:tcBorders>
              <w:top w:val="nil"/>
              <w:left w:val="nil"/>
              <w:bottom w:val="nil"/>
              <w:right w:val="nil"/>
            </w:tcBorders>
            <w:tcMar>
              <w:top w:w="40" w:type="dxa"/>
              <w:left w:w="120" w:type="dxa"/>
              <w:bottom w:w="40" w:type="dxa"/>
              <w:right w:w="120" w:type="dxa"/>
            </w:tcMar>
            <w:hideMark/>
          </w:tcPr>
          <w:p w14:paraId="41BDA8F2"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Prepared by</w:t>
            </w:r>
          </w:p>
        </w:tc>
        <w:tc>
          <w:tcPr>
            <w:tcW w:w="0" w:type="auto"/>
            <w:tcBorders>
              <w:top w:val="nil"/>
              <w:left w:val="nil"/>
              <w:bottom w:val="nil"/>
              <w:right w:val="nil"/>
            </w:tcBorders>
            <w:tcMar>
              <w:top w:w="40" w:type="dxa"/>
              <w:left w:w="120" w:type="dxa"/>
              <w:bottom w:w="40" w:type="dxa"/>
              <w:right w:w="120" w:type="dxa"/>
            </w:tcMar>
            <w:hideMark/>
          </w:tcPr>
          <w:p w14:paraId="24071EF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 Al Lamki</w:t>
            </w:r>
          </w:p>
        </w:tc>
      </w:tr>
      <w:tr w:rsidR="00000000" w14:paraId="3FCE39B0" w14:textId="77777777">
        <w:tc>
          <w:tcPr>
            <w:tcW w:w="0" w:type="auto"/>
            <w:tcBorders>
              <w:top w:val="nil"/>
              <w:left w:val="nil"/>
              <w:bottom w:val="nil"/>
              <w:right w:val="nil"/>
            </w:tcBorders>
            <w:tcMar>
              <w:top w:w="40" w:type="dxa"/>
              <w:left w:w="120" w:type="dxa"/>
              <w:bottom w:w="40" w:type="dxa"/>
              <w:right w:w="120" w:type="dxa"/>
            </w:tcMar>
            <w:hideMark/>
          </w:tcPr>
          <w:p w14:paraId="23480A5C"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Email</w:t>
            </w:r>
          </w:p>
        </w:tc>
        <w:tc>
          <w:tcPr>
            <w:tcW w:w="0" w:type="auto"/>
            <w:tcBorders>
              <w:top w:val="nil"/>
              <w:left w:val="nil"/>
              <w:bottom w:val="nil"/>
              <w:right w:val="nil"/>
            </w:tcBorders>
            <w:tcMar>
              <w:top w:w="40" w:type="dxa"/>
              <w:left w:w="120" w:type="dxa"/>
              <w:bottom w:w="40" w:type="dxa"/>
              <w:right w:w="120" w:type="dxa"/>
            </w:tcMar>
            <w:hideMark/>
          </w:tcPr>
          <w:p w14:paraId="1DC23DEC"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haitham@altanfith.com</w:t>
            </w:r>
          </w:p>
        </w:tc>
      </w:tr>
      <w:tr w:rsidR="00000000" w14:paraId="1E1A5D3D" w14:textId="77777777">
        <w:tc>
          <w:tcPr>
            <w:tcW w:w="0" w:type="auto"/>
            <w:tcBorders>
              <w:top w:val="nil"/>
              <w:left w:val="nil"/>
              <w:bottom w:val="nil"/>
              <w:right w:val="nil"/>
            </w:tcBorders>
            <w:tcMar>
              <w:top w:w="40" w:type="dxa"/>
              <w:left w:w="120" w:type="dxa"/>
              <w:bottom w:w="40" w:type="dxa"/>
              <w:right w:w="120" w:type="dxa"/>
            </w:tcMar>
            <w:hideMark/>
          </w:tcPr>
          <w:p w14:paraId="6587DC31"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Phone</w:t>
            </w:r>
          </w:p>
        </w:tc>
        <w:tc>
          <w:tcPr>
            <w:tcW w:w="0" w:type="auto"/>
            <w:tcBorders>
              <w:top w:val="nil"/>
              <w:left w:val="nil"/>
              <w:bottom w:val="nil"/>
              <w:right w:val="nil"/>
            </w:tcBorders>
            <w:tcMar>
              <w:top w:w="40" w:type="dxa"/>
              <w:left w:w="120" w:type="dxa"/>
              <w:bottom w:w="40" w:type="dxa"/>
              <w:right w:w="120" w:type="dxa"/>
            </w:tcMar>
            <w:hideMark/>
          </w:tcPr>
          <w:p w14:paraId="28173A0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+968 9937 1775</w:t>
            </w:r>
          </w:p>
        </w:tc>
      </w:tr>
      <w:tr w:rsidR="00000000" w14:paraId="5EBF5683" w14:textId="77777777">
        <w:tc>
          <w:tcPr>
            <w:tcW w:w="0" w:type="auto"/>
            <w:tcBorders>
              <w:top w:val="nil"/>
              <w:left w:val="nil"/>
              <w:bottom w:val="nil"/>
              <w:right w:val="nil"/>
            </w:tcBorders>
            <w:tcMar>
              <w:top w:w="40" w:type="dxa"/>
              <w:left w:w="120" w:type="dxa"/>
              <w:bottom w:w="40" w:type="dxa"/>
              <w:right w:w="120" w:type="dxa"/>
            </w:tcMar>
            <w:hideMark/>
          </w:tcPr>
          <w:p w14:paraId="7477AB33" w14:textId="77777777" w:rsidR="00917CFD" w:rsidRDefault="00917CFD">
            <w:pPr>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Country</w:t>
            </w:r>
          </w:p>
        </w:tc>
        <w:tc>
          <w:tcPr>
            <w:tcW w:w="0" w:type="auto"/>
            <w:tcBorders>
              <w:top w:val="nil"/>
              <w:left w:val="nil"/>
              <w:bottom w:val="nil"/>
              <w:right w:val="nil"/>
            </w:tcBorders>
            <w:tcMar>
              <w:top w:w="40" w:type="dxa"/>
              <w:left w:w="120" w:type="dxa"/>
              <w:bottom w:w="40" w:type="dxa"/>
              <w:right w:w="120" w:type="dxa"/>
            </w:tcMar>
            <w:hideMark/>
          </w:tcPr>
          <w:p w14:paraId="2DEFACA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Sultanate of Oman</w:t>
            </w:r>
          </w:p>
        </w:tc>
      </w:tr>
    </w:tbl>
    <w:p w14:paraId="6D66C33E" w14:textId="77777777" w:rsidR="00917CFD" w:rsidRDefault="00917CFD">
      <w:pPr>
        <w:pStyle w:val="Heading1"/>
        <w:rPr>
          <w:rFonts w:ascii="Segoe UI" w:eastAsia="Times New Roman" w:hAnsi="Segoe UI" w:cs="Segoe UI"/>
          <w:lang w:val="en"/>
        </w:rPr>
      </w:pPr>
      <w:bookmarkStart w:id="75" w:name="_Toc235443003"/>
      <w:r>
        <w:rPr>
          <w:rFonts w:ascii="Segoe UI" w:eastAsia="Times New Roman" w:hAnsi="Segoe UI" w:cs="Segoe UI"/>
          <w:lang w:val="en"/>
        </w:rPr>
        <w:t>49. Appendices</w:t>
      </w:r>
      <w:bookmarkEnd w:id="75"/>
    </w:p>
    <w:p w14:paraId="1A5D11B2" w14:textId="77777777" w:rsidR="00917CFD" w:rsidRDefault="00917CFD">
      <w:pPr>
        <w:pStyle w:val="Heading2"/>
        <w:rPr>
          <w:rFonts w:ascii="Segoe UI" w:eastAsia="Times New Roman" w:hAnsi="Segoe UI" w:cs="Segoe UI"/>
          <w:lang w:val="en"/>
        </w:rPr>
      </w:pPr>
      <w:bookmarkStart w:id="76" w:name="_Toc235443004"/>
      <w:r>
        <w:rPr>
          <w:rFonts w:ascii="Segoe UI" w:eastAsia="Times New Roman" w:hAnsi="Segoe UI" w:cs="Segoe UI"/>
          <w:lang w:val="en"/>
        </w:rPr>
        <w:t>49.1 Appendix A — Glossary</w:t>
      </w:r>
      <w:bookmarkEnd w:id="76"/>
    </w:p>
    <w:tbl>
      <w:tblPr>
        <w:tblW w:w="5000" w:type="pct"/>
        <w:tblCellMar>
          <w:top w:w="15" w:type="dxa"/>
          <w:left w:w="15" w:type="dxa"/>
          <w:bottom w:w="15" w:type="dxa"/>
          <w:right w:w="15" w:type="dxa"/>
        </w:tblCellMar>
        <w:tblLook w:val="04A0" w:firstRow="1" w:lastRow="0" w:firstColumn="1" w:lastColumn="0" w:noHBand="0" w:noVBand="1"/>
      </w:tblPr>
      <w:tblGrid>
        <w:gridCol w:w="1187"/>
        <w:gridCol w:w="8432"/>
      </w:tblGrid>
      <w:tr w:rsidR="00000000" w14:paraId="4D2192B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F7C89FD"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Term</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7C6B52E" w14:textId="77777777" w:rsidR="00917CFD" w:rsidRDefault="00917CFD">
            <w:pPr>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Pr>
              <w:t>Meaning</w:t>
            </w:r>
          </w:p>
        </w:tc>
      </w:tr>
      <w:tr w:rsidR="00000000" w14:paraId="0D02154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06F4C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E9AF9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Application Programming Interface — the interface through which systems exchange data</w:t>
            </w:r>
          </w:p>
        </w:tc>
      </w:tr>
      <w:tr w:rsidR="00000000" w14:paraId="20BC348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F68A4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237E9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period of heightened, close-support monitoring immediately following go-live (Section 25, Phase 16)</w:t>
            </w:r>
          </w:p>
        </w:tc>
      </w:tr>
      <w:tr w:rsidR="00000000" w14:paraId="20D0CE4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39134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A5C057"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JSON Web Token — a common secure, token-based authentication format</w:t>
            </w:r>
          </w:p>
        </w:tc>
      </w:tr>
      <w:tr w:rsidR="00000000" w14:paraId="55B11AB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875431"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B584B6"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Learning Management System</w:t>
            </w:r>
          </w:p>
        </w:tc>
      </w:tr>
      <w:tr w:rsidR="00000000" w14:paraId="71FD39A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5A240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MFA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25536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Multi-Factor Authentication</w:t>
            </w:r>
          </w:p>
        </w:tc>
      </w:tr>
      <w:tr w:rsidR="00000000" w14:paraId="49EC78F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98E3EE"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RBAC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6CE07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Role-Based Access Control — access permissions governed by assigned roles</w:t>
            </w:r>
          </w:p>
        </w:tc>
      </w:tr>
      <w:tr w:rsidR="00000000" w14:paraId="2B9C457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E8A07A"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61238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Row-Level Security — database-enforced, per-record data isolation</w:t>
            </w:r>
          </w:p>
        </w:tc>
      </w:tr>
      <w:tr w:rsidR="00000000" w14:paraId="3601BB4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2196C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RTL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A26B7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Right-to-Left — the text layout direction required for Arabic</w:t>
            </w:r>
          </w:p>
        </w:tc>
      </w:tr>
      <w:tr w:rsidR="00000000" w14:paraId="50C9FC3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796C39"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SLA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39CF13"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Service Level Agreement — defined response and resolution targets for support</w:t>
            </w:r>
          </w:p>
        </w:tc>
      </w:tr>
      <w:tr w:rsidR="00000000" w14:paraId="34E98F2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DDD4F8"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SSO</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402C2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Single Sign-On — authentication against a shared identity provider</w:t>
            </w:r>
          </w:p>
        </w:tc>
      </w:tr>
      <w:tr w:rsidR="00000000" w14:paraId="693AE98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26C37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Tenant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2540F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An isolated organization or department within the multi-tenant platform</w:t>
            </w:r>
          </w:p>
        </w:tc>
      </w:tr>
      <w:tr w:rsidR="00000000" w14:paraId="142CA76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1D9BB0"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EA78E4"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Transport Layer Security — encryption protocol used to secure data in transit</w:t>
            </w:r>
          </w:p>
        </w:tc>
      </w:tr>
      <w:tr w:rsidR="00000000" w14:paraId="1203AFF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1E2B4D"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6FF47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User Acceptance Testing — client-led testing against agreed acceptance criteria before go-live</w:t>
            </w:r>
          </w:p>
        </w:tc>
      </w:tr>
      <w:tr w:rsidR="00000000" w14:paraId="3B2E04E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815125"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12D2CF" w14:textId="77777777" w:rsidR="00917CFD" w:rsidRDefault="00917CFD">
            <w:pPr>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 persistent connection protocol used for the platform's real-time features</w:t>
            </w:r>
          </w:p>
        </w:tc>
      </w:tr>
    </w:tbl>
    <w:p w14:paraId="6F7FB4A3" w14:textId="77777777" w:rsidR="00917CFD" w:rsidRDefault="00917CFD">
      <w:pPr>
        <w:pStyle w:val="Heading2"/>
        <w:rPr>
          <w:rFonts w:ascii="Segoe UI" w:eastAsia="Times New Roman" w:hAnsi="Segoe UI" w:cs="Segoe UI"/>
          <w:lang w:val="en"/>
        </w:rPr>
      </w:pPr>
      <w:bookmarkStart w:id="77" w:name="_Toc235443005"/>
      <w:r>
        <w:rPr>
          <w:rFonts w:ascii="Segoe UI" w:eastAsia="Times New Roman" w:hAnsi="Segoe UI" w:cs="Segoe UI"/>
          <w:lang w:val="en"/>
        </w:rPr>
        <w:t>49.2 Appendix B — Placeholder Index</w:t>
      </w:r>
      <w:bookmarkEnd w:id="77"/>
    </w:p>
    <w:p w14:paraId="1141C86E" w14:textId="77777777" w:rsidR="00917CFD" w:rsidRDefault="00917CFD">
      <w:pPr>
        <w:pStyle w:val="NormalWeb"/>
        <w:rPr>
          <w:rFonts w:ascii="Segoe UI" w:hAnsi="Segoe UI" w:cs="Segoe UI"/>
          <w:color w:val="1F2933"/>
          <w:sz w:val="21"/>
          <w:szCs w:val="21"/>
          <w:lang w:val="en"/>
        </w:rPr>
      </w:pPr>
      <w:r>
        <w:rPr>
          <w:rFonts w:ascii="Segoe UI" w:hAnsi="Segoe UI" w:cs="Segoe UI"/>
          <w:color w:val="1F2933"/>
          <w:sz w:val="21"/>
          <w:szCs w:val="21"/>
          <w:lang w:val="en"/>
        </w:rPr>
        <w:t xml:space="preserve">The following placeholders appear throughout this proposal and should be completed by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w:t>
      </w:r>
      <w:r>
        <w:rPr>
          <w:rFonts w:ascii="Segoe UI" w:hAnsi="Segoe UI" w:cs="Segoe UI"/>
          <w:color w:val="1F2933"/>
          <w:sz w:val="21"/>
          <w:szCs w:val="21"/>
          <w:lang w:val="en"/>
        </w:rPr>
        <w:t xml:space="preserve">and Altanfith Aldwaliah SPC jointly before the document is finalized: </w:t>
      </w:r>
      <w:r>
        <w:rPr>
          <w:rStyle w:val="Strong"/>
          <w:rFonts w:ascii="Segoe UI" w:hAnsi="Segoe UI" w:cs="Segoe UI"/>
          <w:color w:val="1F2933"/>
          <w:sz w:val="21"/>
          <w:szCs w:val="21"/>
          <w:lang w:val="en"/>
        </w:rPr>
        <w:t>[Client Name]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[Proposal Reference]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[Date]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[Number of Users]</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[Concurrent Participants]</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[Hosting Provider]</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[Data Retention Period]</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[Response Time]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[Pricing]</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[Payment Terms]</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[Client Infrastructure]</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[Compliance Requirement]</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[Integration System]</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OMR [TBC]</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[TBC]%</w:t>
      </w:r>
      <w:r>
        <w:rPr>
          <w:rFonts w:ascii="Segoe UI" w:hAnsi="Segoe UI" w:cs="Segoe UI"/>
          <w:color w:val="1F2933"/>
          <w:sz w:val="21"/>
          <w:szCs w:val="21"/>
          <w:lang w:val="en"/>
        </w:rPr>
        <w:t xml:space="preserve"> · </w:t>
      </w:r>
      <w:r>
        <w:rPr>
          <w:rStyle w:val="Strong"/>
          <w:rFonts w:ascii="Segoe UI" w:hAnsi="Segoe UI" w:cs="Segoe UI"/>
          <w:color w:val="1F2933"/>
          <w:sz w:val="21"/>
          <w:szCs w:val="21"/>
          <w:lang w:val="en"/>
        </w:rPr>
        <w:t>[TBC]</w:t>
      </w:r>
      <w:r>
        <w:rPr>
          <w:rFonts w:ascii="Segoe UI" w:hAnsi="Segoe UI" w:cs="Segoe UI"/>
          <w:color w:val="1F2933"/>
          <w:sz w:val="21"/>
          <w:szCs w:val="21"/>
          <w:lang w:val="en"/>
        </w:rPr>
        <w:t>.</w:t>
      </w:r>
    </w:p>
    <w:p w14:paraId="23B2D724" w14:textId="77777777" w:rsidR="00917CFD" w:rsidRDefault="00917CFD">
      <w:pPr>
        <w:pStyle w:val="Heading2"/>
        <w:rPr>
          <w:rFonts w:ascii="Segoe UI" w:eastAsia="Times New Roman" w:hAnsi="Segoe UI" w:cs="Segoe UI"/>
          <w:lang w:val="en"/>
        </w:rPr>
      </w:pPr>
      <w:bookmarkStart w:id="78" w:name="_Toc235443006"/>
      <w:r>
        <w:rPr>
          <w:rFonts w:ascii="Segoe UI" w:eastAsia="Times New Roman" w:hAnsi="Segoe UI" w:cs="Segoe UI"/>
          <w:lang w:val="en"/>
        </w:rPr>
        <w:t>49.3 Appendix C — Referenced Documents</w:t>
      </w:r>
      <w:bookmarkEnd w:id="78"/>
    </w:p>
    <w:p w14:paraId="1EF435E1" w14:textId="77777777" w:rsidR="00917CFD" w:rsidRDefault="00917CFD">
      <w:pPr>
        <w:pStyle w:val="NormalWeb"/>
        <w:rPr>
          <w:rFonts w:ascii="Segoe UI" w:hAnsi="Segoe UI" w:cs="Segoe UI"/>
          <w:color w:val="1F2933"/>
          <w:sz w:val="21"/>
          <w:szCs w:val="21"/>
          <w:lang w:val="en"/>
        </w:rPr>
      </w:pPr>
      <w:r>
        <w:rPr>
          <w:rStyle w:val="Strong"/>
          <w:rFonts w:ascii="Segoe UI" w:hAnsi="Segoe UI" w:cs="Segoe UI"/>
          <w:color w:val="1F2933"/>
          <w:sz w:val="21"/>
          <w:szCs w:val="21"/>
          <w:lang w:val="en"/>
        </w:rPr>
        <w:t>[Referenced Documents]</w:t>
      </w:r>
      <w:r>
        <w:rPr>
          <w:rFonts w:ascii="Segoe UI" w:hAnsi="Segoe UI" w:cs="Segoe UI"/>
          <w:color w:val="1F2933"/>
          <w:sz w:val="21"/>
          <w:szCs w:val="21"/>
          <w:lang w:val="en"/>
        </w:rPr>
        <w:t xml:space="preserve"> — any client-supplied requirements documents, security policies, or architecture standards referenced during discovery will be listed here.</w:t>
      </w:r>
    </w:p>
    <w:sectPr w:rsidR="00917CFD" w:rsidSect="000E4DF3">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BE568" w14:textId="77777777" w:rsidR="00917CFD" w:rsidRDefault="00917CFD" w:rsidP="000E4DF3">
      <w:r>
        <w:separator/>
      </w:r>
    </w:p>
  </w:endnote>
  <w:endnote w:type="continuationSeparator" w:id="0">
    <w:p w14:paraId="448A490E" w14:textId="77777777" w:rsidR="00917CFD" w:rsidRDefault="00917CFD" w:rsidP="000E4D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49AD7" w14:textId="77777777" w:rsidR="000E4DF3" w:rsidRDefault="000E4D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FE939" w14:textId="2DAC9C63" w:rsidR="000E4DF3" w:rsidRPr="000E4DF3" w:rsidRDefault="000E4DF3" w:rsidP="000E4DF3">
    <w:pPr>
      <w:pStyle w:val="Footer"/>
      <w:jc w:val="center"/>
      <w:rPr>
        <w:color w:val="5A6B7A"/>
        <w:sz w:val="16"/>
      </w:rPr>
    </w:pPr>
    <w:r w:rsidRPr="000E4DF3">
      <w:rPr>
        <w:color w:val="5A6B7A"/>
        <w:sz w:val="16"/>
      </w:rPr>
      <w:t xml:space="preserve">Altanfith Aldwaliah SPC  |  Confidential  |  Page </w:t>
    </w:r>
    <w:r w:rsidRPr="000E4DF3">
      <w:rPr>
        <w:color w:val="5A6B7A"/>
        <w:sz w:val="16"/>
      </w:rPr>
      <w:fldChar w:fldCharType="begin"/>
    </w:r>
    <w:r w:rsidRPr="000E4DF3">
      <w:rPr>
        <w:color w:val="5A6B7A"/>
        <w:sz w:val="16"/>
      </w:rPr>
      <w:instrText xml:space="preserve"> PAGE  \* MERGEFORMAT </w:instrText>
    </w:r>
    <w:r w:rsidRPr="000E4DF3">
      <w:rPr>
        <w:color w:val="5A6B7A"/>
        <w:sz w:val="16"/>
      </w:rPr>
      <w:fldChar w:fldCharType="separate"/>
    </w:r>
    <w:r w:rsidRPr="000E4DF3">
      <w:rPr>
        <w:noProof/>
        <w:color w:val="5A6B7A"/>
        <w:sz w:val="16"/>
      </w:rPr>
      <w:t>1</w:t>
    </w:r>
    <w:r w:rsidRPr="000E4DF3">
      <w:rPr>
        <w:color w:val="5A6B7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51F9D" w14:textId="77777777" w:rsidR="000E4DF3" w:rsidRDefault="000E4D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09EB9" w14:textId="77777777" w:rsidR="00917CFD" w:rsidRDefault="00917CFD" w:rsidP="000E4DF3">
      <w:r>
        <w:separator/>
      </w:r>
    </w:p>
  </w:footnote>
  <w:footnote w:type="continuationSeparator" w:id="0">
    <w:p w14:paraId="2BB24B04" w14:textId="77777777" w:rsidR="00917CFD" w:rsidRDefault="00917CFD" w:rsidP="000E4D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4763" w14:textId="77777777" w:rsidR="000E4DF3" w:rsidRDefault="000E4D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F5258" w14:textId="77777777" w:rsidR="000E4DF3" w:rsidRDefault="000E4D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18499" w14:textId="77777777" w:rsidR="000E4DF3" w:rsidRDefault="000E4D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A6968"/>
    <w:multiLevelType w:val="multilevel"/>
    <w:tmpl w:val="4480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5231F6"/>
    <w:multiLevelType w:val="multilevel"/>
    <w:tmpl w:val="BA4E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B22BF4"/>
    <w:multiLevelType w:val="multilevel"/>
    <w:tmpl w:val="BC30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A971C6"/>
    <w:multiLevelType w:val="multilevel"/>
    <w:tmpl w:val="F1CE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2308610">
    <w:abstractNumId w:val="0"/>
  </w:num>
  <w:num w:numId="2" w16cid:durableId="704598675">
    <w:abstractNumId w:val="3"/>
  </w:num>
  <w:num w:numId="3" w16cid:durableId="1653482431">
    <w:abstractNumId w:val="1"/>
  </w:num>
  <w:num w:numId="4" w16cid:durableId="12649183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E4DF3"/>
    <w:rsid w:val="000E4DF3"/>
    <w:rsid w:val="00642A12"/>
    <w:rsid w:val="00917C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AA9C10"/>
  <w15:chartTrackingRefBased/>
  <w15:docId w15:val="{0DAD9637-934B-438B-A14C-FDE7AF099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8" w:space="4" w:color="0FA3A3"/>
      </w:pBdr>
      <w:spacing w:before="400" w:after="100" w:afterAutospacing="1"/>
      <w:outlineLvl w:val="0"/>
    </w:pPr>
    <w:rPr>
      <w:b/>
      <w:bCs/>
      <w:color w:val="0B2239"/>
      <w:kern w:val="36"/>
      <w:sz w:val="36"/>
      <w:szCs w:val="36"/>
    </w:rPr>
  </w:style>
  <w:style w:type="paragraph" w:styleId="Heading2">
    <w:name w:val="heading 2"/>
    <w:basedOn w:val="Normal"/>
    <w:link w:val="Heading2Char"/>
    <w:uiPriority w:val="9"/>
    <w:qFormat/>
    <w:pPr>
      <w:spacing w:before="280" w:after="100" w:afterAutospacing="1"/>
      <w:outlineLvl w:val="1"/>
    </w:pPr>
    <w:rPr>
      <w:b/>
      <w:bCs/>
      <w:color w:val="0B2239"/>
      <w:sz w:val="26"/>
      <w:szCs w:val="26"/>
    </w:rPr>
  </w:style>
  <w:style w:type="paragraph" w:styleId="Heading3">
    <w:name w:val="heading 3"/>
    <w:basedOn w:val="Normal"/>
    <w:link w:val="Heading3Char"/>
    <w:uiPriority w:val="9"/>
    <w:qFormat/>
    <w:pPr>
      <w:spacing w:before="100" w:beforeAutospacing="1" w:after="100" w:afterAutospacing="1"/>
      <w:outlineLvl w:val="2"/>
    </w:pPr>
    <w:rPr>
      <w:b/>
      <w:bCs/>
      <w:color w:val="155E6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pb">
    <w:name w:val="pb"/>
    <w:basedOn w:val="Normal"/>
    <w:pPr>
      <w:pageBreakBefore/>
      <w:spacing w:before="100" w:beforeAutospacing="1" w:after="100" w:afterAutospacing="1"/>
    </w:pPr>
  </w:style>
  <w:style w:type="paragraph" w:customStyle="1" w:styleId="tag">
    <w:name w:val="tag"/>
    <w:basedOn w:val="Normal"/>
    <w:pPr>
      <w:spacing w:before="100" w:beforeAutospacing="1" w:after="100" w:afterAutospacing="1"/>
    </w:pPr>
    <w:rPr>
      <w:color w:val="0FA3A3"/>
    </w:rPr>
  </w:style>
  <w:style w:type="paragraph" w:customStyle="1" w:styleId="notice">
    <w:name w:val="notice"/>
    <w:basedOn w:val="Normal"/>
    <w:pPr>
      <w:pBdr>
        <w:left w:val="single" w:sz="24" w:space="10" w:color="0FA3A3"/>
      </w:pBdr>
      <w:shd w:val="clear" w:color="auto" w:fill="F2F4F7"/>
      <w:spacing w:before="100" w:beforeAutospacing="1" w:after="100" w:afterAutospacing="1"/>
    </w:pPr>
  </w:style>
  <w:style w:type="paragraph" w:customStyle="1" w:styleId="muted">
    <w:name w:val="muted"/>
    <w:basedOn w:val="Normal"/>
    <w:pPr>
      <w:spacing w:before="100" w:beforeAutospacing="1" w:after="100" w:afterAutospacing="1"/>
    </w:pPr>
    <w:rPr>
      <w:color w:val="5A6B7A"/>
      <w:sz w:val="18"/>
      <w:szCs w:val="18"/>
    </w:rPr>
  </w:style>
  <w:style w:type="paragraph" w:customStyle="1" w:styleId="badge-inc">
    <w:name w:val="badge-inc"/>
    <w:basedOn w:val="Normal"/>
    <w:pPr>
      <w:spacing w:before="100" w:beforeAutospacing="1" w:after="100" w:afterAutospacing="1"/>
    </w:pPr>
    <w:rPr>
      <w:b/>
      <w:bCs/>
      <w:color w:val="155E63"/>
    </w:rPr>
  </w:style>
  <w:style w:type="paragraph" w:customStyle="1" w:styleId="badge-opt">
    <w:name w:val="badge-opt"/>
    <w:basedOn w:val="Normal"/>
    <w:pPr>
      <w:spacing w:before="100" w:beforeAutospacing="1" w:after="100" w:afterAutospacing="1"/>
    </w:pPr>
    <w:rPr>
      <w:b/>
      <w:bCs/>
      <w:color w:val="8A6D1D"/>
    </w:rPr>
  </w:style>
  <w:style w:type="paragraph" w:customStyle="1" w:styleId="badge-fut">
    <w:name w:val="badge-fut"/>
    <w:basedOn w:val="Normal"/>
    <w:pPr>
      <w:spacing w:before="100" w:beforeAutospacing="1" w:after="100" w:afterAutospacing="1"/>
    </w:pPr>
    <w:rPr>
      <w:b/>
      <w:bCs/>
      <w:color w:val="5A6B7A"/>
    </w:rPr>
  </w:style>
  <w:style w:type="paragraph" w:customStyle="1" w:styleId="badge-tbc">
    <w:name w:val="badge-tbc"/>
    <w:basedOn w:val="Normal"/>
    <w:pPr>
      <w:spacing w:before="100" w:beforeAutospacing="1" w:after="100" w:afterAutospacing="1"/>
    </w:pPr>
    <w:rPr>
      <w:b/>
      <w:bCs/>
      <w:color w:val="8C2F2F"/>
    </w:rPr>
  </w:style>
  <w:style w:type="character" w:styleId="Strong">
    <w:name w:val="Strong"/>
    <w:basedOn w:val="DefaultParagraphFont"/>
    <w:uiPriority w:val="22"/>
    <w:qFormat/>
    <w:rPr>
      <w:b/>
      <w:bCs/>
    </w:rPr>
  </w:style>
  <w:style w:type="character" w:customStyle="1" w:styleId="muted1">
    <w:name w:val="muted1"/>
    <w:basedOn w:val="DefaultParagraphFont"/>
    <w:rPr>
      <w:color w:val="5A6B7A"/>
      <w:sz w:val="18"/>
      <w:szCs w:val="18"/>
    </w:rPr>
  </w:style>
  <w:style w:type="character" w:customStyle="1" w:styleId="badge-inc1">
    <w:name w:val="badge-inc1"/>
    <w:basedOn w:val="DefaultParagraphFont"/>
    <w:rPr>
      <w:b/>
      <w:bCs/>
      <w:color w:val="155E63"/>
    </w:rPr>
  </w:style>
  <w:style w:type="character" w:customStyle="1" w:styleId="badge-opt1">
    <w:name w:val="badge-opt1"/>
    <w:basedOn w:val="DefaultParagraphFont"/>
    <w:rPr>
      <w:b/>
      <w:bCs/>
      <w:color w:val="8A6D1D"/>
    </w:rPr>
  </w:style>
  <w:style w:type="character" w:customStyle="1" w:styleId="badge-fut1">
    <w:name w:val="badge-fut1"/>
    <w:basedOn w:val="DefaultParagraphFont"/>
    <w:rPr>
      <w:b/>
      <w:bCs/>
      <w:color w:val="5A6B7A"/>
    </w:rPr>
  </w:style>
  <w:style w:type="paragraph" w:styleId="Header">
    <w:name w:val="header"/>
    <w:basedOn w:val="Normal"/>
    <w:link w:val="HeaderChar"/>
    <w:uiPriority w:val="99"/>
    <w:unhideWhenUsed/>
    <w:rsid w:val="000E4DF3"/>
    <w:pPr>
      <w:tabs>
        <w:tab w:val="center" w:pos="4680"/>
        <w:tab w:val="right" w:pos="9360"/>
      </w:tabs>
    </w:pPr>
  </w:style>
  <w:style w:type="character" w:customStyle="1" w:styleId="HeaderChar">
    <w:name w:val="Header Char"/>
    <w:basedOn w:val="DefaultParagraphFont"/>
    <w:link w:val="Header"/>
    <w:uiPriority w:val="99"/>
    <w:rsid w:val="000E4DF3"/>
    <w:rPr>
      <w:rFonts w:eastAsiaTheme="minorEastAsia"/>
      <w:sz w:val="24"/>
      <w:szCs w:val="24"/>
    </w:rPr>
  </w:style>
  <w:style w:type="paragraph" w:styleId="Footer">
    <w:name w:val="footer"/>
    <w:basedOn w:val="Normal"/>
    <w:link w:val="FooterChar"/>
    <w:uiPriority w:val="99"/>
    <w:unhideWhenUsed/>
    <w:rsid w:val="000E4DF3"/>
    <w:pPr>
      <w:tabs>
        <w:tab w:val="center" w:pos="4680"/>
        <w:tab w:val="right" w:pos="9360"/>
      </w:tabs>
    </w:pPr>
  </w:style>
  <w:style w:type="character" w:customStyle="1" w:styleId="FooterChar">
    <w:name w:val="Footer Char"/>
    <w:basedOn w:val="DefaultParagraphFont"/>
    <w:link w:val="Footer"/>
    <w:uiPriority w:val="99"/>
    <w:rsid w:val="000E4DF3"/>
    <w:rPr>
      <w:rFonts w:eastAsiaTheme="minorEastAsia"/>
      <w:sz w:val="24"/>
      <w:szCs w:val="24"/>
    </w:rPr>
  </w:style>
  <w:style w:type="paragraph" w:styleId="TOC1">
    <w:name w:val="toc 1"/>
    <w:basedOn w:val="Normal"/>
    <w:next w:val="Normal"/>
    <w:autoRedefine/>
    <w:uiPriority w:val="39"/>
    <w:unhideWhenUsed/>
    <w:rsid w:val="000E4DF3"/>
    <w:pPr>
      <w:spacing w:after="100"/>
    </w:pPr>
  </w:style>
  <w:style w:type="paragraph" w:styleId="TOC2">
    <w:name w:val="toc 2"/>
    <w:basedOn w:val="Normal"/>
    <w:next w:val="Normal"/>
    <w:autoRedefine/>
    <w:uiPriority w:val="39"/>
    <w:unhideWhenUsed/>
    <w:rsid w:val="000E4DF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93772">
      <w:marLeft w:val="0"/>
      <w:marRight w:val="0"/>
      <w:marTop w:val="0"/>
      <w:marBottom w:val="0"/>
      <w:divBdr>
        <w:top w:val="none" w:sz="0" w:space="0" w:color="auto"/>
        <w:left w:val="single" w:sz="24" w:space="10" w:color="0FA3A3"/>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45</Pages>
  <Words>10590</Words>
  <Characters>65353</Characters>
  <Application>Microsoft Office Word</Application>
  <DocSecurity>0</DocSecurity>
  <Lines>1913</Lines>
  <Paragraphs>1255</Paragraphs>
  <ScaleCrop>false</ScaleCrop>
  <Company/>
  <LinksUpToDate>false</LinksUpToDate>
  <CharactersWithSpaces>74789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Quiz Platform — Technical &amp; Commercial Proposal</dc:title>
  <dc:subject/>
  <dc:creator>Haitham Al Lamki</dc:creator>
  <cp:keywords/>
  <dc:description/>
  <cp:lastModifiedBy>Haitham Al Lamki</cp:lastModifiedBy>
  <cp:revision>2</cp:revision>
  <dcterms:created xsi:type="dcterms:W3CDTF">2026-07-20T08:27:00Z</dcterms:created>
  <dcterms:modified xsi:type="dcterms:W3CDTF">2026-07-20T08:27:00Z</dcterms:modified>
</cp:coreProperties>
</file>