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Dựa trên các tài liệu bạn cung cấp, đặc biệt là công văn số 52/CV-NCM và báo cáo tư vấn lộ trình của VDS, tôi xin tổng hợp chi tiết đầy đủ các yêu cầu và lộ trình triển khai dự án PINASSI tại Haiti như sau:</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Bối cảnh và Mục tiêu dự án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Dự án PINASSI (Nền tảng Trung gian Thanh toán không tiền mặt) được khởi xướng theo chỉ đạo của Tập đoàn Viettel và đề nghị từ Ngân hàng Trung ương Haiti (BRH).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ngắn hạn:</w:t>
      </w:r>
      <w:r w:rsidDel="00000000" w:rsidR="00000000" w:rsidRPr="00000000">
        <w:rPr>
          <w:rtl w:val="0"/>
        </w:rPr>
        <w:t xml:space="preserve"> Thử nghiệm thanh toán không tiền mặt tại một số chợ đầu mối.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dài hạn:</w:t>
      </w:r>
      <w:r w:rsidDel="00000000" w:rsidR="00000000" w:rsidRPr="00000000">
        <w:rPr>
          <w:rtl w:val="0"/>
        </w:rPr>
        <w:t xml:space="preserve"> Phổ cập thanh toán không tiền mặt cho tất cả các giao dịch thương mại tại Haiti.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Động lực chính:</w:t>
      </w:r>
      <w:r w:rsidDel="00000000" w:rsidR="00000000" w:rsidRPr="00000000">
        <w:rPr>
          <w:rtl w:val="0"/>
        </w:rPr>
        <w:t xml:space="preserve"> Giải quyết vấn đề an ninh do tiền mặt (cướp bóc, băng nhóm), tối ưu hóa luồng kiều hối 4 tỷ USD và số hóa chi trả viện trợ nhân đạo.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Cấu trúc Hệ thống và Phạm vi thực hiện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PINASSI được chia làm 3 phân hệ chính, trong đó Viettel được đề nghị tham gia xây dựng Phân hệ 1, 2 và tư vấn chuẩn QR: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hệ</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Chức năng chi tiết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Trạng thái/Ghi chú</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hệ 1</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Cung cấp ứng dụng cho người mua và người bán hàng (người dùng cuối).</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Viettel thực hiện.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hệ 2</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Portal quản trị cho BRH: Quản lý đăng ký gian hàng, báo cáo giám sát giao dịch, doanh số, phòng chống gian lận.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Viettel thực hiện, là trung gian kết nối tới Phân hệ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hệ 3</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CORE (kết nối liên ngân hàng, ví điện tử, thanh toán bù trừ).</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BRH thực hiện (đối tác ACI Worldwide phát triển).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Chuẩn QR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bộ tiêu chuẩn sinh mã QR quốc gia dùng chung.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Viettel tư vấn xây dựng.</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Hiện trạng hạ tầng tại BRH:</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AML:</w:t>
      </w:r>
      <w:r w:rsidDel="00000000" w:rsidR="00000000" w:rsidRPr="00000000">
        <w:rPr>
          <w:rtl w:val="0"/>
        </w:rPr>
        <w:t xml:space="preserve"> Đã có để kiểm soát giao dịch gian lận.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Chuyển mạch (Switch):</w:t>
      </w:r>
      <w:r w:rsidDel="00000000" w:rsidR="00000000" w:rsidRPr="00000000">
        <w:rPr>
          <w:rtl w:val="0"/>
        </w:rPr>
        <w:t xml:space="preserve"> Dự kiến go-live vào 30/06/2026.</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EKYC:</w:t>
      </w:r>
      <w:r w:rsidDel="00000000" w:rsidR="00000000" w:rsidRPr="00000000">
        <w:rPr>
          <w:rtl w:val="0"/>
        </w:rPr>
        <w:t xml:space="preserve"> Chưa có (Viettel có cơ hội triển khai dựa trên dữ liệu định danh ONI/CIN có sẵn).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Yêu cầu về Lộ trình và Tiến độ (Gấp)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Dự án được đánh giá là có tiến độ thực hiện rất khẩn trương:</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Thời gian thử nghiệm:</w:t>
      </w:r>
      <w:r w:rsidDel="00000000" w:rsidR="00000000" w:rsidRPr="00000000">
        <w:rPr>
          <w:rtl w:val="0"/>
        </w:rPr>
        <w:t xml:space="preserve"> Trong tháng 10/2026.</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nghiệp vụ &amp; Thiết kế hệ thống:</w:t>
      </w:r>
      <w:r w:rsidDel="00000000" w:rsidR="00000000" w:rsidRPr="00000000">
        <w:rPr>
          <w:rtl w:val="0"/>
        </w:rPr>
        <w:t xml:space="preserve"> Dự kiến 1 – 1.5 tháng.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Phát triển phần mềm &amp; Kiểm thử:</w:t>
      </w:r>
      <w:r w:rsidDel="00000000" w:rsidR="00000000" w:rsidRPr="00000000">
        <w:rPr>
          <w:rtl w:val="0"/>
        </w:rPr>
        <w:t xml:space="preserve"> Dự kiến 2.5 – 3 tháng.</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Thời hạn cần nhân sự hỗ trợ:</w:t>
      </w:r>
      <w:r w:rsidDel="00000000" w:rsidR="00000000" w:rsidRPr="00000000">
        <w:rPr>
          <w:rtl w:val="0"/>
        </w:rPr>
        <w:t xml:space="preserve"> Trước ngày 10/06/2026.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Đề xuất tổ chức triển khai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Natcom kiến nghị Tập đoàn (VTG, VDS và Ban CNTT) thực hiện các nội dung sau:</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Thành lập Ban dự án:</w:t>
      </w:r>
      <w:r w:rsidDel="00000000" w:rsidR="00000000" w:rsidRPr="00000000">
        <w:rPr>
          <w:rtl w:val="0"/>
        </w:rPr>
        <w:t xml:space="preserve"> Để điều phối nguồn lực vì đây là hệ thống tiền đề cho nền tảng thanh toán quốc gia.</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Phương thức làm việc:</w:t>
      </w:r>
      <w:r w:rsidDel="00000000" w:rsidR="00000000" w:rsidRPr="00000000">
        <w:rPr>
          <w:rtl w:val="0"/>
        </w:rPr>
        <w:t xml:space="preserve"> Ban dự án làm việc trực tiếp tại Haiti để phân tích, thiết kế, tích hợp và triển khai. Phần phát triển phần mềm có thể thực hiện từ xa.</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Đầu mối phía Natcom:</w:t>
      </w:r>
      <w:r w:rsidDel="00000000" w:rsidR="00000000" w:rsidRPr="00000000">
        <w:rPr>
          <w:rtl w:val="0"/>
        </w:rPr>
        <w:t xml:space="preserve"> Ông Nguyễn Xuân Cảnh – PTGĐ (Số ĐT: +509 55.66.66.66).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Tiềm năng và Cơ hội mở rộng (Theo tư vấn của VDS)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Sau khi triển khai nền tảng PINASSI, Viettel/VDS có cơ hội khai thác 11 mỏ doanh thu lớn tại Haiti:</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Kiều hối &amp; Stablecoin:</w:t>
      </w:r>
      <w:r w:rsidDel="00000000" w:rsidR="00000000" w:rsidRPr="00000000">
        <w:rPr>
          <w:rtl w:val="0"/>
        </w:rPr>
        <w:t xml:space="preserve"> Thiết kế bàn đổi USDT/HTG trong ví, dự kiến doanh thu lũy kế 5 năm khoảng 18.5 triệu USD.</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Ngân hàng số:</w:t>
      </w:r>
      <w:r w:rsidDel="00000000" w:rsidR="00000000" w:rsidRPr="00000000">
        <w:rPr>
          <w:rtl w:val="0"/>
        </w:rPr>
        <w:t xml:space="preserve"> Cho vay vi mô với lãi suất 30-45% dựa trên dữ liệu chấm điểm tín dụng, dự kiến doanh thu lũy kế 5 năm khoảng 69 triệu USD.</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Giải ngân viện trợ (CVA):</w:t>
      </w:r>
      <w:r w:rsidDel="00000000" w:rsidR="00000000" w:rsidRPr="00000000">
        <w:rPr>
          <w:rtl w:val="0"/>
        </w:rPr>
        <w:t xml:space="preserve"> Cung cấp nền tảng chi trả cho các tổ chức quốc tế (WFP, UNICEF).</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eKYC Quốc gia:</w:t>
      </w:r>
      <w:r w:rsidDel="00000000" w:rsidR="00000000" w:rsidRPr="00000000">
        <w:rPr>
          <w:rtl w:val="0"/>
        </w:rPr>
        <w:t xml:space="preserve"> Thu phí trên mỗi lượt xác minh danh tính.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có muốn tôi dự thảo một kế hoạch chi tiết về các đầu việc cần thực hiện cho giai đoạn "Phân tích nghiệp vụ và Thiết kế hệ thống" trong 1.5 tháng đầu tiên không?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Nguồn:</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Screenshot_2026-06-05-21-41-50-84_a2c15cc5aa3eee4cebdf459173bf9f33.jpg</w:t>
        </w:r>
      </w:hyperlink>
      <w:r w:rsidDel="00000000" w:rsidR="00000000" w:rsidRPr="00000000">
        <w:rPr>
          <w:rtl w:val="0"/>
        </w:rPr>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Screenshot_2026-06-05-21-41-41-98_a2c15cc5aa3eee4cebdf459173bf9f33.jpg</w:t>
        </w:r>
      </w:hyperlink>
      <w:r w:rsidDel="00000000" w:rsidR="00000000" w:rsidRPr="00000000">
        <w:rPr>
          <w:rtl w:val="0"/>
        </w:rPr>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Screenshot_2026-06-05-21-41-23-54_a2c15cc5aa3eee4cebdf459173bf9f33.jpg</w:t>
        </w:r>
      </w:hyperlink>
      <w:r w:rsidDel="00000000" w:rsidR="00000000" w:rsidRPr="00000000">
        <w:rPr>
          <w:rtl w:val="0"/>
        </w:rPr>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VDS - Lộ trình và Tiềm năng Kinh doanh Haiti (Bản Đầy Đủ)</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inveC2KcqrTgsNnGm5UCmkUYo5xKGjf0srjgK2okwE/edit?usp=drive_web" TargetMode="External"/><Relationship Id="rId5" Type="http://schemas.openxmlformats.org/officeDocument/2006/relationships/styles" Target="styles.xml"/><Relationship Id="rId6" Type="http://schemas.openxmlformats.org/officeDocument/2006/relationships/hyperlink" Target="https://drive.google.com/file/d/1Nx66qwFpgu-bWanMNtN8R6gadFHxAXnY/view?usp=drive_web" TargetMode="External"/><Relationship Id="rId7" Type="http://schemas.openxmlformats.org/officeDocument/2006/relationships/hyperlink" Target="https://drive.google.com/file/d/1rFNxAwkI44c-cWlhQ-zKgVx8RzSyHAih/view?usp=drive_web" TargetMode="External"/><Relationship Id="rId8" Type="http://schemas.openxmlformats.org/officeDocument/2006/relationships/hyperlink" Target="https://drive.google.com/file/d/1De_d7nln6aqpGfUnzTtPzChOwo6kmv3I/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