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before="1200"/>
      </w:pPr>
    </w:p>
    <w:p>
      <w:pPr>
        <w:spacing w:after="200"/>
        <w:jc w:val="center"/>
      </w:pPr>
      <w:r>
        <w:rPr>
          <w:rFonts w:ascii="Arial" w:eastAsia="Microsoft YaHei" w:hAnsi="Arial"/>
          <w:b/>
          <w:bCs/>
          <w:i w:val="false"/>
          <w:iCs w:val="false"/>
          <w:color w:val="054085"/>
          <w:sz w:val="44"/>
          <w:szCs w:val="44"/>
        </w:rPr>
        <w:t xml:space="preserve">跨操作员合谋协同行为检测子系统</w:t>
      </w:r>
    </w:p>
    <w:p>
      <w:pPr>
        <w:spacing w:after="120"/>
        <w:jc w:val="center"/>
      </w:pPr>
      <w:r>
        <w:rPr>
          <w:rFonts w:ascii="Arial" w:eastAsia="Microsoft YaHei" w:hAnsi="Arial"/>
          <w:b/>
          <w:bCs/>
          <w:i w:val="false"/>
          <w:iCs w:val="false"/>
          <w:color w:val="0969DA"/>
          <w:sz w:val="32"/>
          <w:szCs w:val="32"/>
        </w:rPr>
        <w:t xml:space="preserve">系统设计方案</w:t>
      </w:r>
    </w:p>
    <w:p>
      <w:pPr>
        <w:spacing w:before="600"/>
      </w:pPr>
    </w:p>
    <w:p>
      <w:pPr>
        <w:spacing w:after="80"/>
        <w:jc w:val="center"/>
      </w:pPr>
      <w:r>
        <w:rPr>
          <w:rFonts w:ascii="Arial" w:eastAsia="Microsoft YaHei" w:hAnsi="Arial"/>
          <w:b w:val="false"/>
          <w:bCs w:val="false"/>
          <w:i w:val="false"/>
          <w:iCs w:val="false"/>
          <w:color w:val="5E7187"/>
          <w:sz w:val="24"/>
          <w:szCs w:val="24"/>
        </w:rPr>
        <w:t xml:space="preserve">文档版本：v1.0</w:t>
      </w:r>
    </w:p>
    <w:p>
      <w:pPr>
        <w:spacing w:after="80"/>
        <w:jc w:val="center"/>
      </w:pPr>
      <w:r>
        <w:rPr>
          <w:rFonts w:ascii="Arial" w:eastAsia="Microsoft YaHei" w:hAnsi="Arial"/>
          <w:b w:val="false"/>
          <w:bCs w:val="false"/>
          <w:i w:val="false"/>
          <w:iCs w:val="false"/>
          <w:color w:val="5E7187"/>
          <w:sz w:val="24"/>
          <w:szCs w:val="24"/>
        </w:rPr>
        <w:t xml:space="preserve">文档类型：系统设计方案</w:t>
      </w:r>
    </w:p>
    <w:p>
      <w:pPr>
        <w:spacing w:after="80"/>
        <w:jc w:val="center"/>
      </w:pPr>
      <w:r>
        <w:rPr>
          <w:rFonts w:ascii="Arial" w:eastAsia="Microsoft YaHei" w:hAnsi="Arial"/>
          <w:b w:val="false"/>
          <w:bCs w:val="false"/>
          <w:i w:val="false"/>
          <w:iCs w:val="false"/>
          <w:color w:val="5E7187"/>
          <w:sz w:val="24"/>
          <w:szCs w:val="24"/>
        </w:rPr>
        <w:t xml:space="preserve">发布日期：2026-09-20</w:t>
      </w:r>
    </w:p>
    <w:p>
      <w:r>
        <w:br w:type="page"/>
      </w:r>
    </w:p>
    <w:p>
      <w:pPr>
        <w:pStyle w:val="Heading1"/>
        <w:spacing w:after="240" w:before="360"/>
      </w:pPr>
      <w:r>
        <w:rPr>
          <w:rFonts w:ascii="Arial" w:eastAsia="Microsoft YaHei" w:hAnsi="Arial"/>
          <w:b/>
          <w:bCs/>
          <w:i w:val="false"/>
          <w:iCs w:val="false"/>
          <w:color w:val="054085"/>
          <w:sz w:val="32"/>
          <w:szCs w:val="32"/>
        </w:rPr>
        <w:t xml:space="preserve">1. 项目背景与问题定义</w:t>
      </w:r>
    </w:p>
    <w:p>
      <w:pPr>
        <w:pStyle w:val="Heading2"/>
        <w:spacing w:after="200" w:before="300"/>
      </w:pPr>
      <w:r>
        <w:rPr>
          <w:rFonts w:ascii="Arial" w:eastAsia="Microsoft YaHei" w:hAnsi="Arial"/>
          <w:b/>
          <w:bCs/>
          <w:i w:val="false"/>
          <w:iCs w:val="false"/>
          <w:color w:val="0969DA"/>
          <w:sz w:val="28"/>
          <w:szCs w:val="28"/>
        </w:rPr>
        <w:t xml:space="preserve">1.1 现状与盲区</w:t>
      </w:r>
    </w:p>
    <w:p>
      <w:pPr>
        <w:spacing w:after="160" w:line="360"/>
        <w:jc w:val="both"/>
      </w:pPr>
      <w:r>
        <w:rPr>
          <w:rFonts w:ascii="Arial" w:eastAsia="Microsoft YaHei" w:hAnsi="Arial"/>
          <w:b w:val="false"/>
          <w:bCs w:val="false"/>
          <w:i w:val="false"/>
          <w:iCs w:val="false"/>
          <w:color w:val="1A2332"/>
          <w:sz w:val="22"/>
          <w:szCs w:val="22"/>
        </w:rPr>
        <w:t xml:space="preserve">现有服务器审计系统的核心能力聚焦于单条操作的规则校验：逐条检查每一条日志对应的操作员、操作类型、操作对象是否在其权限范围内。这种模式在面对单人越权操作时能够有效拦截，但存在一个根本性盲区——多操作员合谋协同攻击。</w:t>
      </w:r>
    </w:p>
    <w:p>
      <w:pPr>
        <w:spacing w:after="160" w:line="360"/>
        <w:jc w:val="both"/>
      </w:pPr>
      <w:r>
        <w:rPr>
          <w:rFonts w:ascii="Arial" w:eastAsia="Microsoft YaHei" w:hAnsi="Arial"/>
          <w:b w:val="false"/>
          <w:bCs w:val="false"/>
          <w:i w:val="false"/>
          <w:iCs w:val="false"/>
          <w:color w:val="1A2332"/>
          <w:sz w:val="22"/>
          <w:szCs w:val="22"/>
        </w:rPr>
        <w:t xml:space="preserve">在合谋攻击场景中，每个操作员的单步操作都在其合法权限内，单条日志审计全部通过，但多人操作按特定时序叠加后，能够达成单个操作员无法独立完成的系统破坏效果。</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FECACA" w:sz="6"/>
              <w:left w:val="single" w:color="FECACA" w:sz="24"/>
              <w:bottom w:val="single" w:color="FECACA" w:sz="6"/>
              <w:right w:val="single" w:color="FECACA" w:sz="6"/>
            </w:tcBorders>
            <w:shd w:fill="FEF2F2" w:val="clear"/>
            <w:tcMar>
              <w:top w:type="dxa" w:w="120"/>
              <w:left w:type="dxa" w:w="200"/>
              <w:bottom w:type="dxa" w:w="120"/>
              <w:right w:type="dxa" w:w="200"/>
            </w:tcMar>
          </w:tcPr>
          <w:p>
            <w:pPr>
              <w:spacing w:after="80"/>
            </w:pPr>
            <w:r>
              <w:rPr>
                <w:rFonts w:ascii="Arial" w:eastAsia="Microsoft YaHei" w:hAnsi="Arial"/>
                <w:b/>
                <w:bCs/>
                <w:i w:val="false"/>
                <w:iCs w:val="false"/>
                <w:color w:val="B91C1C"/>
                <w:sz w:val="22"/>
                <w:szCs w:val="22"/>
              </w:rPr>
              <w:t xml:space="preserve">典型攻击场景示例</w:t>
            </w:r>
          </w:p>
          <w:p>
            <w:pPr>
              <w:spacing w:after="0" w:line="320"/>
            </w:pPr>
            <w:r>
              <w:rPr>
                <w:rFonts w:ascii="Arial" w:eastAsia="Microsoft YaHei" w:hAnsi="Arial"/>
                <w:b w:val="false"/>
                <w:bCs w:val="false"/>
                <w:i w:val="false"/>
                <w:iCs w:val="false"/>
                <w:color w:val="1A2332"/>
                <w:sz w:val="21"/>
                <w:szCs w:val="21"/>
              </w:rPr>
              <w:t xml:space="preserve">操作员 A 合法删除备份集 backup-001 → 操作员 B 合法修改磁盘挂载配置，取消备份盘自动挂载 → 操作员 C 合法清理快照。三步操作各自权限合法、单条审计全部通过，但叠加后全部备份被销毁，数据彻底丢失，传统审计无法发现此类联动风险。</w:t>
            </w:r>
          </w:p>
        </w:tc>
      </w:tr>
    </w:tbl>
    <w:p>
      <w:pPr>
        <w:pStyle w:val="Heading2"/>
        <w:spacing w:after="200" w:before="300"/>
      </w:pPr>
      <w:r>
        <w:rPr>
          <w:rFonts w:ascii="Arial" w:eastAsia="Microsoft YaHei" w:hAnsi="Arial"/>
          <w:b/>
          <w:bCs/>
          <w:i w:val="false"/>
          <w:iCs w:val="false"/>
          <w:color w:val="0969DA"/>
          <w:sz w:val="28"/>
          <w:szCs w:val="28"/>
        </w:rPr>
        <w:t xml:space="preserve">1.2 设计目标</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跨操作员视角：</w:t>
      </w:r>
      <w:r>
        <w:rPr>
          <w:rFonts w:ascii="Arial" w:eastAsia="Microsoft YaHei" w:hAnsi="Arial"/>
          <w:b w:val="false"/>
          <w:bCs w:val="false"/>
          <w:i w:val="false"/>
          <w:iCs w:val="false"/>
          <w:color w:val="1A2332"/>
          <w:sz w:val="24"/>
          <w:szCs w:val="24"/>
        </w:rPr>
        <w:t xml:space="preserve">跳出单操作员单条日志的校验框架，按资源维度聚合多人操作，从群体协同视角识别风险。</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双轨检测机制：</w:t>
      </w:r>
      <w:r>
        <w:rPr>
          <w:rFonts w:ascii="Arial" w:eastAsia="Microsoft YaHei" w:hAnsi="Arial"/>
          <w:b w:val="false"/>
          <w:bCs w:val="false"/>
          <w:i w:val="false"/>
          <w:iCs w:val="false"/>
          <w:color w:val="1A2332"/>
          <w:sz w:val="24"/>
          <w:szCs w:val="24"/>
        </w:rPr>
        <w:t xml:space="preserve">确定性规则引擎覆盖已知合谋模式，行为画像异常检测应对未知攻击模式，两者互补。</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分级风险评分：</w:t>
      </w:r>
      <w:r>
        <w:rPr>
          <w:rFonts w:ascii="Arial" w:eastAsia="Microsoft YaHei" w:hAnsi="Arial"/>
          <w:b w:val="false"/>
          <w:bCs w:val="false"/>
          <w:i w:val="false"/>
          <w:iCs w:val="false"/>
          <w:color w:val="1A2332"/>
          <w:sz w:val="24"/>
          <w:szCs w:val="24"/>
        </w:rPr>
        <w:t xml:space="preserve">0-100 分量化风险，结合工单校验、历史协作画像等多维度加权，平衡检出率与误报率。</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证据链输出：</w:t>
      </w:r>
      <w:r>
        <w:rPr>
          <w:rFonts w:ascii="Arial" w:eastAsia="Microsoft YaHei" w:hAnsi="Arial"/>
          <w:b w:val="false"/>
          <w:bCs w:val="false"/>
          <w:i w:val="false"/>
          <w:iCs w:val="false"/>
          <w:color w:val="1A2332"/>
          <w:sz w:val="24"/>
          <w:szCs w:val="24"/>
        </w:rPr>
        <w:t xml:space="preserve">告警附带完整时间线、操作员、操作摘要，支持人工复核，不做自动阻断。</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并行无侵入：</w:t>
      </w:r>
      <w:r>
        <w:rPr>
          <w:rFonts w:ascii="Arial" w:eastAsia="Microsoft YaHei" w:hAnsi="Arial"/>
          <w:b w:val="false"/>
          <w:bCs w:val="false"/>
          <w:i w:val="false"/>
          <w:iCs w:val="false"/>
          <w:color w:val="1A2332"/>
          <w:sz w:val="24"/>
          <w:szCs w:val="24"/>
        </w:rPr>
        <w:t xml:space="preserve">与原有审计系统并行运行，复用现有集中日志，无需改造日志采集链路。</w:t>
      </w:r>
    </w:p>
    <w:p>
      <w:pPr>
        <w:pStyle w:val="Heading2"/>
        <w:spacing w:after="200" w:before="300"/>
      </w:pPr>
      <w:r>
        <w:rPr>
          <w:rFonts w:ascii="Arial" w:eastAsia="Microsoft YaHei" w:hAnsi="Arial"/>
          <w:b/>
          <w:bCs/>
          <w:i w:val="false"/>
          <w:iCs w:val="false"/>
          <w:color w:val="0969DA"/>
          <w:sz w:val="28"/>
          <w:szCs w:val="28"/>
        </w:rPr>
        <w:t xml:space="preserve">1.3 与同行评议合谋攻击的类比</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3620"/>
        <w:gridCol w:w="3620"/>
      </w:tblGrid>
      <w:tr>
        <w:trPr>
          <w:cantSplit/>
        </w:trPr>
        <w:tc>
          <w:tcPr>
            <w:tcW w:type="dxa" w:w="18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维度</w:t>
            </w:r>
          </w:p>
        </w:tc>
        <w:tc>
          <w:tcPr>
            <w:tcW w:type="dxa" w:w="36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同行评议系统合谋攻击</w:t>
            </w:r>
          </w:p>
        </w:tc>
        <w:tc>
          <w:tcPr>
            <w:tcW w:type="dxa" w:w="36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服务器多操作员合谋攻击</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个体行为</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单处文本改动是正常同义词替换</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每个操作员单条操作全部合法合规</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群体效果</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多处改动叠加，整体改变相似度，欺骗分配系统</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多人操作叠加，整体达成系统破坏效果</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防御思路</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不能只看单个词，要看整体文本改动集合</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不能只看单操作员单条日志，要看跨人员的操作组合与时序集合</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平衡策略</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设置阈值平衡攻击检出率与正常样本准确率</w:t>
            </w:r>
          </w:p>
        </w:tc>
        <w:tc>
          <w:tcPr>
            <w:tcW w:type="dxa" w:w="36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设置风险评分阈值，平衡检出攻击与减少正常运维误报</w:t>
            </w:r>
          </w:p>
        </w:tc>
      </w:tr>
    </w:tbl>
    <w:p>
      <w:pPr>
        <w:spacing w:after="240" w:before="80"/>
        <w:jc w:val="center"/>
      </w:pPr>
      <w:r>
        <w:rPr>
          <w:rFonts w:ascii="Arial" w:eastAsia="Microsoft YaHei" w:hAnsi="Arial"/>
          <w:b w:val="false"/>
          <w:bCs w:val="false"/>
          <w:i/>
          <w:iCs/>
          <w:color w:val="5E7187"/>
          <w:sz w:val="20"/>
          <w:szCs w:val="20"/>
        </w:rPr>
        <w:t xml:space="preserve">表 1-1 合谋攻击跨领域类比</w:t>
      </w:r>
    </w:p>
    <w:p>
      <w:r>
        <w:br w:type="page"/>
      </w:r>
    </w:p>
    <w:p>
      <w:pPr>
        <w:pStyle w:val="Heading1"/>
        <w:spacing w:after="240" w:before="360"/>
      </w:pPr>
      <w:r>
        <w:rPr>
          <w:rFonts w:ascii="Arial" w:eastAsia="Microsoft YaHei" w:hAnsi="Arial"/>
          <w:b/>
          <w:bCs/>
          <w:i w:val="false"/>
          <w:iCs w:val="false"/>
          <w:color w:val="054085"/>
          <w:sz w:val="32"/>
          <w:szCs w:val="32"/>
        </w:rPr>
        <w:t xml:space="preserve">2. 整体架构设计</w:t>
      </w:r>
    </w:p>
    <w:p>
      <w:pPr>
        <w:pStyle w:val="Heading2"/>
        <w:spacing w:after="200" w:before="300"/>
      </w:pPr>
      <w:r>
        <w:rPr>
          <w:rFonts w:ascii="Arial" w:eastAsia="Microsoft YaHei" w:hAnsi="Arial"/>
          <w:b/>
          <w:bCs/>
          <w:i w:val="false"/>
          <w:iCs w:val="false"/>
          <w:color w:val="0969DA"/>
          <w:sz w:val="28"/>
          <w:szCs w:val="28"/>
        </w:rPr>
        <w:t xml:space="preserve">2.1 系统定位</w:t>
      </w:r>
    </w:p>
    <w:p>
      <w:pPr>
        <w:spacing w:after="160" w:line="360"/>
        <w:jc w:val="both"/>
      </w:pPr>
      <w:r>
        <w:rPr>
          <w:rFonts w:ascii="Arial" w:eastAsia="Microsoft YaHei" w:hAnsi="Arial"/>
          <w:b w:val="false"/>
          <w:bCs w:val="false"/>
          <w:i w:val="false"/>
          <w:iCs w:val="false"/>
          <w:color w:val="1A2332"/>
          <w:sz w:val="22"/>
          <w:szCs w:val="22"/>
        </w:rPr>
        <w:t xml:space="preserve">合谋协同检测子系统作为现有审计系统的并行增强层，不替代原有单条操作校验能力，而是在其之上增加跨操作员、跨操作的组合风险分析能力。两套系统独立运行、分别输出告警。</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cantSplit/>
        </w:trPr>
        <w:tc>
          <w:tcPr>
            <w:tcW w:type="dxa" w:w="45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原有审计系统</w:t>
            </w:r>
          </w:p>
        </w:tc>
        <w:tc>
          <w:tcPr>
            <w:tcW w:type="dxa" w:w="45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新增合谋检测系统</w:t>
            </w:r>
          </w:p>
        </w:tc>
      </w:tr>
      <w:tr>
        <w:trPr>
          <w:cantSplit/>
        </w:trPr>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校验单条操作是否合法</w:t>
            </w:r>
          </w:p>
        </w:tc>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分析多操作组合的协同风险</w:t>
            </w:r>
          </w:p>
        </w:tc>
      </w:tr>
      <w:tr>
        <w:trPr>
          <w:cantSplit/>
        </w:trPr>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按操作员维度逐条检查</w:t>
            </w:r>
          </w:p>
        </w:tc>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按资源维度聚合多人操作</w:t>
            </w:r>
          </w:p>
        </w:tc>
      </w:tr>
      <w:tr>
        <w:trPr>
          <w:cantSplit/>
        </w:trPr>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关注权限边界、操作合规性</w:t>
            </w:r>
          </w:p>
        </w:tc>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关注时序组合、因果叠加效果</w:t>
            </w:r>
          </w:p>
        </w:tc>
      </w:tr>
      <w:tr>
        <w:trPr>
          <w:cantSplit/>
        </w:trPr>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可自动阻断违规操作</w:t>
            </w:r>
          </w:p>
        </w:tc>
        <w:tc>
          <w:tcPr>
            <w:tcW w:type="dxa" w:w="4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仅输出疑似告警，人工复核</w:t>
            </w:r>
          </w:p>
        </w:tc>
      </w:tr>
    </w:tbl>
    <w:p>
      <w:pPr>
        <w:pStyle w:val="Heading2"/>
        <w:spacing w:after="200" w:before="300"/>
      </w:pPr>
      <w:r>
        <w:rPr>
          <w:rFonts w:ascii="Arial" w:eastAsia="Microsoft YaHei" w:hAnsi="Arial"/>
          <w:b/>
          <w:bCs/>
          <w:i w:val="false"/>
          <w:iCs w:val="false"/>
          <w:color w:val="0969DA"/>
          <w:sz w:val="28"/>
          <w:szCs w:val="28"/>
        </w:rPr>
        <w:t xml:space="preserve">2.2 整体架构图</w:t>
      </w:r>
    </w:p>
    <w:p>
      <w:pPr>
        <w:spacing w:after="160" w:line="360"/>
        <w:jc w:val="both"/>
      </w:pPr>
      <w:r>
        <w:rPr>
          <w:rFonts w:ascii="Arial" w:eastAsia="Microsoft YaHei" w:hAnsi="Arial"/>
          <w:b w:val="false"/>
          <w:bCs w:val="false"/>
          <w:i w:val="false"/>
          <w:iCs w:val="false"/>
          <w:color w:val="1A2332"/>
          <w:sz w:val="22"/>
          <w:szCs w:val="22"/>
        </w:rPr>
        <w:t xml:space="preserve">系统由四层架构组成：输入层（集中审计日志）、核心处理层（时序聚合、规则画像、风险评分）、输出层（告警与处置）和支撑系统（工单系统、原有审计系统、管理员）。</w:t>
      </w:r>
    </w:p>
    <w:p>
      <w:pPr>
        <w:spacing w:after="160" w:line="360"/>
        <w:jc w:val="both"/>
      </w:pPr>
      <w:r>
        <w:rPr>
          <w:rFonts w:ascii="Arial" w:eastAsia="Microsoft YaHei" w:hAnsi="Arial"/>
          <w:b w:val="false"/>
          <w:bCs w:val="false"/>
          <w:i w:val="false"/>
          <w:iCs w:val="false"/>
          <w:color w:val="1A2332"/>
          <w:sz w:val="22"/>
          <w:szCs w:val="22"/>
        </w:rPr>
        <w:t xml:space="preserve">架构数据流描述：</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集中审计日志 → 行为时序聚合模块：按资源+时间窗口聚合，不按操作员分组</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聚合事件 → 规则库与画像库：规则匹配 + 画像偏离检测</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检测结果 → 风险评分引擎：加权计算 0-100 风险分，同步校验工单真实性</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风险评分 → 告警模块：白名单过滤 + 等级判定 → 输出分级告警</w:t>
      </w:r>
    </w:p>
    <w:p>
      <w:pPr>
        <w:pStyle w:val="Heading2"/>
        <w:spacing w:after="200" w:before="300"/>
      </w:pPr>
      <w:r>
        <w:rPr>
          <w:rFonts w:ascii="Arial" w:eastAsia="Microsoft YaHei" w:hAnsi="Arial"/>
          <w:b/>
          <w:bCs/>
          <w:i w:val="false"/>
          <w:iCs w:val="false"/>
          <w:color w:val="0969DA"/>
          <w:sz w:val="28"/>
          <w:szCs w:val="28"/>
        </w:rPr>
        <w:t xml:space="preserve">2.3 数据流</w:t>
      </w:r>
    </w:p>
    <w:p>
      <w:pPr>
        <w:spacing w:after="160" w:line="360"/>
        <w:jc w:val="both"/>
      </w:pPr>
      <w:r>
        <w:rPr>
          <w:rFonts w:ascii="Arial" w:eastAsia="Microsoft YaHei" w:hAnsi="Arial"/>
          <w:b w:val="false"/>
          <w:bCs w:val="false"/>
          <w:i w:val="false"/>
          <w:iCs w:val="false"/>
          <w:color w:val="1A2332"/>
          <w:sz w:val="22"/>
          <w:szCs w:val="22"/>
        </w:rPr>
        <w:t xml:space="preserve">数据处理按以下步骤顺序执行：</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1. 原始审计日志流进入时序聚合模块</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2. 按【资源/资产组 + 时间窗口】聚合，形成多操作员事件集合</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3. 事件集合送入规则引擎与画像引擎并行检测</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4. 命中项与特征向量送入风险评分引擎</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5. 评分引擎调用工单系统 API 校验关联工单真实性</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6. 加权计算最终风险分，输出完整证据链</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7. 告警模块进行白名单过滤和等级判定</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8. 输出分级告警，通知安全运营人员复核</w:t>
      </w:r>
    </w:p>
    <w:p>
      <w:pPr>
        <w:pStyle w:val="Heading2"/>
        <w:spacing w:after="200" w:before="300"/>
      </w:pPr>
      <w:r>
        <w:rPr>
          <w:rFonts w:ascii="Arial" w:eastAsia="Microsoft YaHei" w:hAnsi="Arial"/>
          <w:b/>
          <w:bCs/>
          <w:i w:val="false"/>
          <w:iCs w:val="false"/>
          <w:color w:val="0969DA"/>
          <w:sz w:val="28"/>
          <w:szCs w:val="28"/>
        </w:rPr>
        <w:t xml:space="preserve">2.4 设计原则</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无侵入并行：</w:t>
      </w:r>
      <w:r>
        <w:rPr>
          <w:rFonts w:ascii="Arial" w:eastAsia="Microsoft YaHei" w:hAnsi="Arial"/>
          <w:b w:val="false"/>
          <w:bCs w:val="false"/>
          <w:i w:val="false"/>
          <w:iCs w:val="false"/>
          <w:color w:val="1A2332"/>
          <w:sz w:val="24"/>
          <w:szCs w:val="24"/>
        </w:rPr>
        <w:t xml:space="preserve">不改造原有日志采集与审计逻辑，新系统通过订阅集中日志独立运行。</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资源视角优先：</w:t>
      </w:r>
      <w:r>
        <w:rPr>
          <w:rFonts w:ascii="Arial" w:eastAsia="Microsoft YaHei" w:hAnsi="Arial"/>
          <w:b w:val="false"/>
          <w:bCs w:val="false"/>
          <w:i w:val="false"/>
          <w:iCs w:val="false"/>
          <w:color w:val="1A2332"/>
          <w:sz w:val="24"/>
          <w:szCs w:val="24"/>
        </w:rPr>
        <w:t xml:space="preserve">打破按操作员分组的惯性，反过来按被操作的资源进行聚合。</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人工复核为底线：</w:t>
      </w:r>
      <w:r>
        <w:rPr>
          <w:rFonts w:ascii="Arial" w:eastAsia="Microsoft YaHei" w:hAnsi="Arial"/>
          <w:b w:val="false"/>
          <w:bCs w:val="false"/>
          <w:i w:val="false"/>
          <w:iCs w:val="false"/>
          <w:color w:val="1A2332"/>
          <w:sz w:val="24"/>
          <w:szCs w:val="24"/>
        </w:rPr>
        <w:t xml:space="preserve">合谋检测具有固有的不确定性，系统仅提供线索，不做自动阻断。</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误报可控：</w:t>
      </w:r>
      <w:r>
        <w:rPr>
          <w:rFonts w:ascii="Arial" w:eastAsia="Microsoft YaHei" w:hAnsi="Arial"/>
          <w:b w:val="false"/>
          <w:bCs w:val="false"/>
          <w:i w:val="false"/>
          <w:iCs w:val="false"/>
          <w:color w:val="1A2332"/>
          <w:sz w:val="24"/>
          <w:szCs w:val="24"/>
        </w:rPr>
        <w:t xml:space="preserve">通过工单校验、白名单、协作画像等多重减分机制控制误报率。</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可扩展规则：</w:t>
      </w:r>
      <w:r>
        <w:rPr>
          <w:rFonts w:ascii="Arial" w:eastAsia="Microsoft YaHei" w:hAnsi="Arial"/>
          <w:b w:val="false"/>
          <w:bCs w:val="false"/>
          <w:i w:val="false"/>
          <w:iCs w:val="false"/>
          <w:color w:val="1A2332"/>
          <w:sz w:val="24"/>
          <w:szCs w:val="24"/>
        </w:rPr>
        <w:t xml:space="preserve">规则引擎支持配置化扩展，快速覆盖新发现的合谋模式。</w:t>
      </w:r>
    </w:p>
    <w:p>
      <w:r>
        <w:br w:type="page"/>
      </w:r>
    </w:p>
    <w:p>
      <w:pPr>
        <w:pStyle w:val="Heading1"/>
        <w:spacing w:after="240" w:before="360"/>
      </w:pPr>
      <w:r>
        <w:rPr>
          <w:rFonts w:ascii="Arial" w:eastAsia="Microsoft YaHei" w:hAnsi="Arial"/>
          <w:b/>
          <w:bCs/>
          <w:i w:val="false"/>
          <w:iCs w:val="false"/>
          <w:color w:val="054085"/>
          <w:sz w:val="32"/>
          <w:szCs w:val="32"/>
        </w:rPr>
        <w:t xml:space="preserve">3. 模块一：行为时序聚合模块</w:t>
      </w:r>
    </w:p>
    <w:p>
      <w:pPr>
        <w:spacing w:after="160" w:line="360"/>
        <w:jc w:val="both"/>
      </w:pPr>
      <w:r>
        <w:rPr>
          <w:rFonts w:ascii="Arial" w:eastAsia="Microsoft YaHei" w:hAnsi="Arial"/>
          <w:b w:val="false"/>
          <w:bCs w:val="false"/>
          <w:i w:val="false"/>
          <w:iCs w:val="false"/>
          <w:color w:val="1A2332"/>
          <w:sz w:val="22"/>
          <w:szCs w:val="22"/>
        </w:rPr>
        <w:t xml:space="preserve">行为时序聚合是整个系统的入口与基础。其核心思想是反转聚合维度——传统审计按操作员分组查看操作记录，而合谋检测需要反过来，按被操作的资源分组，将不同操作员在相近时间内对同一资源或关联资源的操作汇聚到同一个事件集合中。</w:t>
      </w:r>
    </w:p>
    <w:p>
      <w:pPr>
        <w:pStyle w:val="Heading2"/>
        <w:spacing w:after="200" w:before="300"/>
      </w:pPr>
      <w:r>
        <w:rPr>
          <w:rFonts w:ascii="Arial" w:eastAsia="Microsoft YaHei" w:hAnsi="Arial"/>
          <w:b/>
          <w:bCs/>
          <w:i w:val="false"/>
          <w:iCs w:val="false"/>
          <w:color w:val="0969DA"/>
          <w:sz w:val="28"/>
          <w:szCs w:val="28"/>
        </w:rPr>
        <w:t xml:space="preserve">3.1 聚合键设计</w:t>
      </w:r>
    </w:p>
    <w:p>
      <w:pPr>
        <w:spacing w:after="160" w:line="360"/>
        <w:jc w:val="both"/>
      </w:pPr>
      <w:r>
        <w:rPr>
          <w:rFonts w:ascii="Arial" w:eastAsia="Microsoft YaHei" w:hAnsi="Arial"/>
          <w:b w:val="false"/>
          <w:bCs w:val="false"/>
          <w:i w:val="false"/>
          <w:iCs w:val="false"/>
          <w:color w:val="1A2332"/>
          <w:sz w:val="22"/>
          <w:szCs w:val="22"/>
        </w:rPr>
        <w:t xml:space="preserve">聚合键由两部分组成：资源标识 + 时间窗口。</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D3DCE6" w:sz="6"/>
              <w:left w:val="single" w:color="D3DCE6" w:sz="6"/>
              <w:bottom w:val="single" w:color="D3DCE6" w:sz="6"/>
              <w:right w:val="single" w:color="D3DCE6" w:sz="6"/>
            </w:tcBorders>
            <w:shd w:fill="1E293B" w:val="clear"/>
            <w:tcMar>
              <w:top w:type="dxa" w:w="120"/>
              <w:left w:type="dxa" w:w="200"/>
              <w:bottom w:type="dxa" w:w="120"/>
              <w:right w:type="dxa" w:w="200"/>
            </w:tcMar>
          </w:tcPr>
          <w:p>
            <w:pPr>
              <w:spacing w:after="40"/>
            </w:pPr>
            <w:r>
              <w:rPr>
                <w:rFonts w:ascii="Arial" w:eastAsia="Microsoft YaHei" w:hAnsi="Arial"/>
                <w:b w:val="false"/>
                <w:bCs w:val="false"/>
                <w:i w:val="false"/>
                <w:iCs w:val="false"/>
                <w:color w:val="64748B"/>
                <w:sz w:val="20"/>
                <w:szCs w:val="20"/>
              </w:rPr>
              <w:t xml:space="preserve">// 聚合键结构</w:t>
            </w:r>
          </w:p>
          <w:p>
            <w:pPr>
              <w:spacing w:after="40"/>
            </w:pPr>
            <w:r>
              <w:rPr>
                <w:rFonts w:ascii="Arial" w:eastAsia="Microsoft YaHei" w:hAnsi="Arial"/>
                <w:b w:val="false"/>
                <w:bCs w:val="false"/>
                <w:i w:val="false"/>
                <w:iCs w:val="false"/>
                <w:color w:val="E2E8F0"/>
                <w:sz w:val="20"/>
                <w:szCs w:val="20"/>
              </w:rPr>
              <w:t xml:space="preserve">{</w:t>
            </w:r>
          </w:p>
          <w:p>
            <w:pPr>
              <w:spacing w:after="40"/>
            </w:pPr>
            <w:r>
              <w:rPr>
                <w:rFonts w:ascii="Arial" w:eastAsia="Microsoft YaHei" w:hAnsi="Arial"/>
                <w:b w:val="false"/>
                <w:bCs w:val="false"/>
                <w:i w:val="false"/>
                <w:iCs w:val="false"/>
                <w:color w:val="E2E8F0"/>
                <w:sz w:val="20"/>
                <w:szCs w:val="20"/>
              </w:rPr>
              <w:t xml:space="preserve">  "asset_key": "backup-group:prod-db",  // 资产组/资源标识</w:t>
            </w:r>
          </w:p>
          <w:p>
            <w:pPr>
              <w:spacing w:after="40"/>
            </w:pPr>
            <w:r>
              <w:rPr>
                <w:rFonts w:ascii="Arial" w:eastAsia="Microsoft YaHei" w:hAnsi="Arial"/>
                <w:b w:val="false"/>
                <w:bCs w:val="false"/>
                <w:i w:val="false"/>
                <w:iCs w:val="false"/>
                <w:color w:val="E2E8F0"/>
                <w:sz w:val="20"/>
                <w:szCs w:val="20"/>
              </w:rPr>
              <w:t xml:space="preserve">  "window_start": "2026-09-20T10:00:00Z",</w:t>
            </w:r>
          </w:p>
          <w:p>
            <w:pPr>
              <w:spacing w:after="40"/>
            </w:pPr>
            <w:r>
              <w:rPr>
                <w:rFonts w:ascii="Arial" w:eastAsia="Microsoft YaHei" w:hAnsi="Arial"/>
                <w:b w:val="false"/>
                <w:bCs w:val="false"/>
                <w:i w:val="false"/>
                <w:iCs w:val="false"/>
                <w:color w:val="E2E8F0"/>
                <w:sz w:val="20"/>
                <w:szCs w:val="20"/>
              </w:rPr>
              <w:t xml:space="preserve">  "window_end":   "2026-09-20T10:05:00Z",</w:t>
            </w:r>
          </w:p>
          <w:p>
            <w:pPr>
              <w:spacing w:after="0"/>
            </w:pPr>
            <w:r>
              <w:rPr>
                <w:rFonts w:ascii="Arial" w:eastAsia="Microsoft YaHei" w:hAnsi="Arial"/>
                <w:b w:val="false"/>
                <w:bCs w:val="false"/>
                <w:i w:val="false"/>
                <w:iCs w:val="false"/>
                <w:color w:val="E2E8F0"/>
                <w:sz w:val="20"/>
                <w:szCs w:val="20"/>
              </w:rPr>
              <w:t xml:space="preserve">  "window_size":  "5m"</w:t>
            </w:r>
          </w:p>
          <w:p>
            <w:pPr>
              <w:spacing w:after="0"/>
            </w:pPr>
            <w:r>
              <w:rPr>
                <w:rFonts w:ascii="Arial" w:eastAsia="Microsoft YaHei" w:hAnsi="Arial"/>
                <w:b w:val="false"/>
                <w:bCs w:val="false"/>
                <w:i w:val="false"/>
                <w:iCs w:val="false"/>
                <w:color w:val="E2E8F0"/>
                <w:sz w:val="20"/>
                <w:szCs w:val="20"/>
              </w:rPr>
              <w:t xml:space="preserve">}</w:t>
            </w:r>
          </w:p>
        </w:tc>
      </w:tr>
    </w:tbl>
    <w:p>
      <w:pPr>
        <w:pStyle w:val="Heading2"/>
        <w:spacing w:after="200" w:before="300"/>
      </w:pPr>
      <w:r>
        <w:rPr>
          <w:rFonts w:ascii="Arial" w:eastAsia="Microsoft YaHei" w:hAnsi="Arial"/>
          <w:b/>
          <w:bCs/>
          <w:i w:val="false"/>
          <w:iCs w:val="false"/>
          <w:color w:val="0969DA"/>
          <w:sz w:val="28"/>
          <w:szCs w:val="28"/>
        </w:rPr>
        <w:t xml:space="preserve">3.2 资源与资产组</w:t>
      </w:r>
    </w:p>
    <w:p>
      <w:pPr>
        <w:spacing w:after="160" w:line="360"/>
        <w:jc w:val="both"/>
      </w:pPr>
      <w:r>
        <w:rPr>
          <w:rFonts w:ascii="Arial" w:eastAsia="Microsoft YaHei" w:hAnsi="Arial"/>
          <w:b w:val="false"/>
          <w:bCs w:val="false"/>
          <w:i w:val="false"/>
          <w:iCs w:val="false"/>
          <w:color w:val="1A2332"/>
          <w:sz w:val="22"/>
          <w:szCs w:val="22"/>
        </w:rPr>
        <w:t xml:space="preserve">支持两种粒度的资源聚合：</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单资源精确聚合：</w:t>
      </w:r>
      <w:r>
        <w:rPr>
          <w:rFonts w:ascii="Arial" w:eastAsia="Microsoft YaHei" w:hAnsi="Arial"/>
          <w:b w:val="false"/>
          <w:bCs w:val="false"/>
          <w:i w:val="false"/>
          <w:iCs w:val="false"/>
          <w:color w:val="1A2332"/>
          <w:sz w:val="24"/>
          <w:szCs w:val="24"/>
        </w:rPr>
        <w:t xml:space="preserve">以具体文件、磁盘、数据库表、配置项为 key，适合精确追踪目标明确的攻击。</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资产组逻辑聚合：</w:t>
      </w:r>
      <w:r>
        <w:rPr>
          <w:rFonts w:ascii="Arial" w:eastAsia="Microsoft YaHei" w:hAnsi="Arial"/>
          <w:b w:val="false"/>
          <w:bCs w:val="false"/>
          <w:i w:val="false"/>
          <w:iCs w:val="false"/>
          <w:color w:val="1A2332"/>
          <w:sz w:val="24"/>
          <w:szCs w:val="24"/>
        </w:rPr>
        <w:t xml:space="preserve">将逻辑上绑定的一批资源划为同一资产组，即使操作对象不同，只要属于同一组也要聚合。</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3520"/>
        <w:gridCol w:w="3520"/>
      </w:tblGrid>
      <w:tr>
        <w:trPr>
          <w:cantSplit/>
        </w:trPr>
        <w:tc>
          <w:tcPr>
            <w:tcW w:type="dxa" w:w="20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资产组示例</w:t>
            </w:r>
          </w:p>
        </w:tc>
        <w:tc>
          <w:tcPr>
            <w:tcW w:type="dxa" w:w="35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包含资源</w:t>
            </w:r>
          </w:p>
        </w:tc>
        <w:tc>
          <w:tcPr>
            <w:tcW w:type="dxa" w:w="352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典型风险场景</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备份资产组</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备份文件、备份磁盘、备份快照、备份配置</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多人协同销毁全部备份</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密钥管理组</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密钥生成服务、密钥分发配置、密钥审计日志</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权限拆分场景下走完整密钥篡改链路</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系统配置组</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核心配置文件、服务启停权限、系统日志清理</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配置篡改 + 服务重启 + 日志清除三连</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数据库资产组</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数据库实例、数据表、数据导出权限、审计日志</w:t>
            </w:r>
          </w:p>
        </w:tc>
        <w:tc>
          <w:tcPr>
            <w:tcW w:type="dxa" w:w="352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数据批量导出 + 审计痕迹清除</w:t>
            </w:r>
          </w:p>
        </w:tc>
      </w:tr>
    </w:tbl>
    <w:p>
      <w:pPr>
        <w:spacing w:after="240" w:before="80"/>
        <w:jc w:val="center"/>
      </w:pPr>
      <w:r>
        <w:rPr>
          <w:rFonts w:ascii="Arial" w:eastAsia="Microsoft YaHei" w:hAnsi="Arial"/>
          <w:b w:val="false"/>
          <w:bCs w:val="false"/>
          <w:i/>
          <w:iCs/>
          <w:color w:val="5E7187"/>
          <w:sz w:val="20"/>
          <w:szCs w:val="20"/>
        </w:rPr>
        <w:t xml:space="preserve">表 3-1 典型资产组配置示例</w:t>
      </w:r>
    </w:p>
    <w:p>
      <w:pPr>
        <w:pStyle w:val="Heading2"/>
        <w:spacing w:after="200" w:before="300"/>
      </w:pPr>
      <w:r>
        <w:rPr>
          <w:rFonts w:ascii="Arial" w:eastAsia="Microsoft YaHei" w:hAnsi="Arial"/>
          <w:b/>
          <w:bCs/>
          <w:i w:val="false"/>
          <w:iCs w:val="false"/>
          <w:color w:val="0969DA"/>
          <w:sz w:val="28"/>
          <w:szCs w:val="28"/>
        </w:rPr>
        <w:t xml:space="preserve">3.3 滑动时间窗口</w:t>
      </w:r>
    </w:p>
    <w:p>
      <w:pPr>
        <w:spacing w:after="160" w:line="360"/>
        <w:jc w:val="both"/>
      </w:pPr>
      <w:r>
        <w:rPr>
          <w:rFonts w:ascii="Arial" w:eastAsia="Microsoft YaHei" w:hAnsi="Arial"/>
          <w:b w:val="false"/>
          <w:bCs w:val="false"/>
          <w:i w:val="false"/>
          <w:iCs w:val="false"/>
          <w:color w:val="1A2332"/>
          <w:sz w:val="22"/>
          <w:szCs w:val="22"/>
        </w:rPr>
        <w:t xml:space="preserve">采用滑动时间窗口机制，窗口大小与滑动步长均可配置。</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60"/>
      </w:tblGrid>
      <w:tr>
        <w:trPr>
          <w:cantSplit/>
        </w:trPr>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默认窗口大小</w:t>
            </w:r>
          </w:p>
          <w:p>
            <w:pPr>
              <w:spacing w:after="60"/>
            </w:pPr>
            <w:r>
              <w:rPr>
                <w:rFonts w:ascii="Arial" w:eastAsia="Microsoft YaHei" w:hAnsi="Arial"/>
                <w:b/>
                <w:bCs/>
                <w:i w:val="false"/>
                <w:iCs w:val="false"/>
                <w:color w:val="0969DA"/>
                <w:sz w:val="28"/>
                <w:szCs w:val="28"/>
              </w:rPr>
              <w:t xml:space="preserve">5 min</w:t>
            </w:r>
          </w:p>
          <w:p>
            <w:pPr>
              <w:spacing w:after="0"/>
            </w:pPr>
            <w:r>
              <w:rPr>
                <w:rFonts w:ascii="Arial" w:eastAsia="Microsoft YaHei" w:hAnsi="Arial"/>
                <w:b w:val="false"/>
                <w:bCs w:val="false"/>
                <w:i w:val="false"/>
                <w:iCs w:val="false"/>
                <w:color w:val="5E7187"/>
                <w:sz w:val="18"/>
                <w:szCs w:val="18"/>
              </w:rPr>
              <w:t xml:space="preserve">检测短周期协同攻击</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滑动步长</w:t>
            </w:r>
          </w:p>
          <w:p>
            <w:pPr>
              <w:spacing w:after="60"/>
            </w:pPr>
            <w:r>
              <w:rPr>
                <w:rFonts w:ascii="Arial" w:eastAsia="Microsoft YaHei" w:hAnsi="Arial"/>
                <w:b/>
                <w:bCs/>
                <w:i w:val="false"/>
                <w:iCs w:val="false"/>
                <w:color w:val="0969DA"/>
                <w:sz w:val="28"/>
                <w:szCs w:val="28"/>
              </w:rPr>
              <w:t xml:space="preserve">1 min</w:t>
            </w:r>
          </w:p>
          <w:p>
            <w:pPr>
              <w:spacing w:after="0"/>
            </w:pPr>
            <w:r>
              <w:rPr>
                <w:rFonts w:ascii="Arial" w:eastAsia="Microsoft YaHei" w:hAnsi="Arial"/>
                <w:b w:val="false"/>
                <w:bCs w:val="false"/>
                <w:i w:val="false"/>
                <w:iCs w:val="false"/>
                <w:color w:val="5E7187"/>
                <w:sz w:val="18"/>
                <w:szCs w:val="18"/>
              </w:rPr>
              <w:t xml:space="preserve">平衡实时性与计算量</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长周期窗口</w:t>
            </w:r>
          </w:p>
          <w:p>
            <w:pPr>
              <w:spacing w:after="60"/>
            </w:pPr>
            <w:r>
              <w:rPr>
                <w:rFonts w:ascii="Arial" w:eastAsia="Microsoft YaHei" w:hAnsi="Arial"/>
                <w:b/>
                <w:bCs/>
                <w:i w:val="false"/>
                <w:iCs w:val="false"/>
                <w:color w:val="0969DA"/>
                <w:sz w:val="28"/>
                <w:szCs w:val="28"/>
              </w:rPr>
              <w:t xml:space="preserve">24 h</w:t>
            </w:r>
          </w:p>
          <w:p>
            <w:pPr>
              <w:spacing w:after="0"/>
            </w:pPr>
            <w:r>
              <w:rPr>
                <w:rFonts w:ascii="Arial" w:eastAsia="Microsoft YaHei" w:hAnsi="Arial"/>
                <w:b w:val="false"/>
                <w:bCs w:val="false"/>
                <w:i w:val="false"/>
                <w:iCs w:val="false"/>
                <w:color w:val="5E7187"/>
                <w:sz w:val="18"/>
                <w:szCs w:val="18"/>
              </w:rPr>
              <w:t xml:space="preserve">弱关联线索分析</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可调范围</w:t>
            </w:r>
          </w:p>
          <w:p>
            <w:pPr>
              <w:spacing w:after="60"/>
            </w:pPr>
            <w:r>
              <w:rPr>
                <w:rFonts w:ascii="Arial" w:eastAsia="Microsoft YaHei" w:hAnsi="Arial"/>
                <w:b/>
                <w:bCs/>
                <w:i w:val="false"/>
                <w:iCs w:val="false"/>
                <w:color w:val="0969DA"/>
                <w:sz w:val="28"/>
                <w:szCs w:val="28"/>
              </w:rPr>
              <w:t xml:space="preserve">1m~7d</w:t>
            </w:r>
          </w:p>
          <w:p>
            <w:pPr>
              <w:spacing w:after="0"/>
            </w:pPr>
            <w:r>
              <w:rPr>
                <w:rFonts w:ascii="Arial" w:eastAsia="Microsoft YaHei" w:hAnsi="Arial"/>
                <w:b w:val="false"/>
                <w:bCs w:val="false"/>
                <w:i w:val="false"/>
                <w:iCs w:val="false"/>
                <w:color w:val="5E7187"/>
                <w:sz w:val="18"/>
                <w:szCs w:val="18"/>
              </w:rPr>
              <w:t xml:space="preserve">根据场景灵活配置</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93C5FD" w:sz="6"/>
              <w:left w:val="single" w:color="93C5FD" w:sz="24"/>
              <w:bottom w:val="single" w:color="93C5FD" w:sz="6"/>
              <w:right w:val="single" w:color="93C5FD" w:sz="6"/>
            </w:tcBorders>
            <w:shd w:fill="EFF6FF" w:val="clear"/>
            <w:tcMar>
              <w:top w:type="dxa" w:w="120"/>
              <w:left w:type="dxa" w:w="200"/>
              <w:bottom w:type="dxa" w:w="120"/>
              <w:right w:type="dxa" w:w="200"/>
            </w:tcMar>
          </w:tcPr>
          <w:p>
            <w:pPr>
              <w:spacing w:after="80"/>
            </w:pPr>
            <w:r>
              <w:rPr>
                <w:rFonts w:ascii="Arial" w:eastAsia="Microsoft YaHei" w:hAnsi="Arial"/>
                <w:b/>
                <w:bCs/>
                <w:i w:val="false"/>
                <w:iCs w:val="false"/>
                <w:color w:val="0757B8"/>
                <w:sz w:val="22"/>
                <w:szCs w:val="22"/>
              </w:rPr>
              <w:t xml:space="preserve">多窗口并行策略</w:t>
            </w:r>
          </w:p>
          <w:p>
            <w:pPr>
              <w:spacing w:after="0" w:line="320"/>
            </w:pPr>
            <w:r>
              <w:rPr>
                <w:rFonts w:ascii="Arial" w:eastAsia="Microsoft YaHei" w:hAnsi="Arial"/>
                <w:b w:val="false"/>
                <w:bCs w:val="false"/>
                <w:i w:val="false"/>
                <w:iCs w:val="false"/>
                <w:color w:val="1A2332"/>
                <w:sz w:val="21"/>
                <w:szCs w:val="21"/>
              </w:rPr>
              <w:t xml:space="preserve">系统支持多个窗口大小并行运行：短窗口（5分钟）用于快速检出紧急攻击，中窗口（1小时）覆盖中等跨度协同，长窗口（24小时）形成弱关联风险线索。不同窗口输出不同置信度的结果，长窗口结果不直接触发高等级告警。</w:t>
            </w:r>
          </w:p>
        </w:tc>
      </w:tr>
    </w:tbl>
    <w:p>
      <w:pPr>
        <w:pStyle w:val="Heading2"/>
        <w:spacing w:after="200" w:before="300"/>
      </w:pPr>
      <w:r>
        <w:rPr>
          <w:rFonts w:ascii="Arial" w:eastAsia="Microsoft YaHei" w:hAnsi="Arial"/>
          <w:b/>
          <w:bCs/>
          <w:i w:val="false"/>
          <w:iCs w:val="false"/>
          <w:color w:val="0969DA"/>
          <w:sz w:val="28"/>
          <w:szCs w:val="28"/>
        </w:rPr>
        <w:t xml:space="preserve">3.4 聚合输出</w:t>
      </w:r>
    </w:p>
    <w:p>
      <w:pPr>
        <w:spacing w:after="160" w:line="360"/>
        <w:jc w:val="both"/>
      </w:pPr>
      <w:r>
        <w:rPr>
          <w:rFonts w:ascii="Arial" w:eastAsia="Microsoft YaHei" w:hAnsi="Arial"/>
          <w:b w:val="false"/>
          <w:bCs w:val="false"/>
          <w:i w:val="false"/>
          <w:iCs w:val="false"/>
          <w:color w:val="1A2332"/>
          <w:sz w:val="22"/>
          <w:szCs w:val="22"/>
        </w:rPr>
        <w:t xml:space="preserve">每个时间窗口 + 资产组输出一个事件集合，包含以下字段：</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D3DCE6" w:sz="6"/>
              <w:left w:val="single" w:color="D3DCE6" w:sz="6"/>
              <w:bottom w:val="single" w:color="D3DCE6" w:sz="6"/>
              <w:right w:val="single" w:color="D3DCE6" w:sz="6"/>
            </w:tcBorders>
            <w:shd w:fill="1E293B" w:val="clear"/>
            <w:tcMar>
              <w:top w:type="dxa" w:w="120"/>
              <w:left w:type="dxa" w:w="200"/>
              <w:bottom w:type="dxa" w:w="120"/>
              <w:right w:type="dxa" w:w="200"/>
            </w:tcMar>
          </w:tcPr>
          <w:p>
            <w:pPr>
              <w:spacing w:after="40"/>
            </w:pPr>
            <w:r>
              <w:rPr>
                <w:rFonts w:ascii="Arial" w:eastAsia="Microsoft YaHei" w:hAnsi="Arial"/>
                <w:b w:val="false"/>
                <w:bCs w:val="false"/>
                <w:i w:val="false"/>
                <w:iCs w:val="false"/>
                <w:color w:val="E2E8F0"/>
                <w:sz w:val="19"/>
                <w:szCs w:val="19"/>
              </w:rPr>
              <w:t xml:space="preserve">"event_set_id": "es_20260920_1000_1005_backup_001",</w:t>
            </w:r>
          </w:p>
          <w:p>
            <w:pPr>
              <w:spacing w:after="40"/>
            </w:pPr>
            <w:r>
              <w:rPr>
                <w:rFonts w:ascii="Arial" w:eastAsia="Microsoft YaHei" w:hAnsi="Arial"/>
                <w:b w:val="false"/>
                <w:bCs w:val="false"/>
                <w:i w:val="false"/>
                <w:iCs w:val="false"/>
                <w:color w:val="E2E8F0"/>
                <w:sz w:val="19"/>
                <w:szCs w:val="19"/>
              </w:rPr>
              <w:t xml:space="preserve">"asset_group": "backup-group:prod-db",</w:t>
            </w:r>
          </w:p>
          <w:p>
            <w:pPr>
              <w:spacing w:after="40"/>
            </w:pPr>
            <w:r>
              <w:rPr>
                <w:rFonts w:ascii="Arial" w:eastAsia="Microsoft YaHei" w:hAnsi="Arial"/>
                <w:b w:val="false"/>
                <w:bCs w:val="false"/>
                <w:i w:val="false"/>
                <w:iCs w:val="false"/>
                <w:color w:val="E2E8F0"/>
                <w:sz w:val="19"/>
                <w:szCs w:val="19"/>
              </w:rPr>
              <w:t xml:space="preserve">"time_window": { "start": "...", "end": "..." },</w:t>
            </w:r>
          </w:p>
          <w:p>
            <w:pPr>
              <w:spacing w:after="40"/>
            </w:pPr>
            <w:r>
              <w:rPr>
                <w:rFonts w:ascii="Arial" w:eastAsia="Microsoft YaHei" w:hAnsi="Arial"/>
                <w:b w:val="false"/>
                <w:bCs w:val="false"/>
                <w:i w:val="false"/>
                <w:iCs w:val="false"/>
                <w:color w:val="E2E8F0"/>
                <w:sz w:val="19"/>
                <w:szCs w:val="19"/>
              </w:rPr>
              <w:t xml:space="preserve">"operator_count": 3,</w:t>
            </w:r>
          </w:p>
          <w:p>
            <w:pPr>
              <w:spacing w:after="40"/>
            </w:pPr>
            <w:r>
              <w:rPr>
                <w:rFonts w:ascii="Arial" w:eastAsia="Microsoft YaHei" w:hAnsi="Arial"/>
                <w:b w:val="false"/>
                <w:bCs w:val="false"/>
                <w:i w:val="false"/>
                <w:iCs w:val="false"/>
                <w:color w:val="E2E8F0"/>
                <w:sz w:val="19"/>
                <w:szCs w:val="19"/>
              </w:rPr>
              <w:t xml:space="preserve">"operators": ["op_A", "op_B", "op_C"],</w:t>
            </w:r>
          </w:p>
          <w:p>
            <w:pPr>
              <w:spacing w:after="40"/>
            </w:pPr>
            <w:r>
              <w:rPr>
                <w:rFonts w:ascii="Arial" w:eastAsia="Microsoft YaHei" w:hAnsi="Arial"/>
                <w:b w:val="false"/>
                <w:bCs w:val="false"/>
                <w:i w:val="false"/>
                <w:iCs w:val="false"/>
                <w:color w:val="E2E8F0"/>
                <w:sz w:val="19"/>
                <w:szCs w:val="19"/>
              </w:rPr>
              <w:t xml:space="preserve">"operations": [ ... ],  // 操作明细列表</w:t>
            </w:r>
          </w:p>
          <w:p>
            <w:pPr>
              <w:spacing w:after="0"/>
            </w:pPr>
            <w:r>
              <w:rPr>
                <w:rFonts w:ascii="Arial" w:eastAsia="Microsoft YaHei" w:hAnsi="Arial"/>
                <w:b w:val="false"/>
                <w:bCs w:val="false"/>
                <w:i w:val="false"/>
                <w:iCs w:val="false"/>
                <w:color w:val="E2E8F0"/>
                <w:sz w:val="19"/>
                <w:szCs w:val="19"/>
              </w:rPr>
              <w:t xml:space="preserve">"ticket_ids": []  // 关联的工单ID集合</w:t>
            </w:r>
          </w:p>
        </w:tc>
      </w:tr>
    </w:tbl>
    <w:p>
      <w:r>
        <w:br w:type="page"/>
      </w:r>
    </w:p>
    <w:p>
      <w:pPr>
        <w:pStyle w:val="Heading1"/>
        <w:spacing w:after="240" w:before="360"/>
      </w:pPr>
      <w:r>
        <w:rPr>
          <w:rFonts w:ascii="Arial" w:eastAsia="Microsoft YaHei" w:hAnsi="Arial"/>
          <w:b/>
          <w:bCs/>
          <w:i w:val="false"/>
          <w:iCs w:val="false"/>
          <w:color w:val="054085"/>
          <w:sz w:val="32"/>
          <w:szCs w:val="32"/>
        </w:rPr>
        <w:t xml:space="preserve">4. 模块二：合谋风险规则库与行为画像库</w:t>
      </w:r>
    </w:p>
    <w:p>
      <w:pPr>
        <w:spacing w:after="160" w:line="360"/>
        <w:jc w:val="both"/>
      </w:pPr>
      <w:r>
        <w:rPr>
          <w:rFonts w:ascii="Arial" w:eastAsia="Microsoft YaHei" w:hAnsi="Arial"/>
          <w:b w:val="false"/>
          <w:bCs w:val="false"/>
          <w:i w:val="false"/>
          <w:iCs w:val="false"/>
          <w:color w:val="1A2332"/>
          <w:sz w:val="22"/>
          <w:szCs w:val="22"/>
        </w:rPr>
        <w:t xml:space="preserve">检测层采用双轨并行设计：确定性规则引擎覆盖已知合谋模式，保证检出率；行为画像异常检测应对未知攻击模式，提供补充线索。两者独立运行、结果融合。</w:t>
      </w:r>
    </w:p>
    <w:p>
      <w:pPr>
        <w:pStyle w:val="Heading2"/>
        <w:spacing w:after="200" w:before="300"/>
      </w:pPr>
      <w:r>
        <w:rPr>
          <w:rFonts w:ascii="Arial" w:eastAsia="Microsoft YaHei" w:hAnsi="Arial"/>
          <w:b/>
          <w:bCs/>
          <w:i w:val="false"/>
          <w:iCs w:val="false"/>
          <w:color w:val="0969DA"/>
          <w:sz w:val="28"/>
          <w:szCs w:val="28"/>
        </w:rPr>
        <w:t xml:space="preserve">4.1 基于场景的组合风险规则</w:t>
      </w:r>
    </w:p>
    <w:p>
      <w:pPr>
        <w:spacing w:after="160" w:line="360"/>
        <w:jc w:val="both"/>
      </w:pPr>
      <w:r>
        <w:rPr>
          <w:rFonts w:ascii="Arial" w:eastAsia="Microsoft YaHei" w:hAnsi="Arial"/>
          <w:b w:val="false"/>
          <w:bCs w:val="false"/>
          <w:i w:val="false"/>
          <w:iCs w:val="false"/>
          <w:color w:val="1A2332"/>
          <w:sz w:val="22"/>
          <w:szCs w:val="22"/>
        </w:rPr>
        <w:t xml:space="preserve">规则的判断对象不是单条操作，而是一组来自不同操作员的操作组合。规则关注的是：当这些操作按特定时序完成后，是否会达成某种危害效果。</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D3DCE6" w:sz="6"/>
              <w:left w:val="single" w:color="D3DCE6" w:sz="6"/>
              <w:bottom w:val="single" w:color="D3DCE6" w:sz="6"/>
              <w:right w:val="single" w:color="D3DCE6" w:sz="6"/>
            </w:tcBorders>
            <w:shd w:fill="1E293B" w:val="clear"/>
            <w:tcMar>
              <w:top w:type="dxa" w:w="120"/>
              <w:left w:type="dxa" w:w="200"/>
              <w:bottom w:type="dxa" w:w="120"/>
              <w:right w:type="dxa" w:w="200"/>
            </w:tcMar>
          </w:tcPr>
          <w:p>
            <w:pPr>
              <w:spacing w:after="40"/>
            </w:pPr>
            <w:r>
              <w:rPr>
                <w:rFonts w:ascii="Arial" w:eastAsia="Microsoft YaHei" w:hAnsi="Arial"/>
                <w:b w:val="false"/>
                <w:bCs w:val="false"/>
                <w:i w:val="false"/>
                <w:iCs w:val="false"/>
                <w:color w:val="64748B"/>
                <w:sz w:val="19"/>
                <w:szCs w:val="19"/>
              </w:rPr>
              <w:t xml:space="preserve">// 规则伪代码格式</w:t>
            </w:r>
          </w:p>
          <w:p>
            <w:pPr>
              <w:spacing w:after="40"/>
            </w:pPr>
            <w:r>
              <w:rPr>
                <w:rFonts w:ascii="Arial" w:eastAsia="Microsoft YaHei" w:hAnsi="Arial"/>
                <w:b w:val="false"/>
                <w:bCs w:val="false"/>
                <w:i w:val="false"/>
                <w:iCs w:val="false"/>
                <w:color w:val="60A5FA"/>
                <w:sz w:val="19"/>
                <w:szCs w:val="19"/>
              </w:rPr>
              <w:t xml:space="preserve">RULE backup_destruction_collusion:</w:t>
            </w:r>
          </w:p>
          <w:p>
            <w:pPr>
              <w:spacing w:after="40"/>
            </w:pPr>
            <w:r>
              <w:rPr>
                <w:rFonts w:ascii="Arial" w:eastAsia="Microsoft YaHei" w:hAnsi="Arial"/>
                <w:b w:val="false"/>
                <w:bCs w:val="false"/>
                <w:i w:val="false"/>
                <w:iCs w:val="false"/>
                <w:color w:val="60A5FA"/>
                <w:sz w:val="19"/>
                <w:szCs w:val="19"/>
              </w:rPr>
              <w:t xml:space="preserve">  IF</w:t>
            </w:r>
          </w:p>
          <w:p>
            <w:pPr>
              <w:spacing w:after="40"/>
            </w:pPr>
            <w:r>
              <w:rPr>
                <w:rFonts w:ascii="Arial" w:eastAsia="Microsoft YaHei" w:hAnsi="Arial"/>
                <w:b w:val="false"/>
                <w:bCs w:val="false"/>
                <w:i w:val="false"/>
                <w:iCs w:val="false"/>
                <w:color w:val="E2E8F0"/>
                <w:sz w:val="19"/>
                <w:szCs w:val="19"/>
              </w:rPr>
              <w:t xml:space="preserve">    window_size &lt;= 5min</w:t>
            </w:r>
          </w:p>
          <w:p>
            <w:pPr>
              <w:spacing w:after="40"/>
            </w:pPr>
            <w:r>
              <w:rPr>
                <w:rFonts w:ascii="Arial" w:eastAsia="Microsoft YaHei" w:hAnsi="Arial"/>
                <w:b w:val="false"/>
                <w:bCs w:val="false"/>
                <w:i w:val="false"/>
                <w:iCs w:val="false"/>
                <w:color w:val="E2E8F0"/>
                <w:sz w:val="19"/>
                <w:szCs w:val="19"/>
              </w:rPr>
              <w:t xml:space="preserve">    distinct_operators &gt;= 2</w:t>
            </w:r>
          </w:p>
          <w:p>
            <w:pPr>
              <w:spacing w:after="40"/>
            </w:pPr>
            <w:r>
              <w:rPr>
                <w:rFonts w:ascii="Arial" w:eastAsia="Microsoft YaHei" w:hAnsi="Arial"/>
                <w:b w:val="false"/>
                <w:bCs w:val="false"/>
                <w:i w:val="false"/>
                <w:iCs w:val="false"/>
                <w:color w:val="E2E8F0"/>
                <w:sz w:val="19"/>
                <w:szCs w:val="19"/>
              </w:rPr>
              <w:t xml:space="preserve">    asset_group == "backup-group"</w:t>
            </w:r>
          </w:p>
          <w:p>
            <w:pPr>
              <w:spacing w:after="40"/>
            </w:pPr>
            <w:r>
              <w:rPr>
                <w:rFonts w:ascii="Arial" w:eastAsia="Microsoft YaHei" w:hAnsi="Arial"/>
                <w:b w:val="false"/>
                <w:bCs w:val="false"/>
                <w:i w:val="false"/>
                <w:iCs w:val="false"/>
                <w:color w:val="E2E8F0"/>
                <w:sz w:val="19"/>
                <w:szCs w:val="19"/>
              </w:rPr>
              <w:t xml:space="preserve">    actions_cover(["delete_backup", "unmount_storage", "delete_snapshot"])</w:t>
            </w:r>
          </w:p>
          <w:p>
            <w:pPr>
              <w:spacing w:after="40"/>
            </w:pPr>
            <w:r>
              <w:rPr>
                <w:rFonts w:ascii="Arial" w:eastAsia="Microsoft YaHei" w:hAnsi="Arial"/>
                <w:b w:val="false"/>
                <w:bCs w:val="false"/>
                <w:i w:val="false"/>
                <w:iCs w:val="false"/>
                <w:color w:val="E2E8F0"/>
                <w:sz w:val="19"/>
                <w:szCs w:val="19"/>
              </w:rPr>
              <w:t xml:space="preserve">    damage_effect == "data_unrecoverable"</w:t>
            </w:r>
          </w:p>
          <w:p>
            <w:pPr>
              <w:spacing w:after="40"/>
            </w:pPr>
            <w:r>
              <w:rPr>
                <w:rFonts w:ascii="Arial" w:eastAsia="Microsoft YaHei" w:hAnsi="Arial"/>
                <w:b w:val="false"/>
                <w:bCs w:val="false"/>
                <w:i w:val="false"/>
                <w:iCs w:val="false"/>
                <w:color w:val="60A5FA"/>
                <w:sz w:val="19"/>
                <w:szCs w:val="19"/>
              </w:rPr>
              <w:t xml:space="preserve">  THEN</w:t>
            </w:r>
          </w:p>
          <w:p>
            <w:pPr>
              <w:spacing w:after="40"/>
            </w:pPr>
            <w:r>
              <w:rPr>
                <w:rFonts w:ascii="Arial" w:eastAsia="Microsoft YaHei" w:hAnsi="Arial"/>
                <w:b w:val="false"/>
                <w:bCs w:val="false"/>
                <w:i w:val="false"/>
                <w:iCs w:val="false"/>
                <w:color w:val="E2E8F0"/>
                <w:sz w:val="19"/>
                <w:szCs w:val="19"/>
              </w:rPr>
              <w:t xml:space="preserve">    risk_level = "HIGH"</w:t>
            </w:r>
          </w:p>
          <w:p>
            <w:pPr>
              <w:spacing w:after="40"/>
            </w:pPr>
            <w:r>
              <w:rPr>
                <w:rFonts w:ascii="Arial" w:eastAsia="Microsoft YaHei" w:hAnsi="Arial"/>
                <w:b w:val="false"/>
                <w:bCs w:val="false"/>
                <w:i w:val="false"/>
                <w:iCs w:val="false"/>
                <w:color w:val="E2E8F0"/>
                <w:sz w:val="19"/>
                <w:szCs w:val="19"/>
              </w:rPr>
              <w:t xml:space="preserve">    base_score = 85</w:t>
            </w:r>
          </w:p>
          <w:p>
            <w:pPr>
              <w:spacing w:after="0"/>
            </w:pPr>
            <w:r>
              <w:rPr>
                <w:rFonts w:ascii="Arial" w:eastAsia="Microsoft YaHei" w:hAnsi="Arial"/>
                <w:b w:val="false"/>
                <w:bCs w:val="false"/>
                <w:i w:val="false"/>
                <w:iCs w:val="false"/>
                <w:color w:val="E2E8F0"/>
                <w:sz w:val="19"/>
                <w:szCs w:val="19"/>
              </w:rPr>
              <w:t xml:space="preserve">    evidence_timeline = full_operation_timeline()</w:t>
            </w:r>
          </w:p>
        </w:tc>
      </w:tr>
    </w:tbl>
    <w:p>
      <w:pPr>
        <w:pStyle w:val="Heading2"/>
        <w:spacing w:after="200" w:before="300"/>
      </w:pPr>
      <w:r>
        <w:rPr>
          <w:rFonts w:ascii="Arial" w:eastAsia="Microsoft YaHei" w:hAnsi="Arial"/>
          <w:b/>
          <w:bCs/>
          <w:i w:val="false"/>
          <w:iCs w:val="false"/>
          <w:color w:val="0969DA"/>
          <w:sz w:val="28"/>
          <w:szCs w:val="28"/>
        </w:rPr>
        <w:t xml:space="preserve">4.2 典型规则场景</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40"/>
        <w:gridCol w:w="1300"/>
      </w:tblGrid>
      <w:tr>
        <w:trPr>
          <w:cantSplit/>
        </w:trPr>
        <w:tc>
          <w:tcPr>
            <w:tcW w:type="dxa" w:w="12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规则编号</w:t>
            </w:r>
          </w:p>
        </w:tc>
        <w:tc>
          <w:tcPr>
            <w:tcW w:type="dxa" w:w="20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规则名称</w:t>
            </w:r>
          </w:p>
        </w:tc>
        <w:tc>
          <w:tcPr>
            <w:tcW w:type="dxa" w:w="45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触发条件</w:t>
            </w:r>
          </w:p>
        </w:tc>
        <w:tc>
          <w:tcPr>
            <w:tcW w:type="dxa" w:w="13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基础分</w:t>
            </w:r>
          </w:p>
        </w:tc>
      </w:tr>
      <w:tr>
        <w:trPr>
          <w:cantSplit/>
        </w:trPr>
        <w:tc>
          <w:tcPr>
            <w:tcW w:type="dxa" w:w="12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R-001</w:t>
            </w:r>
          </w:p>
        </w:tc>
        <w:tc>
          <w:tcPr>
            <w:tcW w:type="dxa" w:w="20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备份销毁合谋</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≥2人在短时间内完成删除备份+卸载存储+清理快照的完整链路</w:t>
            </w:r>
          </w:p>
        </w:tc>
        <w:tc>
          <w:tcPr>
            <w:tcW w:type="dxa" w:w="13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85</w:t>
            </w:r>
          </w:p>
        </w:tc>
      </w:tr>
      <w:tr>
        <w:trPr>
          <w:cantSplit/>
        </w:trPr>
        <w:tc>
          <w:tcPr>
            <w:tcW w:type="dxa" w:w="12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R-002</w:t>
            </w:r>
          </w:p>
        </w:tc>
        <w:tc>
          <w:tcPr>
            <w:tcW w:type="dxa" w:w="20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密钥权限拆分绕过</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3名不同操作员分别执行密钥生成→分发→清除审计日志，走完整链路</w:t>
            </w:r>
          </w:p>
        </w:tc>
        <w:tc>
          <w:tcPr>
            <w:tcW w:type="dxa" w:w="13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80</w:t>
            </w:r>
          </w:p>
        </w:tc>
      </w:tr>
      <w:tr>
        <w:trPr>
          <w:cantSplit/>
        </w:trPr>
        <w:tc>
          <w:tcPr>
            <w:tcW w:type="dxa" w:w="12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R-003</w:t>
            </w:r>
          </w:p>
        </w:tc>
        <w:tc>
          <w:tcPr>
            <w:tcW w:type="dxa" w:w="20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配置篡改链路</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修改配置 + 重启服务 + 清空系统日志，三者由不同操作员短时间串联完成</w:t>
            </w:r>
          </w:p>
        </w:tc>
        <w:tc>
          <w:tcPr>
            <w:tcW w:type="dxa" w:w="13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70</w:t>
            </w:r>
          </w:p>
        </w:tc>
      </w:tr>
      <w:tr>
        <w:trPr>
          <w:cantSplit/>
        </w:trPr>
        <w:tc>
          <w:tcPr>
            <w:tcW w:type="dxa" w:w="12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R-004</w:t>
            </w:r>
          </w:p>
        </w:tc>
        <w:tc>
          <w:tcPr>
            <w:tcW w:type="dxa" w:w="20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数据批量外泄</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多人分别执行权限提升 + 批量导出 + 日志清除，针对同一数据库资产组</w:t>
            </w:r>
          </w:p>
        </w:tc>
        <w:tc>
          <w:tcPr>
            <w:tcW w:type="dxa" w:w="13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82</w:t>
            </w:r>
          </w:p>
        </w:tc>
      </w:tr>
      <w:tr>
        <w:trPr>
          <w:cantSplit/>
        </w:trPr>
        <w:tc>
          <w:tcPr>
            <w:tcW w:type="dxa" w:w="12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R-005</w:t>
            </w:r>
          </w:p>
        </w:tc>
        <w:tc>
          <w:tcPr>
            <w:tcW w:type="dxa" w:w="20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权限晋升合谋</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A创建高权限角色，B将C加入该角色，C执行敏感操作，三人分工配合</w:t>
            </w:r>
          </w:p>
        </w:tc>
        <w:tc>
          <w:tcPr>
            <w:tcW w:type="dxa" w:w="13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75</w:t>
            </w:r>
          </w:p>
        </w:tc>
      </w:tr>
    </w:tbl>
    <w:p>
      <w:pPr>
        <w:spacing w:after="240" w:before="80"/>
        <w:jc w:val="center"/>
      </w:pPr>
      <w:r>
        <w:rPr>
          <w:rFonts w:ascii="Arial" w:eastAsia="Microsoft YaHei" w:hAnsi="Arial"/>
          <w:b w:val="false"/>
          <w:bCs w:val="false"/>
          <w:i/>
          <w:iCs/>
          <w:color w:val="5E7187"/>
          <w:sz w:val="20"/>
          <w:szCs w:val="20"/>
        </w:rPr>
        <w:t xml:space="preserve">表 4-1 典型合谋风险规则（初始规则集）</w:t>
      </w:r>
    </w:p>
    <w:p>
      <w:pPr>
        <w:pStyle w:val="Heading2"/>
        <w:spacing w:after="200" w:before="300"/>
      </w:pPr>
      <w:r>
        <w:rPr>
          <w:rFonts w:ascii="Arial" w:eastAsia="Microsoft YaHei" w:hAnsi="Arial"/>
          <w:b/>
          <w:bCs/>
          <w:i w:val="false"/>
          <w:iCs w:val="false"/>
          <w:color w:val="0969DA"/>
          <w:sz w:val="28"/>
          <w:szCs w:val="28"/>
        </w:rPr>
        <w:t xml:space="preserve">4.3 基于历史画像的异常检测</w:t>
      </w:r>
    </w:p>
    <w:p>
      <w:pPr>
        <w:spacing w:after="160" w:line="360"/>
        <w:jc w:val="both"/>
      </w:pPr>
      <w:r>
        <w:rPr>
          <w:rFonts w:ascii="Arial" w:eastAsia="Microsoft YaHei" w:hAnsi="Arial"/>
          <w:b w:val="false"/>
          <w:bCs w:val="false"/>
          <w:i w:val="false"/>
          <w:iCs w:val="false"/>
          <w:color w:val="1A2332"/>
          <w:sz w:val="22"/>
          <w:szCs w:val="22"/>
        </w:rPr>
        <w:t xml:space="preserve">针对没有现成规则的未知合谋模式，通过建立操作员正常行为基线来识别异常偏离。画像检测仅提供疑似线索，不直接判定攻击，输出结果与规则结果融合后参与最终评分。</w:t>
      </w:r>
    </w:p>
    <w:p>
      <w:pPr>
        <w:pStyle w:val="Heading3"/>
        <w:spacing w:after="160" w:before="240"/>
      </w:pPr>
      <w:r>
        <w:rPr>
          <w:rFonts w:ascii="Arial" w:eastAsia="Microsoft YaHei" w:hAnsi="Arial"/>
          <w:b/>
          <w:bCs/>
          <w:i w:val="false"/>
          <w:iCs w:val="false"/>
          <w:color w:val="1A2332"/>
          <w:sz w:val="24"/>
          <w:szCs w:val="24"/>
        </w:rPr>
        <w:t xml:space="preserve">4.3.1 操作员画像维度</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资源操作分布：</w:t>
      </w:r>
      <w:r>
        <w:rPr>
          <w:rFonts w:ascii="Arial" w:eastAsia="Microsoft YaHei" w:hAnsi="Arial"/>
          <w:b w:val="false"/>
          <w:bCs w:val="false"/>
          <w:i w:val="false"/>
          <w:iCs w:val="false"/>
          <w:color w:val="1A2332"/>
          <w:sz w:val="24"/>
          <w:szCs w:val="24"/>
        </w:rPr>
        <w:t xml:space="preserve">每个操作员日常操作的资源类型分布，标记偏离其常态的资源操作。</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操作频次与时序：</w:t>
      </w:r>
      <w:r>
        <w:rPr>
          <w:rFonts w:ascii="Arial" w:eastAsia="Microsoft YaHei" w:hAnsi="Arial"/>
          <w:b w:val="false"/>
          <w:bCs w:val="false"/>
          <w:i w:val="false"/>
          <w:iCs w:val="false"/>
          <w:color w:val="1A2332"/>
          <w:sz w:val="24"/>
          <w:szCs w:val="24"/>
        </w:rPr>
        <w:t xml:space="preserve">各操作员的操作频率高峰时段、操作间隔模式，检测突发性异常。</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协作关系网络：</w:t>
      </w:r>
      <w:r>
        <w:rPr>
          <w:rFonts w:ascii="Arial" w:eastAsia="Microsoft YaHei" w:hAnsi="Arial"/>
          <w:b w:val="false"/>
          <w:bCs w:val="false"/>
          <w:i w:val="false"/>
          <w:iCs w:val="false"/>
          <w:color w:val="1A2332"/>
          <w:sz w:val="24"/>
          <w:szCs w:val="24"/>
        </w:rPr>
        <w:t xml:space="preserve">历史上哪些操作员经常在同一工单或同类任务中配合，构建协作关系图。</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高危操作基线：</w:t>
      </w:r>
      <w:r>
        <w:rPr>
          <w:rFonts w:ascii="Arial" w:eastAsia="Microsoft YaHei" w:hAnsi="Arial"/>
          <w:b w:val="false"/>
          <w:bCs w:val="false"/>
          <w:i w:val="false"/>
          <w:iCs w:val="false"/>
          <w:color w:val="1A2332"/>
          <w:sz w:val="24"/>
          <w:szCs w:val="24"/>
        </w:rPr>
        <w:t xml:space="preserve">各操作员执行删除、修改配置等高风险操作的历史频率，检测异常升高。</w:t>
      </w:r>
    </w:p>
    <w:p>
      <w:pPr>
        <w:pStyle w:val="Heading3"/>
        <w:spacing w:after="160" w:before="240"/>
      </w:pPr>
      <w:r>
        <w:rPr>
          <w:rFonts w:ascii="Arial" w:eastAsia="Microsoft YaHei" w:hAnsi="Arial"/>
          <w:b/>
          <w:bCs/>
          <w:i w:val="false"/>
          <w:iCs w:val="false"/>
          <w:color w:val="1A2332"/>
          <w:sz w:val="24"/>
          <w:szCs w:val="24"/>
        </w:rPr>
        <w:t xml:space="preserve">4.3.2 画像异常评分维度</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4540"/>
        <w:gridCol w:w="2500"/>
      </w:tblGrid>
      <w:tr>
        <w:trPr>
          <w:cantSplit/>
        </w:trPr>
        <w:tc>
          <w:tcPr>
            <w:tcW w:type="dxa" w:w="20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异常类型</w:t>
            </w:r>
          </w:p>
        </w:tc>
        <w:tc>
          <w:tcPr>
            <w:tcW w:type="dxa" w:w="45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判定逻辑</w:t>
            </w:r>
          </w:p>
        </w:tc>
        <w:tc>
          <w:tcPr>
            <w:tcW w:type="dxa" w:w="25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风险贡献</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跨域操作</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操作员操作了其历史上几乎从不接触的资源类型</w:t>
            </w:r>
          </w:p>
        </w:tc>
        <w:tc>
          <w:tcPr>
            <w:tcW w:type="dxa" w:w="25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每发生1人 +5~10分</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陌生协作</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事件集合中的操作员之间历史上几乎没有协作记录</w:t>
            </w:r>
          </w:p>
        </w:tc>
        <w:tc>
          <w:tcPr>
            <w:tcW w:type="dxa" w:w="25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+10~20分</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多人同时偏离</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同一事件集合中多名操作员同时出现画像偏离</w:t>
            </w:r>
          </w:p>
        </w:tc>
        <w:tc>
          <w:tcPr>
            <w:tcW w:type="dxa" w:w="25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叠加效应，额外+5分/人</w:t>
            </w:r>
          </w:p>
        </w:tc>
      </w:tr>
      <w:tr>
        <w:trPr>
          <w:cantSplit/>
        </w:trPr>
        <w:tc>
          <w:tcPr>
            <w:tcW w:type="dxa" w:w="20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异常时间</w:t>
            </w:r>
          </w:p>
        </w:tc>
        <w:tc>
          <w:tcPr>
            <w:tcW w:type="dxa" w:w="45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操作发生在该操作员非典型工作时段</w:t>
            </w:r>
          </w:p>
        </w:tc>
        <w:tc>
          <w:tcPr>
            <w:tcW w:type="dxa" w:w="25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+3~8分/人</w:t>
            </w:r>
          </w:p>
        </w:tc>
      </w:tr>
    </w:tbl>
    <w:p>
      <w:pPr>
        <w:spacing w:after="240" w:before="80"/>
        <w:jc w:val="center"/>
      </w:pPr>
      <w:r>
        <w:rPr>
          <w:rFonts w:ascii="Arial" w:eastAsia="Microsoft YaHei" w:hAnsi="Arial"/>
          <w:b w:val="false"/>
          <w:bCs w:val="false"/>
          <w:i/>
          <w:iCs/>
          <w:color w:val="5E7187"/>
          <w:sz w:val="20"/>
          <w:szCs w:val="20"/>
        </w:rPr>
        <w:t xml:space="preserve">表 4-2 画像异常风险贡献</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FDE68A" w:sz="6"/>
              <w:left w:val="single" w:color="FDE68A" w:sz="24"/>
              <w:bottom w:val="single" w:color="FDE68A" w:sz="6"/>
              <w:right w:val="single" w:color="FDE68A" w:sz="6"/>
            </w:tcBorders>
            <w:shd w:fill="FFFBEB" w:val="clear"/>
            <w:tcMar>
              <w:top w:type="dxa" w:w="120"/>
              <w:left w:type="dxa" w:w="200"/>
              <w:bottom w:type="dxa" w:w="120"/>
              <w:right w:type="dxa" w:w="200"/>
            </w:tcMar>
          </w:tcPr>
          <w:p>
            <w:pPr>
              <w:spacing w:after="80"/>
            </w:pPr>
            <w:r>
              <w:rPr>
                <w:rFonts w:ascii="Arial" w:eastAsia="Microsoft YaHei" w:hAnsi="Arial"/>
                <w:b/>
                <w:bCs/>
                <w:i w:val="false"/>
                <w:iCs w:val="false"/>
                <w:color w:val="B45309"/>
                <w:sz w:val="22"/>
                <w:szCs w:val="22"/>
              </w:rPr>
              <w:t xml:space="preserve">画像检测的定位</w:t>
            </w:r>
          </w:p>
          <w:p>
            <w:pPr>
              <w:spacing w:after="0" w:line="320"/>
            </w:pPr>
            <w:r>
              <w:rPr>
                <w:rFonts w:ascii="Arial" w:eastAsia="Microsoft YaHei" w:hAnsi="Arial"/>
                <w:b w:val="false"/>
                <w:bCs w:val="false"/>
                <w:i w:val="false"/>
                <w:iCs w:val="false"/>
                <w:color w:val="1A2332"/>
                <w:sz w:val="21"/>
                <w:szCs w:val="21"/>
              </w:rPr>
              <w:t xml:space="preserve">行为画像异常检测的定位是线索补充而非独立判定。纯画像异常即使分数较高也不会单独触发高等级告警，必须与规则命中或其他强信号结合，才能升级为高风险。这样可以避免因正常运维变动（如人员轮岗、临时任务）产生大量误报。</w:t>
            </w:r>
          </w:p>
        </w:tc>
      </w:tr>
    </w:tbl>
    <w:p>
      <w:r>
        <w:br w:type="page"/>
      </w:r>
    </w:p>
    <w:p>
      <w:pPr>
        <w:pStyle w:val="Heading1"/>
        <w:spacing w:after="240" w:before="360"/>
      </w:pPr>
      <w:r>
        <w:rPr>
          <w:rFonts w:ascii="Arial" w:eastAsia="Microsoft YaHei" w:hAnsi="Arial"/>
          <w:b/>
          <w:bCs/>
          <w:i w:val="false"/>
          <w:iCs w:val="false"/>
          <w:color w:val="054085"/>
          <w:sz w:val="32"/>
          <w:szCs w:val="32"/>
        </w:rPr>
        <w:t xml:space="preserve">5. 模块三：协同风险评分计算引擎</w:t>
      </w:r>
    </w:p>
    <w:p>
      <w:pPr>
        <w:spacing w:after="160" w:line="360"/>
        <w:jc w:val="both"/>
      </w:pPr>
      <w:r>
        <w:rPr>
          <w:rFonts w:ascii="Arial" w:eastAsia="Microsoft YaHei" w:hAnsi="Arial"/>
          <w:b w:val="false"/>
          <w:bCs w:val="false"/>
          <w:i w:val="false"/>
          <w:iCs w:val="false"/>
          <w:color w:val="1A2332"/>
          <w:sz w:val="22"/>
          <w:szCs w:val="22"/>
        </w:rPr>
        <w:t xml:space="preserve">风险评分引擎将规则命中结果、画像异常检测结果、外部验证信息等多维度信号加权融合，输出 0-100 的量化风险分数，并映射为高/中/低三个风险等级。</w:t>
      </w:r>
    </w:p>
    <w:p>
      <w:pPr>
        <w:pStyle w:val="Heading2"/>
        <w:spacing w:after="200" w:before="300"/>
      </w:pPr>
      <w:r>
        <w:rPr>
          <w:rFonts w:ascii="Arial" w:eastAsia="Microsoft YaHei" w:hAnsi="Arial"/>
          <w:b/>
          <w:bCs/>
          <w:i w:val="false"/>
          <w:iCs w:val="false"/>
          <w:color w:val="0969DA"/>
          <w:sz w:val="28"/>
          <w:szCs w:val="28"/>
        </w:rPr>
        <w:t xml:space="preserve">5.1 评分构成</w:t>
      </w:r>
    </w:p>
    <w:p>
      <w:pPr>
        <w:spacing w:after="160" w:line="360"/>
        <w:jc w:val="both"/>
      </w:pPr>
      <w:r>
        <w:rPr>
          <w:rFonts w:ascii="Arial" w:eastAsia="Microsoft YaHei" w:hAnsi="Arial"/>
          <w:b w:val="false"/>
          <w:bCs w:val="false"/>
          <w:i w:val="false"/>
          <w:iCs w:val="false"/>
          <w:color w:val="1A2332"/>
          <w:sz w:val="22"/>
          <w:szCs w:val="22"/>
        </w:rPr>
        <w:t xml:space="preserve">风险评分计算按以下流程进行：</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1. 事件集合输入后，并行执行规则命中检测和画像异常检测</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2. 两者结果融合形成基础分</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3. 进行工单校验：有有效工单则减分，无工单/伪造则维持或加分</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4. 白名单检查：命中则大幅降分或直接过滤</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5. 输出最终风险分，并映射为高/中/低三个等级</w:t>
      </w:r>
    </w:p>
    <w:p>
      <w:pPr>
        <w:pStyle w:val="Heading2"/>
        <w:spacing w:after="200" w:before="300"/>
      </w:pPr>
      <w:r>
        <w:rPr>
          <w:rFonts w:ascii="Arial" w:eastAsia="Microsoft YaHei" w:hAnsi="Arial"/>
          <w:b/>
          <w:bCs/>
          <w:i w:val="false"/>
          <w:iCs w:val="false"/>
          <w:color w:val="0969DA"/>
          <w:sz w:val="28"/>
          <w:szCs w:val="28"/>
        </w:rPr>
        <w:t xml:space="preserve">5.2 加分项</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40"/>
      </w:tblGrid>
      <w:tr>
        <w:trPr>
          <w:cantSplit/>
        </w:trPr>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加分因素</w:t>
            </w:r>
          </w:p>
        </w:tc>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分值范围</w:t>
            </w:r>
          </w:p>
        </w:tc>
        <w:tc>
          <w:tcPr>
            <w:tcW w:type="dxa" w:w="42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说明</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规则直接命中</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+50~85（基础分）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不同规则对应不同基础分，由规则严重程度决定</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涉事操作员数量</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+5分/人（超过2人后）</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参与人数越多，合谋可能性越高</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高危操作类型</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+5~15分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删除、卸载、清日志、改密钥等操作额外加权</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历史无协作关系</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+10~20分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操作员之间无历史协作记录，异常性更高</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多人画像同时偏离</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+5~10分/人</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多名操作员同时偏离其正常行为基线</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操作序列闭环</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+10~15分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操作组合可以完整达成破坏效果，而非部分步骤</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无关联工单</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+15~25分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所有操作均未绑定工单编号</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非工作时段</w:t>
            </w:r>
          </w:p>
        </w:tc>
        <w:tc>
          <w:tcPr>
            <w:tcW w:type="dxa" w:w="24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+5~10分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操作发生在深夜、节假日等异常时段</w:t>
            </w:r>
          </w:p>
        </w:tc>
      </w:tr>
    </w:tbl>
    <w:p>
      <w:pPr>
        <w:spacing w:after="240" w:before="80"/>
        <w:jc w:val="center"/>
      </w:pPr>
      <w:r>
        <w:rPr>
          <w:rFonts w:ascii="Arial" w:eastAsia="Microsoft YaHei" w:hAnsi="Arial"/>
          <w:b w:val="false"/>
          <w:bCs w:val="false"/>
          <w:i/>
          <w:iCs/>
          <w:color w:val="5E7187"/>
          <w:sz w:val="20"/>
          <w:szCs w:val="20"/>
        </w:rPr>
        <w:t xml:space="preserve">表 5-1 风险评分加分项</w:t>
      </w:r>
    </w:p>
    <w:p>
      <w:pPr>
        <w:pStyle w:val="Heading2"/>
        <w:spacing w:after="200" w:before="300"/>
      </w:pPr>
      <w:r>
        <w:rPr>
          <w:rFonts w:ascii="Arial" w:eastAsia="Microsoft YaHei" w:hAnsi="Arial"/>
          <w:b/>
          <w:bCs/>
          <w:i w:val="false"/>
          <w:iCs w:val="false"/>
          <w:color w:val="0969DA"/>
          <w:sz w:val="28"/>
          <w:szCs w:val="28"/>
        </w:rPr>
        <w:t xml:space="preserve">5.3 减分项</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40"/>
      </w:tblGrid>
      <w:tr>
        <w:trPr>
          <w:cantSplit/>
        </w:trPr>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减分因素</w:t>
            </w:r>
          </w:p>
        </w:tc>
        <w:tc>
          <w:tcPr>
            <w:tcW w:type="dxa" w:w="28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分值范围</w:t>
            </w:r>
          </w:p>
        </w:tc>
        <w:tc>
          <w:tcPr>
            <w:tcW w:type="dxa" w:w="38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说明</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关联有效工单</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-20~-40分</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所有操作关联同一真实工单，且工单状态有效</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白名单协同组</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-30~-50分（或直接过滤）</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操作员组合在预登记的允许协同白名单中</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应急运维模式</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-20~-30分</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当前时间段处于管理员开启的应急运维模式</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历史协作频繁</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-5~-15分</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操作员之间有大量历史协作记录，属于正常搭档</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操作序列不完整</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-10~-20分</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仅命中规则的部分步骤，未形成完整破坏链路</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有审批记录</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-15~-25分</w:t>
            </w:r>
          </w:p>
        </w:tc>
        <w:tc>
          <w:tcPr>
            <w:tcW w:type="dxa" w:w="38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操作关联了有效的变更审批流程</w:t>
            </w:r>
          </w:p>
        </w:tc>
      </w:tr>
    </w:tbl>
    <w:p>
      <w:pPr>
        <w:spacing w:after="240" w:before="80"/>
        <w:jc w:val="center"/>
      </w:pPr>
      <w:r>
        <w:rPr>
          <w:rFonts w:ascii="Arial" w:eastAsia="Microsoft YaHei" w:hAnsi="Arial"/>
          <w:b w:val="false"/>
          <w:bCs w:val="false"/>
          <w:i/>
          <w:iCs/>
          <w:color w:val="5E7187"/>
          <w:sz w:val="20"/>
          <w:szCs w:val="20"/>
        </w:rPr>
        <w:t xml:space="preserve">表 5-2 风险评分减分项</w:t>
      </w:r>
    </w:p>
    <w:p>
      <w:pPr>
        <w:pStyle w:val="Heading2"/>
        <w:spacing w:after="200" w:before="300"/>
      </w:pPr>
      <w:r>
        <w:rPr>
          <w:rFonts w:ascii="Arial" w:eastAsia="Microsoft YaHei" w:hAnsi="Arial"/>
          <w:b/>
          <w:bCs/>
          <w:i w:val="false"/>
          <w:iCs w:val="false"/>
          <w:color w:val="0969DA"/>
          <w:sz w:val="28"/>
          <w:szCs w:val="28"/>
        </w:rPr>
        <w:t xml:space="preserve">5.4 风险等级划分</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4"/>
      </w:tblGrid>
      <w:tr>
        <w:trPr>
          <w:cantSplit/>
        </w:trPr>
        <w:tc>
          <w:tcPr>
            <w:tcW w:type="dxa" w:w="3013"/>
            <w:tcBorders>
              <w:top w:val="single" w:color="D3DCE6" w:sz="6"/>
              <w:left w:val="single" w:color="D3DCE6" w:sz="6"/>
              <w:bottom w:val="single" w:color="D3DCE6" w:sz="6"/>
              <w:right w:val="single" w:color="D3DCE6" w:sz="6"/>
            </w:tcBorders>
            <w:shd w:fill="FEF2F2" w:val="clear"/>
            <w:tcMar>
              <w:top w:type="dxa" w:w="160"/>
              <w:left w:type="dxa" w:w="160"/>
              <w:bottom w:type="dxa" w:w="160"/>
              <w:right w:type="dxa" w:w="160"/>
            </w:tcMar>
            <w:vAlign w:val="top"/>
          </w:tcPr>
          <w:p>
            <w:pPr>
              <w:spacing w:after="100"/>
              <w:jc w:val="center"/>
            </w:pPr>
            <w:r>
              <w:rPr>
                <w:rFonts w:ascii="Arial" w:eastAsia="Microsoft YaHei" w:hAnsi="Arial"/>
                <w:b/>
                <w:bCs/>
                <w:i w:val="false"/>
                <w:iCs w:val="false"/>
                <w:color w:val="DC2626"/>
                <w:sz w:val="32"/>
                <w:szCs w:val="32"/>
              </w:rPr>
              <w:t xml:space="preserve">≥ 80</w:t>
            </w:r>
          </w:p>
          <w:p>
            <w:pPr>
              <w:spacing w:after="100"/>
              <w:jc w:val="center"/>
            </w:pPr>
            <w:r>
              <w:rPr>
                <w:rFonts w:ascii="Arial" w:eastAsia="Microsoft YaHei" w:hAnsi="Arial"/>
                <w:b/>
                <w:bCs/>
                <w:i w:val="false"/>
                <w:iCs w:val="false"/>
                <w:color w:val="1A2332"/>
                <w:sz w:val="24"/>
                <w:szCs w:val="24"/>
              </w:rPr>
              <w:t xml:space="preserve">高风险</w:t>
            </w:r>
          </w:p>
          <w:p>
            <w:pPr>
              <w:spacing w:after="0" w:line="280"/>
              <w:jc w:val="center"/>
            </w:pPr>
            <w:r>
              <w:rPr>
                <w:rFonts w:ascii="Arial" w:eastAsia="Microsoft YaHei" w:hAnsi="Arial"/>
                <w:b w:val="false"/>
                <w:bCs w:val="false"/>
                <w:i w:val="false"/>
                <w:iCs w:val="false"/>
                <w:color w:val="3A4A5C"/>
                <w:sz w:val="19"/>
                <w:szCs w:val="19"/>
              </w:rPr>
              <w:t xml:space="preserve">立即触发电话/短信告警，输出完整操作证据链，安全团队紧急介入</w:t>
            </w:r>
          </w:p>
        </w:tc>
        <w:tc>
          <w:tcPr>
            <w:tcW w:type="dxa" w:w="3013"/>
            <w:tcBorders>
              <w:top w:val="single" w:color="D3DCE6" w:sz="6"/>
              <w:left w:val="single" w:color="D3DCE6" w:sz="6"/>
              <w:bottom w:val="single" w:color="D3DCE6" w:sz="6"/>
              <w:right w:val="single" w:color="D3DCE6" w:sz="6"/>
            </w:tcBorders>
            <w:shd w:fill="FFFBEB" w:val="clear"/>
            <w:tcMar>
              <w:top w:type="dxa" w:w="160"/>
              <w:left w:type="dxa" w:w="160"/>
              <w:bottom w:type="dxa" w:w="160"/>
              <w:right w:type="dxa" w:w="160"/>
            </w:tcMar>
            <w:vAlign w:val="top"/>
          </w:tcPr>
          <w:p>
            <w:pPr>
              <w:spacing w:after="100"/>
              <w:jc w:val="center"/>
            </w:pPr>
            <w:r>
              <w:rPr>
                <w:rFonts w:ascii="Arial" w:eastAsia="Microsoft YaHei" w:hAnsi="Arial"/>
                <w:b/>
                <w:bCs/>
                <w:i w:val="false"/>
                <w:iCs w:val="false"/>
                <w:color w:val="D97706"/>
                <w:sz w:val="32"/>
                <w:szCs w:val="32"/>
              </w:rPr>
              <w:t xml:space="preserve">40 ~ 79</w:t>
            </w:r>
          </w:p>
          <w:p>
            <w:pPr>
              <w:spacing w:after="100"/>
              <w:jc w:val="center"/>
            </w:pPr>
            <w:r>
              <w:rPr>
                <w:rFonts w:ascii="Arial" w:eastAsia="Microsoft YaHei" w:hAnsi="Arial"/>
                <w:b/>
                <w:bCs/>
                <w:i w:val="false"/>
                <w:iCs w:val="false"/>
                <w:color w:val="1A2332"/>
                <w:sz w:val="24"/>
                <w:szCs w:val="24"/>
              </w:rPr>
              <w:t xml:space="preserve">中风险</w:t>
            </w:r>
          </w:p>
          <w:p>
            <w:pPr>
              <w:spacing w:after="0" w:line="280"/>
              <w:jc w:val="center"/>
            </w:pPr>
            <w:r>
              <w:rPr>
                <w:rFonts w:ascii="Arial" w:eastAsia="Microsoft YaHei" w:hAnsi="Arial"/>
                <w:b w:val="false"/>
                <w:bCs w:val="false"/>
                <w:i w:val="false"/>
                <w:iCs w:val="false"/>
                <w:color w:val="3A4A5C"/>
                <w:sz w:val="19"/>
                <w:szCs w:val="19"/>
              </w:rPr>
              <w:t xml:space="preserve">平台告警通知，记录事件详情，管理员当日内复核</w:t>
            </w:r>
          </w:p>
        </w:tc>
        <w:tc>
          <w:tcPr>
            <w:tcW w:type="dxa" w:w="3013"/>
            <w:tcBorders>
              <w:top w:val="single" w:color="D3DCE6" w:sz="6"/>
              <w:left w:val="single" w:color="D3DCE6" w:sz="6"/>
              <w:bottom w:val="single" w:color="D3DCE6" w:sz="6"/>
              <w:right w:val="single" w:color="D3DCE6" w:sz="6"/>
            </w:tcBorders>
            <w:shd w:fill="F0FDF4" w:val="clear"/>
            <w:tcMar>
              <w:top w:type="dxa" w:w="160"/>
              <w:left w:type="dxa" w:w="160"/>
              <w:bottom w:type="dxa" w:w="160"/>
              <w:right w:type="dxa" w:w="160"/>
            </w:tcMar>
            <w:vAlign w:val="top"/>
          </w:tcPr>
          <w:p>
            <w:pPr>
              <w:spacing w:after="100"/>
              <w:jc w:val="center"/>
            </w:pPr>
            <w:r>
              <w:rPr>
                <w:rFonts w:ascii="Arial" w:eastAsia="Microsoft YaHei" w:hAnsi="Arial"/>
                <w:b/>
                <w:bCs/>
                <w:i w:val="false"/>
                <w:iCs w:val="false"/>
                <w:color w:val="16A34A"/>
                <w:sz w:val="32"/>
                <w:szCs w:val="32"/>
              </w:rPr>
              <w:t xml:space="preserve">&lt; 40</w:t>
            </w:r>
          </w:p>
          <w:p>
            <w:pPr>
              <w:spacing w:after="100"/>
              <w:jc w:val="center"/>
            </w:pPr>
            <w:r>
              <w:rPr>
                <w:rFonts w:ascii="Arial" w:eastAsia="Microsoft YaHei" w:hAnsi="Arial"/>
                <w:b/>
                <w:bCs/>
                <w:i w:val="false"/>
                <w:iCs w:val="false"/>
                <w:color w:val="1A2332"/>
                <w:sz w:val="24"/>
                <w:szCs w:val="24"/>
              </w:rPr>
              <w:t xml:space="preserve">低风险</w:t>
            </w:r>
          </w:p>
          <w:p>
            <w:pPr>
              <w:spacing w:after="0" w:line="280"/>
              <w:jc w:val="center"/>
            </w:pPr>
            <w:r>
              <w:rPr>
                <w:rFonts w:ascii="Arial" w:eastAsia="Microsoft YaHei" w:hAnsi="Arial"/>
                <w:b w:val="false"/>
                <w:bCs w:val="false"/>
                <w:i w:val="false"/>
                <w:iCs w:val="false"/>
                <w:color w:val="3A4A5C"/>
                <w:sz w:val="19"/>
                <w:szCs w:val="19"/>
              </w:rPr>
              <w:t xml:space="preserve">仅留存日志不告警，供事后追溯与画像更新使用</w:t>
            </w:r>
          </w:p>
        </w:tc>
      </w:tr>
    </w:tbl>
    <w:p>
      <w:pPr>
        <w:pStyle w:val="Heading2"/>
        <w:spacing w:after="200" w:before="300"/>
      </w:pPr>
      <w:r>
        <w:rPr>
          <w:rFonts w:ascii="Arial" w:eastAsia="Microsoft YaHei" w:hAnsi="Arial"/>
          <w:b/>
          <w:bCs/>
          <w:i w:val="false"/>
          <w:iCs w:val="false"/>
          <w:color w:val="0969DA"/>
          <w:sz w:val="28"/>
          <w:szCs w:val="28"/>
        </w:rPr>
        <w:t xml:space="preserve">5.5 工单校验机制</w:t>
      </w:r>
    </w:p>
    <w:p>
      <w:pPr>
        <w:spacing w:after="160" w:line="360"/>
        <w:jc w:val="both"/>
      </w:pPr>
      <w:r>
        <w:rPr>
          <w:rFonts w:ascii="Arial" w:eastAsia="Microsoft YaHei" w:hAnsi="Arial"/>
          <w:b w:val="false"/>
          <w:bCs w:val="false"/>
          <w:i w:val="false"/>
          <w:iCs w:val="false"/>
          <w:color w:val="1A2332"/>
          <w:sz w:val="22"/>
          <w:szCs w:val="22"/>
        </w:rPr>
        <w:t xml:space="preserve">工单 ID 是区分合法协同运维与合谋攻击的关键信号。系统不会简单信任日志中携带的工单编号，而是通过对接工单系统外部 API 进行真实性核验。</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工单是否真实存在（防止伪造工单 ID）</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工单状态是否为进行中或已完成</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工单涉及的操作内容是否与实际操作匹配</w:t>
      </w:r>
    </w:p>
    <w:p>
      <w:pPr>
        <w:pStyle w:val="ListParagraph"/>
        <w:numPr>
          <w:ilvl w:val="0"/>
          <w:numId w:val="2"/>
        </w:numPr>
        <w:spacing w:after="80" w:line="320"/>
      </w:pPr>
      <w:r>
        <w:rPr>
          <w:rFonts w:ascii="Arial" w:eastAsia="Microsoft YaHei" w:hAnsi="Arial"/>
          <w:b w:val="false"/>
          <w:bCs w:val="false"/>
          <w:i w:val="false"/>
          <w:iCs w:val="false"/>
          <w:color w:val="1A2332"/>
          <w:sz w:val="22"/>
          <w:szCs w:val="22"/>
        </w:rPr>
        <w:t xml:space="preserve">工单的指派人员是否包含当前操作员</w:t>
      </w:r>
    </w:p>
    <w:p>
      <w:pPr>
        <w:spacing w:after="160" w:line="360"/>
        <w:jc w:val="both"/>
      </w:pPr>
      <w:r>
        <w:rPr>
          <w:rFonts w:ascii="Arial" w:eastAsia="Microsoft YaHei" w:hAnsi="Arial"/>
          <w:b w:val="false"/>
          <w:bCs w:val="false"/>
          <w:i w:val="false"/>
          <w:iCs w:val="false"/>
          <w:color w:val="1A2332"/>
          <w:sz w:val="22"/>
          <w:szCs w:val="22"/>
        </w:rPr>
        <w:t xml:space="preserve">只有通过全部校验的工单才能触发减分。伪造的工单 ID 不仅不减分，反而会作为额外风险信号小幅加分。</w:t>
      </w:r>
    </w:p>
    <w:p>
      <w:r>
        <w:br w:type="page"/>
      </w:r>
    </w:p>
    <w:p>
      <w:pPr>
        <w:pStyle w:val="Heading1"/>
        <w:spacing w:after="240" w:before="360"/>
      </w:pPr>
      <w:r>
        <w:rPr>
          <w:rFonts w:ascii="Arial" w:eastAsia="Microsoft YaHei" w:hAnsi="Arial"/>
          <w:b/>
          <w:bCs/>
          <w:i w:val="false"/>
          <w:iCs w:val="false"/>
          <w:color w:val="054085"/>
          <w:sz w:val="32"/>
          <w:szCs w:val="32"/>
        </w:rPr>
        <w:t xml:space="preserve">6. 模块四：告警与处置模块</w:t>
      </w:r>
    </w:p>
    <w:p>
      <w:pPr>
        <w:pStyle w:val="Heading2"/>
        <w:spacing w:after="200" w:before="300"/>
      </w:pPr>
      <w:r>
        <w:rPr>
          <w:rFonts w:ascii="Arial" w:eastAsia="Microsoft YaHei" w:hAnsi="Arial"/>
          <w:b/>
          <w:bCs/>
          <w:i w:val="false"/>
          <w:iCs w:val="false"/>
          <w:color w:val="0969DA"/>
          <w:sz w:val="28"/>
          <w:szCs w:val="28"/>
        </w:rPr>
        <w:t xml:space="preserve">6.1 告警设计原则</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FECACA" w:sz="6"/>
              <w:left w:val="single" w:color="FECACA" w:sz="24"/>
              <w:bottom w:val="single" w:color="FECACA" w:sz="6"/>
              <w:right w:val="single" w:color="FECACA" w:sz="6"/>
            </w:tcBorders>
            <w:shd w:fill="FEF2F2" w:val="clear"/>
            <w:tcMar>
              <w:top w:type="dxa" w:w="120"/>
              <w:left w:type="dxa" w:w="200"/>
              <w:bottom w:type="dxa" w:w="120"/>
              <w:right w:type="dxa" w:w="200"/>
            </w:tcMar>
          </w:tcPr>
          <w:p>
            <w:pPr>
              <w:spacing w:after="80"/>
            </w:pPr>
            <w:r>
              <w:rPr>
                <w:rFonts w:ascii="Arial" w:eastAsia="Microsoft YaHei" w:hAnsi="Arial"/>
                <w:b/>
                <w:bCs/>
                <w:i w:val="false"/>
                <w:iCs w:val="false"/>
                <w:color w:val="B91C1C"/>
                <w:sz w:val="22"/>
                <w:szCs w:val="22"/>
              </w:rPr>
              <w:t xml:space="preserve">核心原则：不自动阻断</w:t>
            </w:r>
          </w:p>
          <w:p>
            <w:pPr>
              <w:spacing w:after="0" w:line="320"/>
            </w:pPr>
            <w:r>
              <w:rPr>
                <w:rFonts w:ascii="Arial" w:eastAsia="Microsoft YaHei" w:hAnsi="Arial"/>
                <w:b w:val="false"/>
                <w:bCs w:val="false"/>
                <w:i w:val="false"/>
                <w:iCs w:val="false"/>
                <w:color w:val="1A2332"/>
                <w:sz w:val="21"/>
                <w:szCs w:val="21"/>
              </w:rPr>
              <w:t xml:space="preserve">合谋检测系统不得直接自动杀进程、封锁操作员或回滚操作。因为多人协同操作也可能是合法的紧急故障处理，误阻断会造成严重的业务影响。系统的定位是提供疑似告警与完整证据，由安全管理员人工判断后再采取行动。</w:t>
            </w:r>
          </w:p>
        </w:tc>
      </w:tr>
    </w:tbl>
    <w:p>
      <w:pPr>
        <w:pStyle w:val="Heading2"/>
        <w:spacing w:after="200" w:before="300"/>
      </w:pPr>
      <w:r>
        <w:rPr>
          <w:rFonts w:ascii="Arial" w:eastAsia="Microsoft YaHei" w:hAnsi="Arial"/>
          <w:b/>
          <w:bCs/>
          <w:i w:val="false"/>
          <w:iCs w:val="false"/>
          <w:color w:val="0969DA"/>
          <w:sz w:val="28"/>
          <w:szCs w:val="28"/>
        </w:rPr>
        <w:t xml:space="preserve">6.2 告警分级策略</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240"/>
      </w:tblGrid>
      <w:tr>
        <w:trPr>
          <w:cantSplit/>
        </w:trPr>
        <w:tc>
          <w:tcPr>
            <w:tcW w:type="dxa" w:w="1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等级</w:t>
            </w:r>
          </w:p>
        </w:tc>
        <w:tc>
          <w:tcPr>
            <w:tcW w:type="dxa" w:w="26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通知方式</w:t>
            </w:r>
          </w:p>
        </w:tc>
        <w:tc>
          <w:tcPr>
            <w:tcW w:type="dxa" w:w="18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响应时效</w:t>
            </w:r>
          </w:p>
        </w:tc>
        <w:tc>
          <w:tcPr>
            <w:tcW w:type="dxa" w:w="32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处置要求</w:t>
            </w:r>
          </w:p>
        </w:tc>
      </w:tr>
      <w:tr>
        <w:trPr>
          <w:cantSplit/>
        </w:trPr>
        <w:tc>
          <w:tcPr>
            <w:tcW w:type="dxa" w:w="1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高风险</w:t>
            </w:r>
          </w:p>
        </w:tc>
        <w:tc>
          <w:tcPr>
            <w:tcW w:type="dxa" w:w="26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电话 + 短信 + 平台弹窗</w:t>
            </w:r>
          </w:p>
        </w:tc>
        <w:tc>
          <w:tcPr>
            <w:tcW w:type="dxa" w:w="1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15分钟内响应</w:t>
            </w:r>
          </w:p>
        </w:tc>
        <w:tc>
          <w:tcPr>
            <w:tcW w:type="dxa" w:w="3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立即核查证据链，必要时冻结相关账号权限</w:t>
            </w:r>
          </w:p>
        </w:tc>
      </w:tr>
      <w:tr>
        <w:trPr>
          <w:cantSplit/>
        </w:trPr>
        <w:tc>
          <w:tcPr>
            <w:tcW w:type="dxa" w:w="1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中风险</w:t>
            </w:r>
          </w:p>
        </w:tc>
        <w:tc>
          <w:tcPr>
            <w:tcW w:type="dxa" w:w="26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平台告警 + 邮件</w:t>
            </w:r>
          </w:p>
        </w:tc>
        <w:tc>
          <w:tcPr>
            <w:tcW w:type="dxa" w:w="1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4小时内复核</w:t>
            </w:r>
          </w:p>
        </w:tc>
        <w:tc>
          <w:tcPr>
            <w:tcW w:type="dxa" w:w="3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当日内完成人工复核，记录复核结论</w:t>
            </w:r>
          </w:p>
        </w:tc>
      </w:tr>
      <w:tr>
        <w:trPr>
          <w:cantSplit/>
        </w:trPr>
        <w:tc>
          <w:tcPr>
            <w:tcW w:type="dxa" w:w="1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低风险</w:t>
            </w:r>
          </w:p>
        </w:tc>
        <w:tc>
          <w:tcPr>
            <w:tcW w:type="dxa" w:w="26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不主动通知</w:t>
            </w:r>
          </w:p>
        </w:tc>
        <w:tc>
          <w:tcPr>
            <w:tcW w:type="dxa" w:w="1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w:t>
            </w:r>
          </w:p>
        </w:tc>
        <w:tc>
          <w:tcPr>
            <w:tcW w:type="dxa" w:w="3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仅留存事件日志，定期审计时抽检</w:t>
            </w:r>
          </w:p>
        </w:tc>
      </w:tr>
    </w:tbl>
    <w:p>
      <w:pPr>
        <w:spacing w:after="240" w:before="80"/>
        <w:jc w:val="center"/>
      </w:pPr>
      <w:r>
        <w:rPr>
          <w:rFonts w:ascii="Arial" w:eastAsia="Microsoft YaHei" w:hAnsi="Arial"/>
          <w:b w:val="false"/>
          <w:bCs w:val="false"/>
          <w:i/>
          <w:iCs/>
          <w:color w:val="5E7187"/>
          <w:sz w:val="20"/>
          <w:szCs w:val="20"/>
        </w:rPr>
        <w:t xml:space="preserve">表 6-1 告警分级与响应策略</w:t>
      </w:r>
    </w:p>
    <w:p>
      <w:pPr>
        <w:pStyle w:val="Heading2"/>
        <w:spacing w:after="200" w:before="300"/>
      </w:pPr>
      <w:r>
        <w:rPr>
          <w:rFonts w:ascii="Arial" w:eastAsia="Microsoft YaHei" w:hAnsi="Arial"/>
          <w:b/>
          <w:bCs/>
          <w:i w:val="false"/>
          <w:iCs w:val="false"/>
          <w:color w:val="0969DA"/>
          <w:sz w:val="28"/>
          <w:szCs w:val="28"/>
        </w:rPr>
        <w:t xml:space="preserve">6.3 告警内容结构</w:t>
      </w:r>
    </w:p>
    <w:p>
      <w:pPr>
        <w:spacing w:after="160" w:line="360"/>
        <w:jc w:val="both"/>
      </w:pPr>
      <w:r>
        <w:rPr>
          <w:rFonts w:ascii="Arial" w:eastAsia="Microsoft YaHei" w:hAnsi="Arial"/>
          <w:b w:val="false"/>
          <w:bCs w:val="false"/>
          <w:i w:val="false"/>
          <w:iCs w:val="false"/>
          <w:color w:val="1A2332"/>
          <w:sz w:val="22"/>
          <w:szCs w:val="22"/>
        </w:rPr>
        <w:t xml:space="preserve">每条告警必须包含完整的证据链信息，让管理员一眼就能判断风险真实性。</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D3DCE6" w:sz="6"/>
              <w:left w:val="single" w:color="D3DCE6" w:sz="6"/>
              <w:bottom w:val="single" w:color="D3DCE6" w:sz="6"/>
              <w:right w:val="single" w:color="D3DCE6" w:sz="6"/>
            </w:tcBorders>
            <w:shd w:fill="1E293B" w:val="clear"/>
            <w:tcMar>
              <w:top w:type="dxa" w:w="120"/>
              <w:left w:type="dxa" w:w="200"/>
              <w:bottom w:type="dxa" w:w="120"/>
              <w:right w:type="dxa" w:w="200"/>
            </w:tcMar>
          </w:tcPr>
          <w:p>
            <w:pPr>
              <w:spacing w:after="40"/>
            </w:pPr>
            <w:r>
              <w:rPr>
                <w:rFonts w:ascii="Arial" w:eastAsia="Microsoft YaHei" w:hAnsi="Arial"/>
                <w:b w:val="false"/>
                <w:bCs w:val="false"/>
                <w:i w:val="false"/>
                <w:iCs w:val="false"/>
                <w:color w:val="E2E8F0"/>
                <w:sz w:val="18"/>
                <w:szCs w:val="18"/>
              </w:rPr>
              <w:t xml:space="preserve">"alert_id": "alert_20260920_001",</w:t>
            </w:r>
          </w:p>
          <w:p>
            <w:pPr>
              <w:spacing w:after="40"/>
            </w:pPr>
            <w:r>
              <w:rPr>
                <w:rFonts w:ascii="Arial" w:eastAsia="Microsoft YaHei" w:hAnsi="Arial"/>
                <w:b w:val="false"/>
                <w:bCs w:val="false"/>
                <w:i w:val="false"/>
                <w:iCs w:val="false"/>
                <w:color w:val="E2E8F0"/>
                <w:sz w:val="18"/>
                <w:szCs w:val="18"/>
              </w:rPr>
              <w:t xml:space="preserve">"risk_level": "HIGH",</w:t>
            </w:r>
          </w:p>
          <w:p>
            <w:pPr>
              <w:spacing w:after="40"/>
            </w:pPr>
            <w:r>
              <w:rPr>
                <w:rFonts w:ascii="Arial" w:eastAsia="Microsoft YaHei" w:hAnsi="Arial"/>
                <w:b w:val="false"/>
                <w:bCs w:val="false"/>
                <w:i w:val="false"/>
                <w:iCs w:val="false"/>
                <w:color w:val="E2E8F0"/>
                <w:sz w:val="18"/>
                <w:szCs w:val="18"/>
              </w:rPr>
              <w:t xml:space="preserve">"risk_score": 88,</w:t>
            </w:r>
          </w:p>
          <w:p>
            <w:pPr>
              <w:spacing w:after="40"/>
            </w:pPr>
            <w:r>
              <w:rPr>
                <w:rFonts w:ascii="Arial" w:eastAsia="Microsoft YaHei" w:hAnsi="Arial"/>
                <w:b w:val="false"/>
                <w:bCs w:val="false"/>
                <w:i w:val="false"/>
                <w:iCs w:val="false"/>
                <w:color w:val="E2E8F0"/>
                <w:sz w:val="18"/>
                <w:szCs w:val="18"/>
              </w:rPr>
              <w:t xml:space="preserve">"matched_rules": ["R-001_backup_destruction"],</w:t>
            </w:r>
          </w:p>
          <w:p>
            <w:pPr>
              <w:spacing w:after="40"/>
            </w:pPr>
            <w:r>
              <w:rPr>
                <w:rFonts w:ascii="Arial" w:eastAsia="Microsoft YaHei" w:hAnsi="Arial"/>
                <w:b w:val="false"/>
                <w:bCs w:val="false"/>
                <w:i w:val="false"/>
                <w:iCs w:val="false"/>
                <w:color w:val="E2E8F0"/>
                <w:sz w:val="18"/>
                <w:szCs w:val="18"/>
              </w:rPr>
              <w:t xml:space="preserve">"operators": ["op_A", "op_B", "op_C"],</w:t>
            </w:r>
          </w:p>
          <w:p>
            <w:pPr>
              <w:spacing w:after="40"/>
            </w:pPr>
            <w:r>
              <w:rPr>
                <w:rFonts w:ascii="Arial" w:eastAsia="Microsoft YaHei" w:hAnsi="Arial"/>
                <w:b w:val="false"/>
                <w:bCs w:val="false"/>
                <w:i w:val="false"/>
                <w:iCs w:val="false"/>
                <w:color w:val="E2E8F0"/>
                <w:sz w:val="18"/>
                <w:szCs w:val="18"/>
              </w:rPr>
              <w:t xml:space="preserve">"asset_group": "backup-group:prod-db",</w:t>
            </w:r>
          </w:p>
          <w:p>
            <w:pPr>
              <w:spacing w:after="40"/>
            </w:pPr>
            <w:r>
              <w:rPr>
                <w:rFonts w:ascii="Arial" w:eastAsia="Microsoft YaHei" w:hAnsi="Arial"/>
                <w:b w:val="false"/>
                <w:bCs w:val="false"/>
                <w:i w:val="false"/>
                <w:iCs w:val="false"/>
                <w:color w:val="E2E8F0"/>
                <w:sz w:val="18"/>
                <w:szCs w:val="18"/>
              </w:rPr>
              <w:t xml:space="preserve">"time_window": "2026-09-20 10:00-10:05",</w:t>
            </w:r>
          </w:p>
          <w:p>
            <w:pPr>
              <w:spacing w:after="40"/>
            </w:pPr>
            <w:r>
              <w:rPr>
                <w:rFonts w:ascii="Arial" w:eastAsia="Microsoft YaHei" w:hAnsi="Arial"/>
                <w:b w:val="false"/>
                <w:bCs w:val="false"/>
                <w:i w:val="false"/>
                <w:iCs w:val="false"/>
                <w:color w:val="E2E8F0"/>
                <w:sz w:val="18"/>
                <w:szCs w:val="18"/>
              </w:rPr>
              <w:t xml:space="preserve">"evidence_timeline": [ ...完整操作时间线... ],</w:t>
            </w:r>
          </w:p>
          <w:p>
            <w:pPr>
              <w:spacing w:after="40"/>
            </w:pPr>
            <w:r>
              <w:rPr>
                <w:rFonts w:ascii="Arial" w:eastAsia="Microsoft YaHei" w:hAnsi="Arial"/>
                <w:b w:val="false"/>
                <w:bCs w:val="false"/>
                <w:i w:val="false"/>
                <w:iCs w:val="false"/>
                <w:color w:val="E2E8F0"/>
                <w:sz w:val="18"/>
                <w:szCs w:val="18"/>
              </w:rPr>
              <w:t xml:space="preserve">"ticket_validation": "无关联工单",</w:t>
            </w:r>
          </w:p>
          <w:p>
            <w:pPr>
              <w:spacing w:after="0"/>
            </w:pPr>
            <w:r>
              <w:rPr>
                <w:rFonts w:ascii="Arial" w:eastAsia="Microsoft YaHei" w:hAnsi="Arial"/>
                <w:b w:val="false"/>
                <w:bCs w:val="false"/>
                <w:i w:val="false"/>
                <w:iCs w:val="false"/>
                <w:color w:val="E2E8F0"/>
                <w:sz w:val="18"/>
                <w:szCs w:val="18"/>
              </w:rPr>
              <w:t xml:space="preserve">"recommendation": "建议立即核查..."</w:t>
            </w:r>
          </w:p>
        </w:tc>
      </w:tr>
    </w:tbl>
    <w:p>
      <w:pPr>
        <w:pStyle w:val="Heading2"/>
        <w:spacing w:after="200" w:before="300"/>
      </w:pPr>
      <w:r>
        <w:rPr>
          <w:rFonts w:ascii="Arial" w:eastAsia="Microsoft YaHei" w:hAnsi="Arial"/>
          <w:b/>
          <w:bCs/>
          <w:i w:val="false"/>
          <w:iCs w:val="false"/>
          <w:color w:val="0969DA"/>
          <w:sz w:val="28"/>
          <w:szCs w:val="28"/>
        </w:rPr>
        <w:t xml:space="preserve">6.4 白名单机制</w:t>
      </w:r>
    </w:p>
    <w:p>
      <w:pPr>
        <w:spacing w:after="160" w:line="360"/>
        <w:jc w:val="both"/>
      </w:pPr>
      <w:r>
        <w:rPr>
          <w:rFonts w:ascii="Arial" w:eastAsia="Microsoft YaHei" w:hAnsi="Arial"/>
          <w:b w:val="false"/>
          <w:bCs w:val="false"/>
          <w:i w:val="false"/>
          <w:iCs w:val="false"/>
          <w:color w:val="1A2332"/>
          <w:sz w:val="22"/>
          <w:szCs w:val="22"/>
        </w:rPr>
        <w:t xml:space="preserve">白名单用于预先登记已知的合法协同场景，避免重复误报。支持以下几种白名单类型：</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固定协同组白名单：</w:t>
      </w:r>
      <w:r>
        <w:rPr>
          <w:rFonts w:ascii="Arial" w:eastAsia="Microsoft YaHei" w:hAnsi="Arial"/>
          <w:b w:val="false"/>
          <w:bCs w:val="false"/>
          <w:i w:val="false"/>
          <w:iCs w:val="false"/>
          <w:color w:val="1A2332"/>
          <w:sz w:val="24"/>
          <w:szCs w:val="24"/>
        </w:rPr>
        <w:t xml:space="preserve">长期配合的运维团队，登记后其协同操作不触发告警。</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临时工单白名单：</w:t>
      </w:r>
      <w:r>
        <w:rPr>
          <w:rFonts w:ascii="Arial" w:eastAsia="Microsoft YaHei" w:hAnsi="Arial"/>
          <w:b w:val="false"/>
          <w:bCs w:val="false"/>
          <w:i w:val="false"/>
          <w:iCs w:val="false"/>
          <w:color w:val="1A2332"/>
          <w:sz w:val="24"/>
          <w:szCs w:val="24"/>
        </w:rPr>
        <w:t xml:space="preserve">特定工单关联的多人操作，在工单有效期内豁免告警。</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应急运维模式：</w:t>
      </w:r>
      <w:r>
        <w:rPr>
          <w:rFonts w:ascii="Arial" w:eastAsia="Microsoft YaHei" w:hAnsi="Arial"/>
          <w:b w:val="false"/>
          <w:bCs w:val="false"/>
          <w:i w:val="false"/>
          <w:iCs w:val="false"/>
          <w:color w:val="1A2332"/>
          <w:sz w:val="24"/>
          <w:szCs w:val="24"/>
        </w:rPr>
        <w:t xml:space="preserve">管理员可手动开启全局应急模式，在指定时间段内抑制部分告警。</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已知维护窗口：</w:t>
      </w:r>
      <w:r>
        <w:rPr>
          <w:rFonts w:ascii="Arial" w:eastAsia="Microsoft YaHei" w:hAnsi="Arial"/>
          <w:b w:val="false"/>
          <w:bCs w:val="false"/>
          <w:i w:val="false"/>
          <w:iCs w:val="false"/>
          <w:color w:val="1A2332"/>
          <w:sz w:val="24"/>
          <w:szCs w:val="24"/>
        </w:rPr>
        <w:t xml:space="preserve">预定义的系统维护时段内，相关资源的协同操作降权处理。</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FDE68A" w:sz="6"/>
              <w:left w:val="single" w:color="FDE68A" w:sz="24"/>
              <w:bottom w:val="single" w:color="FDE68A" w:sz="6"/>
              <w:right w:val="single" w:color="FDE68A" w:sz="6"/>
            </w:tcBorders>
            <w:shd w:fill="FFFBEB" w:val="clear"/>
            <w:tcMar>
              <w:top w:type="dxa" w:w="120"/>
              <w:left w:type="dxa" w:w="200"/>
              <w:bottom w:type="dxa" w:w="120"/>
              <w:right w:type="dxa" w:w="200"/>
            </w:tcMar>
          </w:tcPr>
          <w:p>
            <w:pPr>
              <w:spacing w:after="80"/>
            </w:pPr>
            <w:r>
              <w:rPr>
                <w:rFonts w:ascii="Arial" w:eastAsia="Microsoft YaHei" w:hAnsi="Arial"/>
                <w:b/>
                <w:bCs/>
                <w:i w:val="false"/>
                <w:iCs w:val="false"/>
                <w:color w:val="B45309"/>
                <w:sz w:val="22"/>
                <w:szCs w:val="22"/>
              </w:rPr>
              <w:t xml:space="preserve">白名单管理要求</w:t>
            </w:r>
          </w:p>
          <w:p>
            <w:pPr>
              <w:spacing w:after="0" w:line="320"/>
            </w:pPr>
            <w:r>
              <w:rPr>
                <w:rFonts w:ascii="Arial" w:eastAsia="Microsoft YaHei" w:hAnsi="Arial"/>
                <w:b w:val="false"/>
                <w:bCs w:val="false"/>
                <w:i w:val="false"/>
                <w:iCs w:val="false"/>
                <w:color w:val="1A2332"/>
                <w:sz w:val="21"/>
                <w:szCs w:val="21"/>
              </w:rPr>
              <w:t xml:space="preserve">白名单配置必须遵循最小权限原则，设置有效期，定期审计清理。白名单本身的变更操作需要纳入审计，防止攻击者通过篡改白名单来绕过检测。</w:t>
            </w:r>
          </w:p>
        </w:tc>
      </w:tr>
    </w:tbl>
    <w:p>
      <w:r>
        <w:br w:type="page"/>
      </w:r>
    </w:p>
    <w:p>
      <w:pPr>
        <w:pStyle w:val="Heading1"/>
        <w:spacing w:after="240" w:before="360"/>
      </w:pPr>
      <w:r>
        <w:rPr>
          <w:rFonts w:ascii="Arial" w:eastAsia="Microsoft YaHei" w:hAnsi="Arial"/>
          <w:b/>
          <w:bCs/>
          <w:i w:val="false"/>
          <w:iCs w:val="false"/>
          <w:color w:val="054085"/>
          <w:sz w:val="32"/>
          <w:szCs w:val="32"/>
        </w:rPr>
        <w:t xml:space="preserve">7. 核心检测规则设计</w:t>
      </w:r>
    </w:p>
    <w:p>
      <w:pPr>
        <w:spacing w:after="160" w:line="360"/>
        <w:jc w:val="both"/>
      </w:pPr>
      <w:r>
        <w:rPr>
          <w:rFonts w:ascii="Arial" w:eastAsia="Microsoft YaHei" w:hAnsi="Arial"/>
          <w:b w:val="false"/>
          <w:bCs w:val="false"/>
          <w:i w:val="false"/>
          <w:iCs w:val="false"/>
          <w:color w:val="1A2332"/>
          <w:sz w:val="22"/>
          <w:szCs w:val="22"/>
        </w:rPr>
        <w:t xml:space="preserve">本章选取三条最具代表性的规则进行详细设计，展示规则的完整结构与判定逻辑。所有规则遵循统一的格式规范，支持配置化扩展。</w:t>
      </w:r>
    </w:p>
    <w:p>
      <w:pPr>
        <w:pStyle w:val="Heading2"/>
        <w:spacing w:after="200" w:before="300"/>
      </w:pPr>
      <w:r>
        <w:rPr>
          <w:rFonts w:ascii="Arial" w:eastAsia="Microsoft YaHei" w:hAnsi="Arial"/>
          <w:b/>
          <w:bCs/>
          <w:i w:val="false"/>
          <w:iCs w:val="false"/>
          <w:color w:val="0969DA"/>
          <w:sz w:val="28"/>
          <w:szCs w:val="28"/>
        </w:rPr>
        <w:t xml:space="preserve">7.1 规则 R-001：备份销毁合谋</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rPr>
          <w:cantSplit/>
        </w:trPr>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属性</w:t>
            </w:r>
          </w:p>
        </w:tc>
        <w:tc>
          <w:tcPr>
            <w:tcW w:type="dxa" w:w="66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值</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规则名称</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备份销毁合谋攻击检测</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规则编号</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R-001</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风险等级</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高</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基础分值</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85 分</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目标资产组</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备份资产组（backup-group）</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时间窗口</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默认 5 分钟，可调</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触发条件</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 窗口内涉及 ≥2 个不同操作员
2. 操作集合覆盖以下三类动作的完整链路：
   • 备份数据删除（delete_backup/remove_backup）
   • 存储介质卸载/取消挂载（umount/detach/disable_mount）
   • 快照清理（delete_snapshot/remove_snapshot）
3. 操作结果：目标备份不可恢复</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评分修正</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 每多1名操作员 +5分
• 操作时序严格按 删除→卸载→清快照 执行 +10分
• 仅命中部分动作（缺一类）-15分</w:t>
            </w:r>
          </w:p>
        </w:tc>
      </w:tr>
    </w:tbl>
    <w:p>
      <w:pPr>
        <w:pStyle w:val="Heading2"/>
        <w:spacing w:after="200" w:before="300"/>
      </w:pPr>
      <w:r>
        <w:rPr>
          <w:rFonts w:ascii="Arial" w:eastAsia="Microsoft YaHei" w:hAnsi="Arial"/>
          <w:b/>
          <w:bCs/>
          <w:i w:val="false"/>
          <w:iCs w:val="false"/>
          <w:color w:val="0969DA"/>
          <w:sz w:val="28"/>
          <w:szCs w:val="28"/>
        </w:rPr>
        <w:t xml:space="preserve">7.2 规则 R-002：密钥权限拆分绕过</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rPr>
          <w:cantSplit/>
        </w:trPr>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属性</w:t>
            </w:r>
          </w:p>
        </w:tc>
        <w:tc>
          <w:tcPr>
            <w:tcW w:type="dxa" w:w="66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值</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规则名称</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密钥管理权限拆分绕过检测</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规则编号</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R-002</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风险等级</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高</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基础分值</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80 分</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目标资产组</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密钥管理组（key-mgmt-group）</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时间窗口</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默认 15 分钟，可调</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触发条件</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 窗口内涉及 3 个不同操作员，分别对应三种权限角色
2. 操作序列完整覆盖密钥篡改链路：
   • 角色A：生成/导入新密钥（key_gen / key_import）
   • 角色B：分发/激活密钥（key_distribute / key_activate）
   • 角色C：清除密钥操作审计日志（clear_audit / log_purge）
3. 三人操作针对同一密钥域/密钥ID</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设计原理</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利用权限拆分设计的盲区：系统设计时将密钥管理拆分为多角色以实现分权制衡，但合谋时三人各走一步即可绕过分权。单人审计无法发现，因为每一步都在各自权限内。</w:t>
            </w:r>
          </w:p>
        </w:tc>
      </w:tr>
    </w:tbl>
    <w:p>
      <w:pPr>
        <w:pStyle w:val="Heading2"/>
        <w:spacing w:after="200" w:before="300"/>
      </w:pPr>
      <w:r>
        <w:rPr>
          <w:rFonts w:ascii="Arial" w:eastAsia="Microsoft YaHei" w:hAnsi="Arial"/>
          <w:b/>
          <w:bCs/>
          <w:i w:val="false"/>
          <w:iCs w:val="false"/>
          <w:color w:val="0969DA"/>
          <w:sz w:val="28"/>
          <w:szCs w:val="28"/>
        </w:rPr>
        <w:t xml:space="preserve">7.3 规则 R-003：配置篡改链路</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rPr>
          <w:cantSplit/>
        </w:trPr>
        <w:tc>
          <w:tcPr>
            <w:tcW w:type="dxa" w:w="24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属性</w:t>
            </w:r>
          </w:p>
        </w:tc>
        <w:tc>
          <w:tcPr>
            <w:tcW w:type="dxa" w:w="66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值</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规则名称</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配置篡改 + 服务重启 + 日志清除链路检测</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规则编号</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R-003</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风险等级</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中</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基础分值</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70 分</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目标资产组</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系统配置组（system-config-group）</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时间窗口</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默认 30 分钟，可调</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触发条件</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1. ≥2 个不同操作员
2. 操作序列：
   • 修改核心配置文件（modify_config / edit_conf）
   • 重启相关服务（restart_service / reload）
   • 清空/裁剪系统日志（clear_logs / log_rotate_force）
3. 三者分开均为合法权限，但串联完成有篡改灭迹嫌疑</w:t>
            </w:r>
          </w:p>
        </w:tc>
      </w:tr>
      <w:tr>
        <w:trPr>
          <w:cantSplit/>
        </w:trPr>
        <w:tc>
          <w:tcPr>
            <w:tcW w:type="dxa" w:w="24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评分修正</w:t>
            </w:r>
          </w:p>
        </w:tc>
        <w:tc>
          <w:tcPr>
            <w:tcW w:type="dxa" w:w="66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 配置修改涉及安全/认证相关配置 +10分
• 日志清除紧跟在配置修改和重启之后 +8分
• 有有效变更工单 -25分</w:t>
            </w:r>
          </w:p>
        </w:tc>
      </w:tr>
    </w:tbl>
    <w:p>
      <w:r>
        <w:br w:type="page"/>
      </w:r>
    </w:p>
    <w:p>
      <w:pPr>
        <w:pStyle w:val="Heading1"/>
        <w:spacing w:after="240" w:before="360"/>
      </w:pPr>
      <w:r>
        <w:rPr>
          <w:rFonts w:ascii="Arial" w:eastAsia="Microsoft YaHei" w:hAnsi="Arial"/>
          <w:b/>
          <w:bCs/>
          <w:i w:val="false"/>
          <w:iCs w:val="false"/>
          <w:color w:val="054085"/>
          <w:sz w:val="32"/>
          <w:szCs w:val="32"/>
        </w:rPr>
        <w:t xml:space="preserve">8. 技术选型与部署方案</w:t>
      </w:r>
    </w:p>
    <w:p>
      <w:pPr>
        <w:pStyle w:val="Heading2"/>
        <w:spacing w:after="200" w:before="300"/>
      </w:pPr>
      <w:r>
        <w:rPr>
          <w:rFonts w:ascii="Arial" w:eastAsia="Microsoft YaHei" w:hAnsi="Arial"/>
          <w:b/>
          <w:bCs/>
          <w:i w:val="false"/>
          <w:iCs w:val="false"/>
          <w:color w:val="0969DA"/>
          <w:sz w:val="28"/>
          <w:szCs w:val="28"/>
        </w:rPr>
        <w:t xml:space="preserve">8.1 技术栈选型</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40"/>
      </w:tblGrid>
      <w:tr>
        <w:trPr>
          <w:cantSplit/>
        </w:trPr>
        <w:tc>
          <w:tcPr>
            <w:tcW w:type="dxa" w:w="18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模块</w:t>
            </w:r>
          </w:p>
        </w:tc>
        <w:tc>
          <w:tcPr>
            <w:tcW w:type="dxa" w:w="28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技术选型</w:t>
            </w:r>
          </w:p>
        </w:tc>
        <w:tc>
          <w:tcPr>
            <w:tcW w:type="dxa" w:w="44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选型理由</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日志接入</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Kafka / Pulsar</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高吞吐消息队列，支持与现有集中日志系统解耦</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时序聚合</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Flink / Spark Streaming</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流处理引擎，原生支持窗口聚合、状态管理</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规则引擎</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Drools / 自研 DSL</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灵活的规则配置能力，支持复杂条件组合与时序匹配</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画像存储</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Redis + Elasticsearch</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Redis 存实时画像，ES 存历史操作记录用于回溯分析</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风险评分</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Python / Java 服务</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轻量计算服务，支持评分模型迭代与A/B测试</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告警服务</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自研告警网关</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支持多渠道通知、告警收敛、升级策略</w:t>
            </w:r>
          </w:p>
        </w:tc>
      </w:tr>
      <w:tr>
        <w:trPr>
          <w:cantSplit/>
        </w:trPr>
        <w:tc>
          <w:tcPr>
            <w:tcW w:type="dxa" w:w="18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数据存储</w:t>
            </w:r>
          </w:p>
        </w:tc>
        <w:tc>
          <w:tcPr>
            <w:tcW w:type="dxa" w:w="28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ClickHouse / MySQL</w:t>
            </w:r>
          </w:p>
        </w:tc>
        <w:tc>
          <w:tcPr>
            <w:tcW w:type="dxa" w:w="44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ClickHouse 存事件明细，MySQL 存规则配置与告警记录</w:t>
            </w:r>
          </w:p>
        </w:tc>
      </w:tr>
    </w:tbl>
    <w:p>
      <w:pPr>
        <w:spacing w:after="240" w:before="80"/>
        <w:jc w:val="center"/>
      </w:pPr>
      <w:r>
        <w:rPr>
          <w:rFonts w:ascii="Arial" w:eastAsia="Microsoft YaHei" w:hAnsi="Arial"/>
          <w:b w:val="false"/>
          <w:bCs w:val="false"/>
          <w:i/>
          <w:iCs/>
          <w:color w:val="5E7187"/>
          <w:sz w:val="20"/>
          <w:szCs w:val="20"/>
        </w:rPr>
        <w:t xml:space="preserve">表 8-1 技术选型一览</w:t>
      </w:r>
    </w:p>
    <w:p>
      <w:pPr>
        <w:pStyle w:val="Heading2"/>
        <w:spacing w:after="200" w:before="300"/>
      </w:pPr>
      <w:r>
        <w:rPr>
          <w:rFonts w:ascii="Arial" w:eastAsia="Microsoft YaHei" w:hAnsi="Arial"/>
          <w:b/>
          <w:bCs/>
          <w:i w:val="false"/>
          <w:iCs w:val="false"/>
          <w:color w:val="0969DA"/>
          <w:sz w:val="28"/>
          <w:szCs w:val="28"/>
        </w:rPr>
        <w:t xml:space="preserve">8.2 部署架构</w:t>
      </w:r>
    </w:p>
    <w:p>
      <w:pPr>
        <w:spacing w:after="160" w:line="360"/>
        <w:jc w:val="both"/>
      </w:pPr>
      <w:r>
        <w:rPr>
          <w:rFonts w:ascii="Arial" w:eastAsia="Microsoft YaHei" w:hAnsi="Arial"/>
          <w:b w:val="false"/>
          <w:bCs w:val="false"/>
          <w:i w:val="false"/>
          <w:iCs w:val="false"/>
          <w:color w:val="1A2332"/>
          <w:sz w:val="22"/>
          <w:szCs w:val="22"/>
        </w:rPr>
        <w:t xml:space="preserve">系统采用五层架构部署：</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日志接入层：</w:t>
      </w:r>
      <w:r>
        <w:rPr>
          <w:rFonts w:ascii="Arial" w:eastAsia="Microsoft YaHei" w:hAnsi="Arial"/>
          <w:b w:val="false"/>
          <w:bCs w:val="false"/>
          <w:i w:val="false"/>
          <w:iCs w:val="false"/>
          <w:color w:val="1A2332"/>
          <w:sz w:val="24"/>
          <w:szCs w:val="24"/>
        </w:rPr>
        <w:t xml:space="preserve">Kafka 消息队列，消费集中审计日志。</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流计算层：</w:t>
      </w:r>
      <w:r>
        <w:rPr>
          <w:rFonts w:ascii="Arial" w:eastAsia="Microsoft YaHei" w:hAnsi="Arial"/>
          <w:b w:val="false"/>
          <w:bCs w:val="false"/>
          <w:i w:val="false"/>
          <w:iCs w:val="false"/>
          <w:color w:val="1A2332"/>
          <w:sz w:val="24"/>
          <w:szCs w:val="24"/>
        </w:rPr>
        <w:t xml:space="preserve">Flink 作业集群，负责时序聚合和规则匹配。</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服务层：</w:t>
      </w:r>
      <w:r>
        <w:rPr>
          <w:rFonts w:ascii="Arial" w:eastAsia="Microsoft YaHei" w:hAnsi="Arial"/>
          <w:b w:val="false"/>
          <w:bCs w:val="false"/>
          <w:i w:val="false"/>
          <w:iCs w:val="false"/>
          <w:color w:val="1A2332"/>
          <w:sz w:val="24"/>
          <w:szCs w:val="24"/>
        </w:rPr>
        <w:t xml:space="preserve">风险评分服务、画像服务（Redis 缓存）、规则管理服务。</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存储层：</w:t>
      </w:r>
      <w:r>
        <w:rPr>
          <w:rFonts w:ascii="Arial" w:eastAsia="Microsoft YaHei" w:hAnsi="Arial"/>
          <w:b w:val="false"/>
          <w:bCs w:val="false"/>
          <w:i w:val="false"/>
          <w:iCs w:val="false"/>
          <w:color w:val="1A2332"/>
          <w:sz w:val="24"/>
          <w:szCs w:val="24"/>
        </w:rPr>
        <w:t xml:space="preserve">ClickHouse（事件明细）、MySQL（规则/告警/配置）、Elasticsearch（历史操作检索）。</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应用层：</w:t>
      </w:r>
      <w:r>
        <w:rPr>
          <w:rFonts w:ascii="Arial" w:eastAsia="Microsoft YaHei" w:hAnsi="Arial"/>
          <w:b w:val="false"/>
          <w:bCs w:val="false"/>
          <w:i w:val="false"/>
          <w:iCs w:val="false"/>
          <w:color w:val="1A2332"/>
          <w:sz w:val="24"/>
          <w:szCs w:val="24"/>
        </w:rPr>
        <w:t xml:space="preserve">告警网关（多渠道通知）、运营控制台（事件查询/复核/配置）。</w:t>
      </w:r>
    </w:p>
    <w:p>
      <w:pPr>
        <w:pStyle w:val="Heading2"/>
        <w:spacing w:after="200" w:before="300"/>
      </w:pPr>
      <w:r>
        <w:rPr>
          <w:rFonts w:ascii="Arial" w:eastAsia="Microsoft YaHei" w:hAnsi="Arial"/>
          <w:b/>
          <w:bCs/>
          <w:i w:val="false"/>
          <w:iCs w:val="false"/>
          <w:color w:val="0969DA"/>
          <w:sz w:val="28"/>
          <w:szCs w:val="28"/>
        </w:rPr>
        <w:t xml:space="preserve">8.3 性能与容量估算</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60"/>
      </w:tblGrid>
      <w:tr>
        <w:trPr>
          <w:cantSplit/>
        </w:trPr>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日志吞吐</w:t>
            </w:r>
          </w:p>
          <w:p>
            <w:pPr>
              <w:spacing w:after="60"/>
            </w:pPr>
            <w:r>
              <w:rPr>
                <w:rFonts w:ascii="Arial" w:eastAsia="Microsoft YaHei" w:hAnsi="Arial"/>
                <w:b/>
                <w:bCs/>
                <w:i w:val="false"/>
                <w:iCs w:val="false"/>
                <w:color w:val="0969DA"/>
                <w:sz w:val="28"/>
                <w:szCs w:val="28"/>
              </w:rPr>
              <w:t xml:space="preserve">10K/s</w:t>
            </w:r>
          </w:p>
          <w:p>
            <w:pPr>
              <w:spacing w:after="0"/>
            </w:pPr>
            <w:r>
              <w:rPr>
                <w:rFonts w:ascii="Arial" w:eastAsia="Microsoft YaHei" w:hAnsi="Arial"/>
                <w:b w:val="false"/>
                <w:bCs w:val="false"/>
                <w:i w:val="false"/>
                <w:iCs w:val="false"/>
                <w:color w:val="5E7187"/>
                <w:sz w:val="18"/>
                <w:szCs w:val="18"/>
              </w:rPr>
              <w:t xml:space="preserve">峰值处理能力</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检测延迟</w:t>
            </w:r>
          </w:p>
          <w:p>
            <w:pPr>
              <w:spacing w:after="60"/>
            </w:pPr>
            <w:r>
              <w:rPr>
                <w:rFonts w:ascii="Arial" w:eastAsia="Microsoft YaHei" w:hAnsi="Arial"/>
                <w:b/>
                <w:bCs/>
                <w:i w:val="false"/>
                <w:iCs w:val="false"/>
                <w:color w:val="0969DA"/>
                <w:sz w:val="28"/>
                <w:szCs w:val="28"/>
              </w:rPr>
              <w:t xml:space="preserve">&lt; 30s</w:t>
            </w:r>
          </w:p>
          <w:p>
            <w:pPr>
              <w:spacing w:after="0"/>
            </w:pPr>
            <w:r>
              <w:rPr>
                <w:rFonts w:ascii="Arial" w:eastAsia="Microsoft YaHei" w:hAnsi="Arial"/>
                <w:b w:val="false"/>
                <w:bCs w:val="false"/>
                <w:i w:val="false"/>
                <w:iCs w:val="false"/>
                <w:color w:val="5E7187"/>
                <w:sz w:val="18"/>
                <w:szCs w:val="18"/>
              </w:rPr>
              <w:t xml:space="preserve">从日志产生到告警输出</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窗口数量</w:t>
            </w:r>
          </w:p>
          <w:p>
            <w:pPr>
              <w:spacing w:after="60"/>
            </w:pPr>
            <w:r>
              <w:rPr>
                <w:rFonts w:ascii="Arial" w:eastAsia="Microsoft YaHei" w:hAnsi="Arial"/>
                <w:b/>
                <w:bCs/>
                <w:i w:val="false"/>
                <w:iCs w:val="false"/>
                <w:color w:val="0969DA"/>
                <w:sz w:val="28"/>
                <w:szCs w:val="28"/>
              </w:rPr>
              <w:t xml:space="preserve">3档</w:t>
            </w:r>
          </w:p>
          <w:p>
            <w:pPr>
              <w:spacing w:after="0"/>
            </w:pPr>
            <w:r>
              <w:rPr>
                <w:rFonts w:ascii="Arial" w:eastAsia="Microsoft YaHei" w:hAnsi="Arial"/>
                <w:b w:val="false"/>
                <w:bCs w:val="false"/>
                <w:i w:val="false"/>
                <w:iCs w:val="false"/>
                <w:color w:val="5E7187"/>
                <w:sz w:val="18"/>
                <w:szCs w:val="18"/>
              </w:rPr>
              <w:t xml:space="preserve">5m / 1h / 24h 并行</w:t>
            </w:r>
          </w:p>
        </w:tc>
        <w:tc>
          <w:tcPr>
            <w:tcW w:type="dxa" w:w="226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60"/>
            </w:pPr>
            <w:r>
              <w:rPr>
                <w:rFonts w:ascii="Arial" w:eastAsia="Microsoft YaHei" w:hAnsi="Arial"/>
                <w:b w:val="false"/>
                <w:bCs w:val="false"/>
                <w:i w:val="false"/>
                <w:iCs w:val="false"/>
                <w:color w:val="5E7187"/>
                <w:sz w:val="20"/>
                <w:szCs w:val="20"/>
              </w:rPr>
              <w:t xml:space="preserve">高可用</w:t>
            </w:r>
          </w:p>
          <w:p>
            <w:pPr>
              <w:spacing w:after="60"/>
            </w:pPr>
            <w:r>
              <w:rPr>
                <w:rFonts w:ascii="Arial" w:eastAsia="Microsoft YaHei" w:hAnsi="Arial"/>
                <w:b/>
                <w:bCs/>
                <w:i w:val="false"/>
                <w:iCs w:val="false"/>
                <w:color w:val="0969DA"/>
                <w:sz w:val="28"/>
                <w:szCs w:val="28"/>
              </w:rPr>
              <w:t xml:space="preserve">99.9%</w:t>
            </w:r>
          </w:p>
          <w:p>
            <w:pPr>
              <w:spacing w:after="0"/>
            </w:pPr>
            <w:r>
              <w:rPr>
                <w:rFonts w:ascii="Arial" w:eastAsia="Microsoft YaHei" w:hAnsi="Arial"/>
                <w:b w:val="false"/>
                <w:bCs w:val="false"/>
                <w:i w:val="false"/>
                <w:iCs w:val="false"/>
                <w:color w:val="5E7187"/>
                <w:sz w:val="18"/>
                <w:szCs w:val="18"/>
              </w:rPr>
              <w:t xml:space="preserve">计算层多副本部署</w:t>
            </w:r>
          </w:p>
        </w:tc>
      </w:tr>
    </w:tbl>
    <w:p>
      <w:pPr>
        <w:pStyle w:val="Heading2"/>
        <w:spacing w:after="200" w:before="300"/>
      </w:pPr>
      <w:r>
        <w:rPr>
          <w:rFonts w:ascii="Arial" w:eastAsia="Microsoft YaHei" w:hAnsi="Arial"/>
          <w:b/>
          <w:bCs/>
          <w:i w:val="false"/>
          <w:iCs w:val="false"/>
          <w:color w:val="0969DA"/>
          <w:sz w:val="28"/>
          <w:szCs w:val="28"/>
        </w:rPr>
        <w:t xml:space="preserve">8.4 与现有系统的集成</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日志接入：</w:t>
      </w:r>
      <w:r>
        <w:rPr>
          <w:rFonts w:ascii="Arial" w:eastAsia="Microsoft YaHei" w:hAnsi="Arial"/>
          <w:b w:val="false"/>
          <w:bCs w:val="false"/>
          <w:i w:val="false"/>
          <w:iCs w:val="false"/>
          <w:color w:val="1A2332"/>
          <w:sz w:val="24"/>
          <w:szCs w:val="24"/>
        </w:rPr>
        <w:t xml:space="preserve">以消费者身份订阅现有集中审计日志的 Kafka Topic，不影响原有链路。</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工单校验：</w:t>
      </w:r>
      <w:r>
        <w:rPr>
          <w:rFonts w:ascii="Arial" w:eastAsia="Microsoft YaHei" w:hAnsi="Arial"/>
          <w:b w:val="false"/>
          <w:bCs w:val="false"/>
          <w:i w:val="false"/>
          <w:iCs w:val="false"/>
          <w:color w:val="1A2332"/>
          <w:sz w:val="24"/>
          <w:szCs w:val="24"/>
        </w:rPr>
        <w:t xml:space="preserve">通过 REST API 对接现有工单系统，只读查询，不写入。</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告警通道：</w:t>
      </w:r>
      <w:r>
        <w:rPr>
          <w:rFonts w:ascii="Arial" w:eastAsia="Microsoft YaHei" w:hAnsi="Arial"/>
          <w:b w:val="false"/>
          <w:bCs w:val="false"/>
          <w:i w:val="false"/>
          <w:iCs w:val="false"/>
          <w:color w:val="1A2332"/>
          <w:sz w:val="24"/>
          <w:szCs w:val="24"/>
        </w:rPr>
        <w:t xml:space="preserve">复用现有安全运营平台的告警渠道与通知机制。</w:t>
      </w:r>
    </w:p>
    <w:p>
      <w:pPr>
        <w:pStyle w:val="ListParagraph"/>
        <w:numPr>
          <w:ilvl w:val="0"/>
          <w:numId w:val="2"/>
        </w:numPr>
        <w:spacing w:after="80" w:line="320"/>
      </w:pPr>
      <w:r>
        <w:rPr>
          <w:rFonts w:ascii="Arial" w:eastAsia="Microsoft YaHei" w:hAnsi="Arial"/>
          <w:b/>
          <w:bCs/>
          <w:i w:val="false"/>
          <w:iCs w:val="false"/>
          <w:color w:val="1A2332"/>
          <w:sz w:val="24"/>
          <w:szCs w:val="24"/>
        </w:rPr>
        <w:t xml:space="preserve">身份同步：</w:t>
      </w:r>
      <w:r>
        <w:rPr>
          <w:rFonts w:ascii="Arial" w:eastAsia="Microsoft YaHei" w:hAnsi="Arial"/>
          <w:b w:val="false"/>
          <w:bCs w:val="false"/>
          <w:i w:val="false"/>
          <w:iCs w:val="false"/>
          <w:color w:val="1A2332"/>
          <w:sz w:val="24"/>
          <w:szCs w:val="24"/>
        </w:rPr>
        <w:t xml:space="preserve">对接现有 IAM/权限系统，获取操作员信息与权限变更。</w:t>
      </w:r>
    </w:p>
    <w:p>
      <w:r>
        <w:br w:type="page"/>
      </w:r>
    </w:p>
    <w:p>
      <w:pPr>
        <w:pStyle w:val="Heading1"/>
        <w:spacing w:after="240" w:before="360"/>
      </w:pPr>
      <w:r>
        <w:rPr>
          <w:rFonts w:ascii="Arial" w:eastAsia="Microsoft YaHei" w:hAnsi="Arial"/>
          <w:b/>
          <w:bCs/>
          <w:i w:val="false"/>
          <w:iCs w:val="false"/>
          <w:color w:val="054085"/>
          <w:sz w:val="32"/>
          <w:szCs w:val="32"/>
        </w:rPr>
        <w:t xml:space="preserve">9. 实施路线图</w:t>
      </w:r>
    </w:p>
    <w:p>
      <w:pPr>
        <w:spacing w:after="160" w:line="360"/>
        <w:jc w:val="both"/>
      </w:pPr>
      <w:r>
        <w:rPr>
          <w:rFonts w:ascii="Arial" w:eastAsia="Microsoft YaHei" w:hAnsi="Arial"/>
          <w:b w:val="false"/>
          <w:bCs w:val="false"/>
          <w:i w:val="false"/>
          <w:iCs w:val="false"/>
          <w:color w:val="1A2332"/>
          <w:sz w:val="22"/>
          <w:szCs w:val="22"/>
        </w:rPr>
        <w:t xml:space="preserve">建议分三个阶段推进实施，从核心规则落地开始，逐步扩展检测能力与智能化水平。</w:t>
      </w:r>
    </w:p>
    <w:p>
      <w:pPr>
        <w:pStyle w:val="Heading2"/>
        <w:spacing w:after="200" w:before="300"/>
      </w:pPr>
      <w:r>
        <w:rPr>
          <w:rFonts w:ascii="Arial" w:eastAsia="Microsoft YaHei" w:hAnsi="Arial"/>
          <w:b/>
          <w:bCs/>
          <w:i w:val="false"/>
          <w:iCs w:val="false"/>
          <w:color w:val="0969DA"/>
          <w:sz w:val="28"/>
          <w:szCs w:val="28"/>
        </w:rPr>
        <w:t xml:space="preserve">第一阶段（第 1-2 个月）</w:t>
      </w:r>
    </w:p>
    <w:p>
      <w:pPr>
        <w:pStyle w:val="Heading3"/>
        <w:spacing w:after="160" w:before="240"/>
      </w:pPr>
      <w:r>
        <w:rPr>
          <w:rFonts w:ascii="Arial" w:eastAsia="Microsoft YaHei" w:hAnsi="Arial"/>
          <w:b/>
          <w:bCs/>
          <w:i w:val="false"/>
          <w:iCs w:val="false"/>
          <w:color w:val="1A2332"/>
          <w:sz w:val="24"/>
          <w:szCs w:val="24"/>
        </w:rPr>
        <w:t xml:space="preserve">基础能力建设 + 确定性规则落地</w:t>
      </w:r>
    </w:p>
    <w:p>
      <w:pPr>
        <w:spacing w:after="160" w:line="360"/>
        <w:jc w:val="both"/>
      </w:pPr>
      <w:r>
        <w:rPr>
          <w:rFonts w:ascii="Arial" w:eastAsia="Microsoft YaHei" w:hAnsi="Arial"/>
          <w:b w:val="false"/>
          <w:bCs w:val="false"/>
          <w:i w:val="false"/>
          <w:iCs w:val="false"/>
          <w:color w:val="1A2332"/>
          <w:sz w:val="22"/>
          <w:szCs w:val="22"/>
        </w:rPr>
        <w:t xml:space="preserve">完成日志接入、时序聚合模块、规则引擎核心框架开发。落地 3-5 条最高优先级的合谋规则（备份销毁、密钥绕过、配置篡改等）。实现基础告警输出与工单校验对接。</w:t>
      </w:r>
    </w:p>
    <w:p>
      <w:pPr>
        <w:spacing w:after="160" w:line="360"/>
        <w:jc w:val="both"/>
      </w:pPr>
      <w:r>
        <w:rPr>
          <w:rFonts w:ascii="Arial" w:eastAsia="Microsoft YaHei" w:hAnsi="Arial"/>
          <w:b w:val="false"/>
          <w:bCs w:val="false"/>
          <w:i w:val="false"/>
          <w:iCs w:val="false"/>
          <w:color w:val="1A2332"/>
          <w:sz w:val="22"/>
          <w:szCs w:val="22"/>
        </w:rPr>
        <w:t xml:space="preserve">目标：覆盖已知高风险合谋场景，验证系统可行性。</w:t>
      </w:r>
    </w:p>
    <w:p>
      <w:pPr>
        <w:pStyle w:val="Heading2"/>
        <w:spacing w:after="200" w:before="300"/>
      </w:pPr>
      <w:r>
        <w:rPr>
          <w:rFonts w:ascii="Arial" w:eastAsia="Microsoft YaHei" w:hAnsi="Arial"/>
          <w:b/>
          <w:bCs/>
          <w:i w:val="false"/>
          <w:iCs w:val="false"/>
          <w:color w:val="0969DA"/>
          <w:sz w:val="28"/>
          <w:szCs w:val="28"/>
        </w:rPr>
        <w:t xml:space="preserve">第二阶段（第 3-4 个月）</w:t>
      </w:r>
    </w:p>
    <w:p>
      <w:pPr>
        <w:pStyle w:val="Heading3"/>
        <w:spacing w:after="160" w:before="240"/>
      </w:pPr>
      <w:r>
        <w:rPr>
          <w:rFonts w:ascii="Arial" w:eastAsia="Microsoft YaHei" w:hAnsi="Arial"/>
          <w:b/>
          <w:bCs/>
          <w:i w:val="false"/>
          <w:iCs w:val="false"/>
          <w:color w:val="1A2332"/>
          <w:sz w:val="24"/>
          <w:szCs w:val="24"/>
        </w:rPr>
        <w:t xml:space="preserve">行为画像 + 风险评分体系完善</w:t>
      </w:r>
    </w:p>
    <w:p>
      <w:pPr>
        <w:spacing w:after="160" w:line="360"/>
        <w:jc w:val="both"/>
      </w:pPr>
      <w:r>
        <w:rPr>
          <w:rFonts w:ascii="Arial" w:eastAsia="Microsoft YaHei" w:hAnsi="Arial"/>
          <w:b w:val="false"/>
          <w:bCs w:val="false"/>
          <w:i w:val="false"/>
          <w:iCs w:val="false"/>
          <w:color w:val="1A2332"/>
          <w:sz w:val="22"/>
          <w:szCs w:val="22"/>
        </w:rPr>
        <w:t xml:space="preserve">建设操作员行为画像库，实现画像异常检测能力。完善风险评分引擎，接入更多减分/加分维度。上线白名单管理、应急运维模式等误报控制机制。</w:t>
      </w:r>
    </w:p>
    <w:p>
      <w:pPr>
        <w:spacing w:after="160" w:line="360"/>
        <w:jc w:val="both"/>
      </w:pPr>
      <w:r>
        <w:rPr>
          <w:rFonts w:ascii="Arial" w:eastAsia="Microsoft YaHei" w:hAnsi="Arial"/>
          <w:b w:val="false"/>
          <w:bCs w:val="false"/>
          <w:i w:val="false"/>
          <w:iCs w:val="false"/>
          <w:color w:val="1A2332"/>
          <w:sz w:val="22"/>
          <w:szCs w:val="22"/>
        </w:rPr>
        <w:t xml:space="preserve">目标：降低误报率，提升检测精准度。</w:t>
      </w:r>
    </w:p>
    <w:p>
      <w:pPr>
        <w:pStyle w:val="Heading2"/>
        <w:spacing w:after="200" w:before="300"/>
      </w:pPr>
      <w:r>
        <w:rPr>
          <w:rFonts w:ascii="Arial" w:eastAsia="Microsoft YaHei" w:hAnsi="Arial"/>
          <w:b/>
          <w:bCs/>
          <w:i w:val="false"/>
          <w:iCs w:val="false"/>
          <w:color w:val="0969DA"/>
          <w:sz w:val="28"/>
          <w:szCs w:val="28"/>
        </w:rPr>
        <w:t xml:space="preserve">第三阶段（第 5-6 个月）</w:t>
      </w:r>
    </w:p>
    <w:p>
      <w:pPr>
        <w:pStyle w:val="Heading3"/>
        <w:spacing w:after="160" w:before="240"/>
      </w:pPr>
      <w:r>
        <w:rPr>
          <w:rFonts w:ascii="Arial" w:eastAsia="Microsoft YaHei" w:hAnsi="Arial"/>
          <w:b/>
          <w:bCs/>
          <w:i w:val="false"/>
          <w:iCs w:val="false"/>
          <w:color w:val="1A2332"/>
          <w:sz w:val="24"/>
          <w:szCs w:val="24"/>
        </w:rPr>
        <w:t xml:space="preserve">长周期分析 + 运营平台建设</w:t>
      </w:r>
    </w:p>
    <w:p>
      <w:pPr>
        <w:spacing w:after="160" w:line="360"/>
        <w:jc w:val="both"/>
      </w:pPr>
      <w:r>
        <w:rPr>
          <w:rFonts w:ascii="Arial" w:eastAsia="Microsoft YaHei" w:hAnsi="Arial"/>
          <w:b w:val="false"/>
          <w:bCs w:val="false"/>
          <w:i w:val="false"/>
          <w:iCs w:val="false"/>
          <w:color w:val="1A2332"/>
          <w:sz w:val="22"/>
          <w:szCs w:val="22"/>
        </w:rPr>
        <w:t xml:space="preserve">增加长周期弱关联分析能力（24h 及以上窗口），构建长期风险线索。建设运营控制台，支持事件查询、规则配置、白名单管理、复核记录等功能。探索基于机器学习的异常模式发现。</w:t>
      </w:r>
    </w:p>
    <w:p>
      <w:pPr>
        <w:spacing w:after="160" w:line="360"/>
        <w:jc w:val="both"/>
      </w:pPr>
      <w:r>
        <w:rPr>
          <w:rFonts w:ascii="Arial" w:eastAsia="Microsoft YaHei" w:hAnsi="Arial"/>
          <w:b w:val="false"/>
          <w:bCs w:val="false"/>
          <w:i w:val="false"/>
          <w:iCs w:val="false"/>
          <w:color w:val="1A2332"/>
          <w:sz w:val="22"/>
          <w:szCs w:val="22"/>
        </w:rPr>
        <w:t xml:space="preserve">目标：形成完整的合谋检测运营体系。</w:t>
      </w:r>
    </w:p>
    <w:p>
      <w:r>
        <w:br w:type="page"/>
      </w:r>
    </w:p>
    <w:p>
      <w:pPr>
        <w:pStyle w:val="Heading1"/>
        <w:spacing w:after="240" w:before="360"/>
      </w:pPr>
      <w:r>
        <w:rPr>
          <w:rFonts w:ascii="Arial" w:eastAsia="Microsoft YaHei" w:hAnsi="Arial"/>
          <w:b/>
          <w:bCs/>
          <w:i w:val="false"/>
          <w:iCs w:val="false"/>
          <w:color w:val="054085"/>
          <w:sz w:val="32"/>
          <w:szCs w:val="32"/>
        </w:rPr>
        <w:t xml:space="preserve">10. 风险分析与应对策略</w:t>
      </w:r>
    </w:p>
    <w:p>
      <w:pPr>
        <w:pStyle w:val="Heading2"/>
        <w:spacing w:after="200" w:before="300"/>
      </w:pPr>
      <w:r>
        <w:rPr>
          <w:rFonts w:ascii="Arial" w:eastAsia="Microsoft YaHei" w:hAnsi="Arial"/>
          <w:b/>
          <w:bCs/>
          <w:i w:val="false"/>
          <w:iCs w:val="false"/>
          <w:color w:val="0969DA"/>
          <w:sz w:val="28"/>
          <w:szCs w:val="28"/>
        </w:rPr>
        <w:t xml:space="preserve">10.1 攻击绕过风险</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40"/>
      </w:tblGrid>
      <w:tr>
        <w:trPr>
          <w:cantSplit/>
        </w:trPr>
        <w:tc>
          <w:tcPr>
            <w:tcW w:type="dxa" w:w="16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绕过手段</w:t>
            </w:r>
          </w:p>
        </w:tc>
        <w:tc>
          <w:tcPr>
            <w:tcW w:type="dxa" w:w="32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风险描述</w:t>
            </w:r>
          </w:p>
        </w:tc>
        <w:tc>
          <w:tcPr>
            <w:tcW w:type="dxa" w:w="42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应对策略</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时间拉开</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合谋操作员故意将操作分散到几小时甚至几天，避开短时间窗口检测</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增加长周期弱关联分析（24h~7d窗口），降低分数阈值，形成风险线索而非直接告警；结合画像偏离度综合判断</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伪造工单</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在日志中伪造工单ID以骗取减分</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对接工单系统API做外部真实性校验：工单号是否存在、状态是否有效、内容是否匹配、人员是否对应</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渗透单人</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攻击者先渗透一名操作员账号，单人完成所有操作</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此场景属于账号盗用，归原有单操作员审计范畴；本系统专注于多人合谋场景，边界明确</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利用白名单</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攻击发生在白名单协同组内，或攻击者篡改白名单配置</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白名单变更纳入审计，设置有效期，定期审计；即使白名单命中仍保留低级别日志记录，不彻底丢弃</w:t>
            </w:r>
          </w:p>
        </w:tc>
      </w:tr>
    </w:tbl>
    <w:p>
      <w:pPr>
        <w:pStyle w:val="Heading2"/>
        <w:spacing w:after="200" w:before="300"/>
      </w:pPr>
      <w:r>
        <w:rPr>
          <w:rFonts w:ascii="Arial" w:eastAsia="Microsoft YaHei" w:hAnsi="Arial"/>
          <w:b/>
          <w:bCs/>
          <w:i w:val="false"/>
          <w:iCs w:val="false"/>
          <w:color w:val="0969DA"/>
          <w:sz w:val="28"/>
          <w:szCs w:val="28"/>
        </w:rPr>
        <w:t xml:space="preserve">10.2 误报风险</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40"/>
      </w:tblGrid>
      <w:tr>
        <w:trPr>
          <w:cantSplit/>
        </w:trPr>
        <w:tc>
          <w:tcPr>
            <w:tcW w:type="dxa" w:w="16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误报场景</w:t>
            </w:r>
          </w:p>
        </w:tc>
        <w:tc>
          <w:tcPr>
            <w:tcW w:type="dxa" w:w="320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风险描述</w:t>
            </w:r>
          </w:p>
        </w:tc>
        <w:tc>
          <w:tcPr>
            <w:tcW w:type="dxa" w:w="4240"/>
            <w:tcBorders>
              <w:top w:val="single" w:color="D3DCE6" w:sz="6"/>
              <w:left w:val="single" w:color="D3DCE6" w:sz="6"/>
              <w:bottom w:val="single" w:color="D3DCE6" w:sz="6"/>
              <w:right w:val="single" w:color="D3DCE6" w:sz="6"/>
            </w:tcBorders>
            <w:shd w:fill="F0F5FA" w:val="clear"/>
            <w:tcMar>
              <w:top w:type="dxa" w:w="80"/>
              <w:left w:type="dxa" w:w="120"/>
              <w:bottom w:type="dxa" w:w="80"/>
              <w:right w:type="dxa" w:w="120"/>
            </w:tcMar>
            <w:vAlign w:val="center"/>
          </w:tcPr>
          <w:p>
            <w:pPr>
              <w:spacing w:after="0"/>
            </w:pPr>
            <w:r>
              <w:rPr>
                <w:rFonts w:ascii="Arial" w:eastAsia="Microsoft YaHei" w:hAnsi="Arial"/>
                <w:b/>
                <w:bCs/>
                <w:i w:val="false"/>
                <w:iCs w:val="false"/>
                <w:color w:val="1A2332"/>
                <w:sz w:val="22"/>
                <w:szCs w:val="22"/>
              </w:rPr>
              <w:t xml:space="preserve">应对策略</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紧急故障处理</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服务器故障时多名运维人员协同抢修，操作组合类似攻击</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支持管理员临时开启应急运维模式抑制告警；故障工单关联后大幅减分</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正常变更运维</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计划内的多人协同变更任务触发告警</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工单系统对接是核心减分项；变更审批记录进一步降低风险分</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人员轮岗调整</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操作员轮岗或职责调整导致画像偏离</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画像采用滚动时间窗口，缓慢适应行为变化；支持人工标注正常行为以加速画像更新</w:t>
            </w:r>
          </w:p>
        </w:tc>
      </w:tr>
      <w:tr>
        <w:trPr>
          <w:cantSplit/>
        </w:trPr>
        <w:tc>
          <w:tcPr>
            <w:tcW w:type="dxa" w:w="1600"/>
            <w:tcBorders>
              <w:top w:val="single" w:color="D3DCE6" w:sz="6"/>
              <w:left w:val="single" w:color="D3DCE6" w:sz="6"/>
              <w:bottom w:val="single" w:color="D3DCE6" w:sz="6"/>
              <w:right w:val="single" w:color="D3DCE6" w:sz="6"/>
            </w:tcBorders>
            <w:shd w:fill="F8FAFC" w:val="clear"/>
            <w:tcMar>
              <w:top w:type="dxa" w:w="80"/>
              <w:left w:type="dxa" w:w="120"/>
              <w:bottom w:type="dxa" w:w="80"/>
              <w:right w:type="dxa" w:w="120"/>
            </w:tcMar>
            <w:vAlign w:val="top"/>
          </w:tcPr>
          <w:p>
            <w:pPr>
              <w:spacing w:after="0" w:line="300"/>
            </w:pPr>
            <w:r>
              <w:rPr>
                <w:rFonts w:ascii="Arial" w:eastAsia="Microsoft YaHei" w:hAnsi="Arial"/>
                <w:b/>
                <w:bCs/>
                <w:i w:val="false"/>
                <w:iCs w:val="false"/>
                <w:color w:val="1A2332"/>
                <w:sz w:val="21"/>
                <w:szCs w:val="21"/>
              </w:rPr>
              <w:t xml:space="preserve">新团队组建</w:t>
            </w:r>
          </w:p>
        </w:tc>
        <w:tc>
          <w:tcPr>
            <w:tcW w:type="dxa" w:w="320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新组建的运维团队初期协作少，被误判为陌生协作</w:t>
            </w:r>
          </w:p>
        </w:tc>
        <w:tc>
          <w:tcPr>
            <w:tcW w:type="dxa" w:w="4240"/>
            <w:tcBorders>
              <w:top w:val="single" w:color="D3DCE6" w:sz="6"/>
              <w:left w:val="single" w:color="D3DCE6" w:sz="6"/>
              <w:bottom w:val="single" w:color="D3DCE6" w:sz="6"/>
              <w:right w:val="single" w:color="D3DCE6" w:sz="6"/>
            </w:tcBorders>
            <w:shd w:fill="FFFFFF" w:val="clear"/>
            <w:tcMar>
              <w:top w:type="dxa" w:w="80"/>
              <w:left w:type="dxa" w:w="120"/>
              <w:bottom w:type="dxa" w:w="80"/>
              <w:right w:type="dxa" w:w="120"/>
            </w:tcMar>
            <w:vAlign w:val="top"/>
          </w:tcPr>
          <w:p>
            <w:pPr>
              <w:spacing w:after="0" w:line="300"/>
            </w:pPr>
            <w:r>
              <w:rPr>
                <w:rFonts w:ascii="Arial" w:eastAsia="Microsoft YaHei" w:hAnsi="Arial"/>
                <w:b w:val="false"/>
                <w:bCs w:val="false"/>
                <w:i w:val="false"/>
                <w:iCs w:val="false"/>
                <w:color w:val="1A2332"/>
                <w:sz w:val="21"/>
                <w:szCs w:val="21"/>
              </w:rPr>
              <w:t xml:space="preserve">协作关系画像设置合理的阈值与衰减期；支持登记新团队白名单快速豁免</w:t>
            </w:r>
          </w:p>
        </w:tc>
      </w:tr>
    </w:tbl>
    <w:p>
      <w:pPr>
        <w:pStyle w:val="Heading2"/>
        <w:spacing w:after="200" w:before="300"/>
      </w:pPr>
      <w:r>
        <w:rPr>
          <w:rFonts w:ascii="Arial" w:eastAsia="Microsoft YaHei" w:hAnsi="Arial"/>
          <w:b/>
          <w:bCs/>
          <w:i w:val="false"/>
          <w:iCs w:val="false"/>
          <w:color w:val="0969DA"/>
          <w:sz w:val="28"/>
          <w:szCs w:val="28"/>
        </w:rPr>
        <w:t xml:space="preserve">10.3 系统自身风险</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rPr>
          <w:cantSplit/>
        </w:trPr>
        <w:tc>
          <w:tcPr>
            <w:tcW w:type="dxa" w:w="9040"/>
            <w:tcBorders>
              <w:top w:val="single" w:color="FDE68A" w:sz="6"/>
              <w:left w:val="single" w:color="FDE68A" w:sz="24"/>
              <w:bottom w:val="single" w:color="FDE68A" w:sz="6"/>
              <w:right w:val="single" w:color="FDE68A" w:sz="6"/>
            </w:tcBorders>
            <w:shd w:fill="FFFBEB" w:val="clear"/>
            <w:tcMar>
              <w:top w:type="dxa" w:w="120"/>
              <w:left w:type="dxa" w:w="200"/>
              <w:bottom w:type="dxa" w:w="120"/>
              <w:right w:type="dxa" w:w="200"/>
            </w:tcMar>
          </w:tcPr>
          <w:p>
            <w:pPr>
              <w:spacing w:after="80"/>
            </w:pPr>
            <w:r>
              <w:rPr>
                <w:rFonts w:ascii="Arial" w:eastAsia="Microsoft YaHei" w:hAnsi="Arial"/>
                <w:b/>
                <w:bCs/>
                <w:i w:val="false"/>
                <w:iCs w:val="false"/>
                <w:color w:val="B45309"/>
                <w:sz w:val="22"/>
                <w:szCs w:val="22"/>
              </w:rPr>
              <w:t xml:space="preserve">检测系统自身的安全性</w:t>
            </w:r>
          </w:p>
          <w:p>
            <w:pPr>
              <w:spacing w:after="0" w:line="320"/>
            </w:pPr>
            <w:r>
              <w:rPr>
                <w:rFonts w:ascii="Arial" w:eastAsia="Microsoft YaHei" w:hAnsi="Arial"/>
                <w:b w:val="false"/>
                <w:bCs w:val="false"/>
                <w:i w:val="false"/>
                <w:iCs w:val="false"/>
                <w:color w:val="1A2332"/>
                <w:sz w:val="21"/>
                <w:szCs w:val="21"/>
              </w:rPr>
              <w:t xml:space="preserve">合谋检测系统掌握全局操作视图，本身也成为攻击目标。需保障：检测系统的管理接口独立鉴权、规则配置变更有审计日志、告警输出通道防篡改、画像数据定期备份。检测系统自身的运维操作同样应纳入审计范围，避免监守自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b w:val="false"/>
        <w:bCs w:val="false"/>
        <w:i w:val="false"/>
        <w:iCs w:val="false"/>
        <w:color w:val="8B9AAF"/>
        <w:sz w:val="18"/>
        <w:szCs w:val="18"/>
      </w:rPr>
      <w:t xml:space="preserve">第 </w:t>
    </w:r>
    <w:r>
      <w:rPr>
        <w:rFonts w:ascii="Arial" w:eastAsia="Microsoft YaHei"/>
        <w:color w:val="8B9AAF"/>
        <w:sz w:val="18"/>
        <w:szCs w:val="18"/>
      </w:rPr>
      <w:fldChar w:fldCharType="begin"/>
      <w:instrText xml:space="preserve">PAGE</w:instrText>
      <w:fldChar w:fldCharType="separate"/>
      <w:fldChar w:fldCharType="end"/>
    </w:r>
    <w:r>
      <w:rPr>
        <w:rFonts w:ascii="Arial" w:eastAsia="Microsoft YaHei" w:hAnsi="Arial"/>
        <w:b w:val="false"/>
        <w:bCs w:val="false"/>
        <w:i w:val="false"/>
        <w:iCs w:val="false"/>
        <w:color w:val="8B9AAF"/>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b w:val="false"/>
        <w:bCs w:val="false"/>
        <w:i w:val="false"/>
        <w:iCs w:val="false"/>
        <w:color w:val="8B9AAF"/>
        <w:sz w:val="18"/>
        <w:szCs w:val="18"/>
      </w:rPr>
      <w:t xml:space="preserve">跨操作员合谋协同行为检测子系统 · 系统设计方案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200" w:before="30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60" w:before="240"/>
      <w:outlineLvl w:val="2"/>
    </w:pPr>
    <w:rPr>
      <w:rFonts w:ascii="Arial" w:eastAsia="Microsoft YaHei" w:hAnsi="Arial"/>
      <w:b/>
      <w:bCs/>
      <w:sz w:val="24"/>
      <w:szCs w:val="24"/>
    </w:rPr>
  </w:style>
  <w:style w:type="paragraph" w:styleId="Heading4">
    <w:name w:val="Heading 4"/>
    <w:basedOn w:val="Normal"/>
    <w:next w:val="Normal"/>
    <w:qFormat/>
    <w:pPr>
      <w:keepNext w:val="false"/>
      <w:keepLines w:val="false"/>
      <w:spacing w:after="120" w:before="200"/>
      <w:outlineLvl w:val="3"/>
    </w:pPr>
    <w:rPr>
      <w:rFonts w:ascii="Arial" w:eastAsia="Microsoft YaHei"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2026-09-20T13:30:43.789Z</dcterms:created>
  <dcterms:modified xsi:type="dcterms:W3CDTF">2026-09-20T13:30:43.789Z</dcterms:modified>
</cp:coreProperties>
</file>

<file path=docProps/custom.xml><?xml version="1.0" encoding="utf-8"?>
<Properties xmlns="http://schemas.openxmlformats.org/officeDocument/2006/custom-properties" xmlns:vt="http://schemas.openxmlformats.org/officeDocument/2006/docPropsVTypes"/>
</file>