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清结算平台 V008 正式开发方案总览</w:t>
      </w:r>
    </w:p>
    <w:p>
      <w:r>
        <w:t>本文件为 V008 总览。完整设计以项目包内 Markdown、DDL、OpenAPI、状态机和任务卡为准。</w:t>
      </w:r>
    </w:p>
    <w:p>
      <w:pPr>
        <w:pStyle w:val="Heading1"/>
      </w:pPr>
      <w:r>
        <w:t>1. 架构主线</w:t>
      </w:r>
    </w:p>
    <w:p>
      <w:r>
        <w:t>SourceEvent -&gt; ClearingResult -&gt; ClearingResultItem -&gt; SettlementPosition -&gt; SettlementBill -&gt; AccountingPostingOrder。</w:t>
      </w:r>
    </w:p>
    <w:p>
      <w:pPr>
        <w:pStyle w:val="Heading1"/>
      </w:pPr>
      <w:r>
        <w:t>能力地图</w:t>
      </w:r>
    </w:p>
    <w:p>
      <w:r>
        <w:drawing>
          <wp:inline xmlns:a="http://schemas.openxmlformats.org/drawingml/2006/main" xmlns:pic="http://schemas.openxmlformats.org/drawingml/2006/picture">
            <wp:extent cx="5943600" cy="5582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pability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2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系统上下文</w:t>
      </w:r>
    </w:p>
    <w:p>
      <w:r>
        <w:drawing>
          <wp:inline xmlns:a="http://schemas.openxmlformats.org/drawingml/2006/main" xmlns:pic="http://schemas.openxmlformats.org/drawingml/2006/picture">
            <wp:extent cx="5943600" cy="1287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1_system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容器与模块</w:t>
      </w:r>
    </w:p>
    <w:p>
      <w:r>
        <w:drawing>
          <wp:inline xmlns:a="http://schemas.openxmlformats.org/drawingml/2006/main" xmlns:pic="http://schemas.openxmlformats.org/drawingml/2006/picture">
            <wp:extent cx="5943600" cy="11628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2_container_mod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DDD限界上下文</w:t>
      </w:r>
    </w:p>
    <w:p>
      <w:r>
        <w:drawing>
          <wp:inline xmlns:a="http://schemas.openxmlformats.org/drawingml/2006/main" xmlns:pic="http://schemas.openxmlformats.org/drawingml/2006/picture">
            <wp:extent cx="5943600" cy="8605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dd_context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运行时主链路</w:t>
      </w:r>
    </w:p>
    <w:p>
      <w:r>
        <w:drawing>
          <wp:inline xmlns:a="http://schemas.openxmlformats.org/drawingml/2006/main" xmlns:pic="http://schemas.openxmlformats.org/drawingml/2006/picture">
            <wp:extent cx="5943600" cy="119965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untime_main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6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状态生命周期</w:t>
      </w:r>
    </w:p>
    <w:p>
      <w:r>
        <w:drawing>
          <wp:inline xmlns:a="http://schemas.openxmlformats.org/drawingml/2006/main" xmlns:pic="http://schemas.openxmlformats.org/drawingml/2006/picture">
            <wp:extent cx="5943600" cy="8226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ate_lifecyc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数据血缘</w:t>
      </w:r>
    </w:p>
    <w:p>
      <w:r>
        <w:drawing>
          <wp:inline xmlns:a="http://schemas.openxmlformats.org/drawingml/2006/main" xmlns:pic="http://schemas.openxmlformats.org/drawingml/2006/picture">
            <wp:extent cx="5943600" cy="6547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ata_line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P0 非范围</w:t>
      </w:r>
    </w:p>
    <w:p>
      <w:pPr>
        <w:pStyle w:val="ListBullet"/>
      </w:pPr>
      <w:r>
        <w:t>冻结/止付</w:t>
      </w:r>
    </w:p>
    <w:p>
      <w:pPr>
        <w:pStyle w:val="ListBullet"/>
      </w:pPr>
      <w:r>
        <w:t>退款/冲正</w:t>
      </w:r>
    </w:p>
    <w:p>
      <w:pPr>
        <w:pStyle w:val="ListBullet"/>
      </w:pPr>
      <w:r>
        <w:t>自动出款</w:t>
      </w:r>
    </w:p>
    <w:p>
      <w:pPr>
        <w:pStyle w:val="ListBullet"/>
      </w:pPr>
      <w:r>
        <w:t>完整对账差错工作台</w:t>
      </w:r>
    </w:p>
    <w:p>
      <w:pPr>
        <w:pStyle w:val="ListBullet"/>
      </w:pPr>
      <w:r>
        <w:t>商户端 BFF 展示适配</w:t>
      </w:r>
    </w:p>
    <w:p>
      <w:pPr>
        <w:pStyle w:val="ListBullet"/>
      </w:pPr>
      <w:r>
        <w:t>上线部署、灰度、回滚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