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本地生活清结算平台-v010-sdd-正式开发方案总览"/>
    <w:p>
      <w:pPr>
        <w:pStyle w:val="Heading1"/>
      </w:pPr>
      <w:r>
        <w:t xml:space="preserve">本地生活清结算平台 V010 SDD 正式开发方案总览</w:t>
      </w:r>
    </w:p>
    <w:bookmarkStart w:id="20" w:name="版本定位"/>
    <w:p>
      <w:pPr>
        <w:pStyle w:val="Heading2"/>
      </w:pPr>
      <w:r>
        <w:t xml:space="preserve">1. 版本定位</w:t>
      </w:r>
    </w:p>
    <w:p>
      <w:pPr>
        <w:pStyle w:val="FirstParagraph"/>
      </w:pPr>
      <w:r>
        <w:t xml:space="preserve">V010 是 P0 正确性闭环修订版。它保持 V009 的行业策略模型和成熟清结算平台主架构，不扩大 P0 范围，只补齐开发落地前必须明确的正确性细节。</w:t>
      </w:r>
    </w:p>
    <w:p>
      <w:pPr>
        <w:pStyle w:val="BodyText"/>
      </w:pPr>
      <w:r>
        <w:t xml:space="preserve">P0 不做容量规划、不做性能优化、不做百万级导出、不做复杂分片调度。V010 只处理会影响资金正确性、状态机闭环和幂等一致性的关键问题。</w:t>
      </w:r>
    </w:p>
    <w:bookmarkEnd w:id="20"/>
    <w:bookmarkStart w:id="21" w:name="主模型"/>
    <w:p>
      <w:pPr>
        <w:pStyle w:val="Heading2"/>
      </w:pPr>
      <w:r>
        <w:t xml:space="preserve">2. 主模型</w:t>
      </w:r>
    </w:p>
    <w:p>
      <w:pPr>
        <w:pStyle w:val="SourceCode"/>
      </w:pPr>
      <w:r>
        <w:rPr>
          <w:rStyle w:val="VerbatimChar"/>
        </w:rPr>
        <w:t xml:space="preserve">SourceEvent</w:t>
      </w:r>
      <w:r>
        <w:br/>
      </w:r>
      <w:r>
        <w:rPr>
          <w:rStyle w:val="VerbatimChar"/>
        </w:rPr>
        <w:t xml:space="preserve">  -&gt; ClearingResult</w:t>
      </w:r>
      <w:r>
        <w:br/>
      </w:r>
      <w:r>
        <w:rPr>
          <w:rStyle w:val="VerbatimChar"/>
        </w:rPr>
        <w:t xml:space="preserve">  -&gt; ClearingResultItem</w:t>
      </w:r>
      <w:r>
        <w:br/>
      </w:r>
      <w:r>
        <w:rPr>
          <w:rStyle w:val="VerbatimChar"/>
        </w:rPr>
        <w:t xml:space="preserve">  -&gt; SettlementPosition</w:t>
      </w:r>
      <w:r>
        <w:br/>
      </w:r>
      <w:r>
        <w:rPr>
          <w:rStyle w:val="VerbatimChar"/>
        </w:rPr>
        <w:t xml:space="preserve">  -&gt; SettlementBatch</w:t>
      </w:r>
      <w:r>
        <w:br/>
      </w:r>
      <w:r>
        <w:rPr>
          <w:rStyle w:val="VerbatimChar"/>
        </w:rPr>
        <w:t xml:space="preserve">  -&gt; SettlementBill</w:t>
      </w:r>
      <w:r>
        <w:br/>
      </w:r>
      <w:r>
        <w:rPr>
          <w:rStyle w:val="VerbatimChar"/>
        </w:rPr>
        <w:t xml:space="preserve">  -&gt; SettlementBillItem</w:t>
      </w:r>
      <w:r>
        <w:br/>
      </w:r>
      <w:r>
        <w:rPr>
          <w:rStyle w:val="VerbatimChar"/>
        </w:rPr>
        <w:t xml:space="preserve">  -&gt; AccountingPostingOrder</w:t>
      </w:r>
    </w:p>
    <w:bookmarkEnd w:id="21"/>
    <w:bookmarkStart w:id="22" w:name="本版关键修订"/>
    <w:p>
      <w:pPr>
        <w:pStyle w:val="Heading2"/>
      </w:pPr>
      <w:r>
        <w:t xml:space="preserve">3. 本版关键修订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修订项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账期成熟任务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SettlementPositionMaturityJob</w:t>
            </w:r>
            <w:r>
              <w:t xml:space="preserve">，每 5 分钟、单轮 200 条，推进</w:t>
            </w:r>
            <w:r>
              <w:t xml:space="preserve"> </w:t>
            </w:r>
            <w:r>
              <w:rPr>
                <w:rStyle w:val="VerbatimChar"/>
              </w:rPr>
              <w:t xml:space="preserve">IN_TRANSIT -&gt; ELIGIBLE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批量结算上限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单次</w:t>
            </w:r>
            <w:r>
              <w:t xml:space="preserve"> </w:t>
            </w:r>
            <w:r>
              <w:rPr>
                <w:rStyle w:val="VerbatimChar"/>
              </w:rPr>
              <w:t xml:space="preserve">confirmMerchantSettlement</w:t>
            </w:r>
            <w:r>
              <w:t xml:space="preserve"> </w:t>
            </w:r>
            <w:r>
              <w:t xml:space="preserve">最多 500 个</w:t>
            </w:r>
            <w:r>
              <w:t xml:space="preserve"> </w:t>
            </w:r>
            <w:r>
              <w:rPr>
                <w:rStyle w:val="VerbatimChar"/>
              </w:rPr>
              <w:t xml:space="preserve">positionNo</w:t>
            </w:r>
            <w:r>
              <w:t xml:space="preserve">，超限拒绝。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 补偿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2 分钟自动查询，最多 5 次；10 分钟 overdue；30 分钟人工介入。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afterCommit / REQUIRES_NEW / 异步写入，失败不回滚主事务。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导出能力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/eligible/export</w:t>
            </w:r>
            <w:r>
              <w:t xml:space="preserve"> </w:t>
            </w:r>
            <w:r>
              <w:t xml:space="preserve">非 P0，清结算平台只提供分页查询。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+ Canonical JSON + 字段集合标准化。</w:t>
            </w:r>
          </w:p>
        </w:tc>
      </w:tr>
    </w:tbl>
    <w:bookmarkEnd w:id="22"/>
    <w:bookmarkStart w:id="26" w:name="账期成熟任务"/>
    <w:p>
      <w:pPr>
        <w:pStyle w:val="Heading2"/>
      </w:pPr>
      <w:r>
        <w:t xml:space="preserve">4. 账期成熟任务</w:t>
      </w:r>
    </w:p>
    <w:p>
      <w:pPr>
        <w:pStyle w:val="CaptionedFigure"/>
      </w:pPr>
      <w:r>
        <w:drawing>
          <wp:inline>
            <wp:extent cx="5334000" cy="744146"/>
            <wp:effectExtent b="0" l="0" r="0" t="0"/>
            <wp:docPr descr="账期成熟任务" title="" id="24" name="Picture"/>
            <a:graphic>
              <a:graphicData uri="http://schemas.openxmlformats.org/drawingml/2006/picture">
                <pic:pic>
                  <pic:nvPicPr>
                    <pic:cNvPr descr="../assets/diagrams/13_maturity_job_minimal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4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账期成熟任务</w:t>
      </w:r>
    </w:p>
    <w:p>
      <w:pPr>
        <w:pStyle w:val="BodyText"/>
      </w:pPr>
      <w:r>
        <w:t xml:space="preserve">账期成熟任务不是容量设计，而是状态机闭环。没有该任务，头寸会停留在</w:t>
      </w:r>
      <w:r>
        <w:t xml:space="preserve"> </w:t>
      </w:r>
      <w:r>
        <w:rPr>
          <w:rStyle w:val="VerbatimChar"/>
        </w:rPr>
        <w:t xml:space="preserve">IN_TRANSIT</w:t>
      </w:r>
      <w:r>
        <w:t xml:space="preserve">，后台无法稳定查询</w:t>
      </w:r>
      <w:r>
        <w:t xml:space="preserve"> </w:t>
      </w:r>
      <w:r>
        <w:rPr>
          <w:rStyle w:val="VerbatimChar"/>
        </w:rPr>
        <w:t xml:space="preserve">ELIGIBLE</w:t>
      </w:r>
      <w:r>
        <w:t xml:space="preserve"> </w:t>
      </w:r>
      <w:r>
        <w:t xml:space="preserve">可结算数据。</w:t>
      </w:r>
    </w:p>
    <w:bookmarkEnd w:id="26"/>
    <w:bookmarkStart w:id="30" w:name="unknown-补偿-sla"/>
    <w:p>
      <w:pPr>
        <w:pStyle w:val="Heading2"/>
      </w:pPr>
      <w:r>
        <w:t xml:space="preserve">5. UNKNOWN 补偿 SLA</w:t>
      </w:r>
    </w:p>
    <w:p>
      <w:pPr>
        <w:pStyle w:val="CaptionedFigure"/>
      </w:pPr>
      <w:r>
        <w:drawing>
          <wp:inline>
            <wp:extent cx="5334000" cy="1155464"/>
            <wp:effectExtent b="0" l="0" r="0" t="0"/>
            <wp:docPr descr="UNKNOWN补偿" title="" id="28" name="Picture"/>
            <a:graphic>
              <a:graphicData uri="http://schemas.openxmlformats.org/drawingml/2006/picture">
                <pic:pic>
                  <pic:nvPicPr>
                    <pic:cNvPr descr="../assets/diagrams/14_unknown_compensation_sla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UNKNOWN补偿</w:t>
      </w:r>
    </w:p>
    <w:p>
      <w:pPr>
        <w:pStyle w:val="BodyText"/>
      </w:pPr>
      <w:r>
        <w:rPr>
          <w:rStyle w:val="VerbatimChar"/>
        </w:rPr>
        <w:t xml:space="preserve">UNKNOWN</w:t>
      </w:r>
      <w:r>
        <w:t xml:space="preserve"> </w:t>
      </w:r>
      <w:r>
        <w:t xml:space="preserve">状态禁止直接重复入账。系统必须先按账务请求号或账务幂等键查询账务平台，再回正为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。</w:t>
      </w:r>
    </w:p>
    <w:bookmarkEnd w:id="30"/>
    <w:bookmarkStart w:id="34" w:name="操作日志事务策略"/>
    <w:p>
      <w:pPr>
        <w:pStyle w:val="Heading2"/>
      </w:pPr>
      <w:r>
        <w:t xml:space="preserve">6. 操作日志事务策略</w:t>
      </w:r>
    </w:p>
    <w:p>
      <w:pPr>
        <w:pStyle w:val="CaptionedFigure"/>
      </w:pPr>
      <w:r>
        <w:drawing>
          <wp:inline>
            <wp:extent cx="5334000" cy="299294"/>
            <wp:effectExtent b="0" l="0" r="0" t="0"/>
            <wp:docPr descr="操作日志事务策略" title="" id="32" name="Picture"/>
            <a:graphic>
              <a:graphicData uri="http://schemas.openxmlformats.org/drawingml/2006/picture">
                <pic:pic>
                  <pic:nvPicPr>
                    <pic:cNvPr descr="../assets/diagrams/15_operation_log_after_commi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操作日志事务策略</w:t>
      </w:r>
    </w:p>
    <w:p>
      <w:pPr>
        <w:pStyle w:val="BodyText"/>
      </w:pPr>
      <w:r>
        <w:t xml:space="preserve">操作日志是审计辅助数据，不是资金事实唯一来源。主事务提交后写日志，日志失败不回滚资金主事务。</w:t>
      </w:r>
    </w:p>
    <w:bookmarkEnd w:id="34"/>
    <w:bookmarkStart w:id="37" w:name="开发准入边界"/>
    <w:p>
      <w:pPr>
        <w:pStyle w:val="Heading2"/>
      </w:pPr>
      <w:r>
        <w:t xml:space="preserve">7. 开发准入边界</w:t>
      </w:r>
    </w:p>
    <w:bookmarkStart w:id="35" w:name="允许实现"/>
    <w:p>
      <w:pPr>
        <w:pStyle w:val="Heading3"/>
      </w:pPr>
      <w:r>
        <w:t xml:space="preserve">7.1 允许实现</w:t>
      </w:r>
    </w:p>
    <w:p>
      <w:pPr>
        <w:pStyle w:val="SourceCode"/>
      </w:pPr>
      <w:r>
        <w:rPr>
          <w:rStyle w:val="VerbatimChar"/>
        </w:rPr>
        <w:t xml:space="preserve">来源事件接入</w:t>
      </w:r>
      <w:r>
        <w:br/>
      </w:r>
      <w:r>
        <w:rPr>
          <w:rStyle w:val="VerbatimChar"/>
        </w:rPr>
        <w:t xml:space="preserve">清分结果生成</w:t>
      </w:r>
      <w:r>
        <w:br/>
      </w:r>
      <w:r>
        <w:rPr>
          <w:rStyle w:val="VerbatimChar"/>
        </w:rPr>
        <w:t xml:space="preserve">结算头寸生成和成熟</w:t>
      </w:r>
      <w:r>
        <w:br/>
      </w:r>
      <w:r>
        <w:rPr>
          <w:rStyle w:val="VerbatimChar"/>
        </w:rPr>
        <w:t xml:space="preserve">后台可结算头寸分页查询</w:t>
      </w:r>
      <w:r>
        <w:br/>
      </w:r>
      <w:r>
        <w:rPr>
          <w:rStyle w:val="VerbatimChar"/>
        </w:rPr>
        <w:t xml:space="preserve">统一确认结算</w:t>
      </w:r>
      <w:r>
        <w:br/>
      </w:r>
      <w:r>
        <w:rPr>
          <w:rStyle w:val="VerbatimChar"/>
        </w:rPr>
        <w:t xml:space="preserve">账务入账编排</w:t>
      </w:r>
      <w:r>
        <w:br/>
      </w:r>
      <w:r>
        <w:rPr>
          <w:rStyle w:val="VerbatimChar"/>
        </w:rPr>
        <w:t xml:space="preserve">UNKNOWN 补偿</w:t>
      </w:r>
      <w:r>
        <w:br/>
      </w:r>
      <w:r>
        <w:rPr>
          <w:rStyle w:val="VerbatimChar"/>
        </w:rPr>
        <w:t xml:space="preserve">基础审计日志</w:t>
      </w:r>
      <w:r>
        <w:br/>
      </w:r>
      <w:r>
        <w:rPr>
          <w:rStyle w:val="VerbatimChar"/>
        </w:rPr>
        <w:t xml:space="preserve">P0 测试矩阵</w:t>
      </w:r>
    </w:p>
    <w:bookmarkEnd w:id="35"/>
    <w:bookmarkStart w:id="36" w:name="禁止实现"/>
    <w:p>
      <w:pPr>
        <w:pStyle w:val="Heading3"/>
      </w:pPr>
      <w:r>
        <w:t xml:space="preserve">7.2 禁止实现</w:t>
      </w:r>
    </w:p>
    <w:p>
      <w:pPr>
        <w:pStyle w:val="SourceCode"/>
      </w:pPr>
      <w:r>
        <w:rPr>
          <w:rStyle w:val="VerbatimChar"/>
        </w:rPr>
        <w:t xml:space="preserve">退款</w:t>
      </w:r>
      <w:r>
        <w:br/>
      </w:r>
      <w:r>
        <w:rPr>
          <w:rStyle w:val="VerbatimChar"/>
        </w:rPr>
        <w:t xml:space="preserve">冻结/止付</w:t>
      </w:r>
      <w:r>
        <w:br/>
      </w:r>
      <w:r>
        <w:rPr>
          <w:rStyle w:val="VerbatimChar"/>
        </w:rPr>
        <w:t xml:space="preserve">出款/提现</w:t>
      </w:r>
      <w:r>
        <w:br/>
      </w:r>
      <w:r>
        <w:rPr>
          <w:rStyle w:val="VerbatimChar"/>
        </w:rPr>
        <w:t xml:space="preserve">BFF 展示口径适配</w:t>
      </w:r>
      <w:r>
        <w:br/>
      </w:r>
      <w:r>
        <w:rPr>
          <w:rStyle w:val="VerbatimChar"/>
        </w:rPr>
        <w:t xml:space="preserve">/eligible/export</w:t>
      </w:r>
      <w:r>
        <w:br/>
      </w:r>
      <w:r>
        <w:rPr>
          <w:rStyle w:val="VerbatimChar"/>
        </w:rPr>
        <w:t xml:space="preserve">容量规划</w:t>
      </w:r>
      <w:r>
        <w:br/>
      </w:r>
      <w:r>
        <w:rPr>
          <w:rStyle w:val="VerbatimChar"/>
        </w:rPr>
        <w:t xml:space="preserve">分库分表</w:t>
      </w:r>
      <w:r>
        <w:br/>
      </w:r>
      <w:r>
        <w:rPr>
          <w:rStyle w:val="VerbatimChar"/>
        </w:rPr>
        <w:t xml:space="preserve">百万级导出</w:t>
      </w:r>
      <w:r>
        <w:br/>
      </w:r>
      <w:r>
        <w:rPr>
          <w:rStyle w:val="VerbatimChar"/>
        </w:rPr>
        <w:t xml:space="preserve">复杂任务调度</w:t>
      </w:r>
    </w:p>
    <w:bookmarkEnd w:id="36"/>
    <w:bookmarkEnd w:id="37"/>
    <w:bookmarkStart w:id="38" w:name="关键开发文件"/>
    <w:p>
      <w:pPr>
        <w:pStyle w:val="Heading2"/>
      </w:pPr>
      <w:r>
        <w:t xml:space="preserve">8. 关键开发文件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07_核心流程与状态机/03_清算与头寸成熟流程.md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账期成熟任务规格。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10_一致性_幂等_异常_补偿/02_幂等与request_hash.md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request_hash 标准。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10_一致性_幂等_异常_补偿/04_账务UNKNOWN补偿.md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SLA 和补偿流程。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08_数据模型与存储设计/03_DDL_V010_P0.sql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V010 P0 DDL。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09_接口契约与事件协议/openapi.yaml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API 契约。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14_代码落地任务包/03_Codex开发任务卡.md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开发任务卡。</w:t>
            </w:r>
          </w:p>
        </w:tc>
      </w:tr>
    </w:tbl>
    <w:bookmarkEnd w:id="38"/>
    <w:bookmarkStart w:id="39" w:name="开发结论"/>
    <w:p>
      <w:pPr>
        <w:pStyle w:val="Heading2"/>
      </w:pPr>
      <w:r>
        <w:t xml:space="preserve">9. 开发结论</w:t>
      </w:r>
    </w:p>
    <w:p>
      <w:pPr>
        <w:pStyle w:val="FirstParagraph"/>
      </w:pPr>
      <w:r>
        <w:t xml:space="preserve">V010 可以进入 P0 开发。开发时应按任务卡逐步实现，不允许擅自扩大到退款、冻结、出款、导出和容量规划。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2026-06-15T10:38:48Z</dcterms:created>
  <dcterms:modified xsi:type="dcterms:W3CDTF">2026-06-15T10:38:48Z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