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清结算平台V005开发准入总览</w:t>
      </w:r>
    </w:p>
    <w:bookmarkStart w:id="31" w:name="清结算平台-v005-开发准入总览"/>
    <w:p>
      <w:pPr>
        <w:pStyle w:val="Heading1"/>
      </w:pPr>
      <w:r>
        <w:t xml:space="preserve">清结算平台 V005 开发准入总览</w:t>
      </w:r>
    </w:p>
    <w:bookmarkStart w:id="20" w:name="版本定位"/>
    <w:p>
      <w:pPr>
        <w:pStyle w:val="Heading2"/>
      </w:pPr>
      <w:r>
        <w:t xml:space="preserve">1. 版本定位</w:t>
      </w:r>
    </w:p>
    <w:p>
      <w:pPr>
        <w:pStyle w:val="FirstParagraph"/>
      </w:pPr>
      <w:r>
        <w:t xml:space="preserve">V005 是清结算平台 SDD 开发准入版，目标是指导 P0 普通商品正向清结算闭环开发。相比 V004，本版删除迁移口径、旧系统映射、退款最小规则和 BFF 展示适配，把底层模型收口到行业标准清结算领域语言。</w:t>
      </w:r>
    </w:p>
    <w:bookmarkEnd w:id="20"/>
    <w:bookmarkStart w:id="21" w:name="关键修订"/>
    <w:p>
      <w:pPr>
        <w:pStyle w:val="Heading2"/>
      </w:pPr>
      <w:r>
        <w:t xml:space="preserve">2. 关键修订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V005 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cutover_time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删除。它是上线迁移策略，不是领域字段。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旧</w:t>
            </w:r>
            <w:r>
              <w:t xml:space="preserve"> </w:t>
            </w:r>
            <w:r>
              <w:rPr>
                <w:rStyle w:val="VerbatimChar"/>
              </w:rPr>
              <w:t xml:space="preserve">finance_detail</w:t>
            </w:r>
            <w:r>
              <w:t xml:space="preserve"> </w:t>
            </w:r>
            <w:r>
              <w:t xml:space="preserve">映射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删除。底层不按旧表字段建模。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账务接口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定义标准</w:t>
            </w:r>
            <w:r>
              <w:t xml:space="preserve"> </w:t>
            </w:r>
            <w:r>
              <w:rPr>
                <w:rStyle w:val="VerbatimChar"/>
              </w:rPr>
              <w:t xml:space="preserve">SettlementAccountingPort</w:t>
            </w:r>
            <w:r>
              <w:t xml:space="preserve">，账户账务平台配合返回请求号和流水号。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退款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不纳入 P0。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提现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不纳入清结算主链路。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商户端 BFF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不纳入底层设计。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核心模型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SourceEvent -&gt; ClearingResult -&gt; SettlementPosition -&gt; SettlementBill -&gt; AccountingPostingOrder</w:t>
            </w:r>
            <w:r>
              <w:t xml:space="preserve">。</w:t>
            </w:r>
          </w:p>
        </w:tc>
      </w:tr>
    </w:tbl>
    <w:bookmarkEnd w:id="21"/>
    <w:bookmarkStart w:id="22" w:name="p0-主链路"/>
    <w:p>
      <w:pPr>
        <w:pStyle w:val="Heading2"/>
      </w:pPr>
      <w:r>
        <w:t xml:space="preserve">3. P0 主链路</w:t>
      </w:r>
    </w:p>
    <w:p>
      <w:pPr>
        <w:pStyle w:val="SourceCode"/>
      </w:pPr>
      <w:r>
        <w:rPr>
          <w:rStyle w:val="VerbatimChar"/>
        </w:rPr>
        <w:t xml:space="preserve">履约/核销完成事件</w:t>
      </w:r>
      <w:r>
        <w:br/>
      </w:r>
      <w:r>
        <w:rPr>
          <w:rStyle w:val="VerbatimChar"/>
        </w:rPr>
        <w:t xml:space="preserve">  -&gt; 来源事件接入</w:t>
      </w:r>
      <w:r>
        <w:br/>
      </w:r>
      <w:r>
        <w:rPr>
          <w:rStyle w:val="VerbatimChar"/>
        </w:rPr>
        <w:t xml:space="preserve">  -&gt; 清分结果</w:t>
      </w:r>
      <w:r>
        <w:br/>
      </w:r>
      <w:r>
        <w:rPr>
          <w:rStyle w:val="VerbatimChar"/>
        </w:rPr>
        <w:t xml:space="preserve">  -&gt; 结算头寸</w:t>
      </w:r>
      <w:r>
        <w:br/>
      </w:r>
      <w:r>
        <w:rPr>
          <w:rStyle w:val="VerbatimChar"/>
        </w:rPr>
        <w:t xml:space="preserve">  -&gt; 到期可结算</w:t>
      </w:r>
      <w:r>
        <w:br/>
      </w:r>
      <w:r>
        <w:rPr>
          <w:rStyle w:val="VerbatimChar"/>
        </w:rPr>
        <w:t xml:space="preserve">  -&gt; 确认结算</w:t>
      </w:r>
      <w:r>
        <w:br/>
      </w:r>
      <w:r>
        <w:rPr>
          <w:rStyle w:val="VerbatimChar"/>
        </w:rPr>
        <w:t xml:space="preserve">  -&gt; 结算批次/结算单/结算明细</w:t>
      </w:r>
      <w:r>
        <w:br/>
      </w:r>
      <w:r>
        <w:rPr>
          <w:rStyle w:val="VerbatimChar"/>
        </w:rPr>
        <w:t xml:space="preserve">  -&gt; 账务入账单</w:t>
      </w:r>
      <w:r>
        <w:br/>
      </w:r>
      <w:r>
        <w:rPr>
          <w:rStyle w:val="VerbatimChar"/>
        </w:rPr>
        <w:t xml:space="preserve">  -&gt; 账户账务平台入账</w:t>
      </w:r>
      <w:r>
        <w:br/>
      </w:r>
      <w:r>
        <w:rPr>
          <w:rStyle w:val="VerbatimChar"/>
        </w:rPr>
        <w:t xml:space="preserve">  -&gt; 已入账成功</w:t>
      </w:r>
    </w:p>
    <w:bookmarkEnd w:id="22"/>
    <w:bookmarkStart w:id="23" w:name="ddd-限界上下文"/>
    <w:p>
      <w:pPr>
        <w:pStyle w:val="Heading2"/>
      </w:pPr>
      <w:r>
        <w:t xml:space="preserve">4. DDD 限界上下文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上下文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来源事件接入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标准事件、幂等、请求指纹。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清分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订单级资金归属计算。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结算头寸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在途、可结算、锁定、入账中、失败、未知、成功。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结算单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批次、结算单、明细和状态机。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账务入账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调用账户账务平台并处理回写。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标准查询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提供底层标准查询，不承诺页面展示。</w:t>
            </w:r>
          </w:p>
        </w:tc>
      </w:tr>
    </w:tbl>
    <w:bookmarkEnd w:id="23"/>
    <w:bookmarkStart w:id="27" w:name="状态机"/>
    <w:p>
      <w:pPr>
        <w:pStyle w:val="Heading2"/>
      </w:pPr>
      <w:r>
        <w:t xml:space="preserve">5. 状态机</w:t>
      </w:r>
    </w:p>
    <w:bookmarkStart w:id="24" w:name="结算头寸"/>
    <w:p>
      <w:pPr>
        <w:pStyle w:val="Heading3"/>
      </w:pPr>
      <w:r>
        <w:t xml:space="preserve">结算头寸</w:t>
      </w:r>
    </w:p>
    <w:p>
      <w:pPr>
        <w:pStyle w:val="SourceCode"/>
      </w:pPr>
      <w:r>
        <w:rPr>
          <w:rStyle w:val="VerbatimChar"/>
        </w:rPr>
        <w:t xml:space="preserve">IN_TRANSIT -&gt; ELIGIBLE -&gt; LOCKED -&gt; ACCOUNTING_PROCESSING -&gt; ACCOUNTED</w:t>
      </w:r>
      <w:r>
        <w:br/>
      </w:r>
      <w:r>
        <w:rPr>
          <w:rStyle w:val="VerbatimChar"/>
        </w:rPr>
        <w:t xml:space="preserve">                                      |-&gt; ACCOUNTING_FAILED -&gt; ACCOUNTING_PROCESSING</w:t>
      </w:r>
      <w:r>
        <w:br/>
      </w:r>
      <w:r>
        <w:rPr>
          <w:rStyle w:val="VerbatimChar"/>
        </w:rPr>
        <w:t xml:space="preserve">                                      |-&gt; UNKNOWN -&gt; ACCOUNTED/ACCOUNTING_FAILED</w:t>
      </w:r>
    </w:p>
    <w:bookmarkEnd w:id="24"/>
    <w:bookmarkStart w:id="25" w:name="结算单"/>
    <w:p>
      <w:pPr>
        <w:pStyle w:val="Heading3"/>
      </w:pPr>
      <w:r>
        <w:t xml:space="preserve">结算单</w:t>
      </w:r>
    </w:p>
    <w:p>
      <w:pPr>
        <w:pStyle w:val="SourceCode"/>
      </w:pPr>
      <w:r>
        <w:rPr>
          <w:rStyle w:val="VerbatimChar"/>
        </w:rPr>
        <w:t xml:space="preserve">CREATED -&gt; CONFIRMED -&gt; ACCOUNTING_PROCESSING -&gt; ACCOUNTED</w:t>
      </w:r>
      <w:r>
        <w:br/>
      </w:r>
      <w:r>
        <w:rPr>
          <w:rStyle w:val="VerbatimChar"/>
        </w:rPr>
        <w:t xml:space="preserve">                                      |-&gt; ACCOUNTING_FAILED -&gt; ACCOUNTING_PROCESSING</w:t>
      </w:r>
      <w:r>
        <w:br/>
      </w:r>
      <w:r>
        <w:rPr>
          <w:rStyle w:val="VerbatimChar"/>
        </w:rPr>
        <w:t xml:space="preserve">                                      |-&gt; UNKNOWN -&gt; ACCOUNTED/ACCOUNTING_FAILED</w:t>
      </w:r>
      <w:r>
        <w:br/>
      </w:r>
      <w:r>
        <w:rPr>
          <w:rStyle w:val="VerbatimChar"/>
        </w:rPr>
        <w:t xml:space="preserve">CREATED/CONFIRMED -&gt; CANCELED</w:t>
      </w:r>
    </w:p>
    <w:bookmarkEnd w:id="25"/>
    <w:bookmarkStart w:id="26" w:name="账务入账单"/>
    <w:p>
      <w:pPr>
        <w:pStyle w:val="Heading3"/>
      </w:pPr>
      <w:r>
        <w:t xml:space="preserve">账务入账单</w:t>
      </w:r>
    </w:p>
    <w:p>
      <w:pPr>
        <w:pStyle w:val="SourceCode"/>
      </w:pPr>
      <w:r>
        <w:rPr>
          <w:rStyle w:val="VerbatimChar"/>
        </w:rPr>
        <w:t xml:space="preserve">INIT -&gt; REQUESTING -&gt; SUCCESS</w:t>
      </w:r>
      <w:r>
        <w:br/>
      </w:r>
      <w:r>
        <w:rPr>
          <w:rStyle w:val="VerbatimChar"/>
        </w:rPr>
        <w:t xml:space="preserve">                  |-&gt; FAILED -&gt; REQUESTING</w:t>
      </w:r>
      <w:r>
        <w:br/>
      </w:r>
      <w:r>
        <w:rPr>
          <w:rStyle w:val="VerbatimChar"/>
        </w:rPr>
        <w:t xml:space="preserve">                  |-&gt; UNKNOWN -&gt; SUCCESS/FAILED</w:t>
      </w:r>
    </w:p>
    <w:bookmarkEnd w:id="26"/>
    <w:bookmarkEnd w:id="27"/>
    <w:bookmarkStart w:id="28" w:name="数据模型"/>
    <w:p>
      <w:pPr>
        <w:pStyle w:val="Heading2"/>
      </w:pPr>
      <w:r>
        <w:t xml:space="preserve">6. 数据模型</w:t>
      </w:r>
    </w:p>
    <w:p>
      <w:pPr>
        <w:pStyle w:val="FirstParagraph"/>
      </w:pPr>
      <w:r>
        <w:t xml:space="preserve">P0 核心表：</w:t>
      </w:r>
    </w:p>
    <w:p>
      <w:pPr>
        <w:pStyle w:val="SourceCode"/>
      </w:pPr>
      <w:r>
        <w:rPr>
          <w:rStyle w:val="VerbatimChar"/>
        </w:rPr>
        <w:t xml:space="preserve">ccs_source_event</w:t>
      </w:r>
      <w:r>
        <w:br/>
      </w:r>
      <w:r>
        <w:rPr>
          <w:rStyle w:val="VerbatimChar"/>
        </w:rPr>
        <w:t xml:space="preserve">ccs_clearing_result</w:t>
      </w:r>
      <w:r>
        <w:br/>
      </w:r>
      <w:r>
        <w:rPr>
          <w:rStyle w:val="VerbatimChar"/>
        </w:rPr>
        <w:t xml:space="preserve">ccs_clearing_result_item</w:t>
      </w:r>
      <w:r>
        <w:br/>
      </w:r>
      <w:r>
        <w:rPr>
          <w:rStyle w:val="VerbatimChar"/>
        </w:rPr>
        <w:t xml:space="preserve">ccs_settlement_position</w:t>
      </w:r>
      <w:r>
        <w:br/>
      </w:r>
      <w:r>
        <w:rPr>
          <w:rStyle w:val="VerbatimChar"/>
        </w:rPr>
        <w:t xml:space="preserve">ccs_settlement_batch</w:t>
      </w:r>
      <w:r>
        <w:br/>
      </w:r>
      <w:r>
        <w:rPr>
          <w:rStyle w:val="VerbatimChar"/>
        </w:rPr>
        <w:t xml:space="preserve">ccs_settlement_bill</w:t>
      </w:r>
      <w:r>
        <w:br/>
      </w:r>
      <w:r>
        <w:rPr>
          <w:rStyle w:val="VerbatimChar"/>
        </w:rPr>
        <w:t xml:space="preserve">ccs_settlement_bill_item</w:t>
      </w:r>
      <w:r>
        <w:br/>
      </w:r>
      <w:r>
        <w:rPr>
          <w:rStyle w:val="VerbatimChar"/>
        </w:rPr>
        <w:t xml:space="preserve">ccs_accounting_posting_order</w:t>
      </w:r>
      <w:r>
        <w:br/>
      </w:r>
      <w:r>
        <w:rPr>
          <w:rStyle w:val="VerbatimChar"/>
        </w:rPr>
        <w:t xml:space="preserve">ccs_settlement_operation_log</w:t>
      </w:r>
    </w:p>
    <w:p>
      <w:pPr>
        <w:pStyle w:val="FirstParagraph"/>
      </w:pPr>
      <w:r>
        <w:t xml:space="preserve">DDL 规范：金额全部</w:t>
      </w:r>
      <w:r>
        <w:t xml:space="preserve"> </w:t>
      </w:r>
      <w:r>
        <w:rPr>
          <w:rStyle w:val="VerbatimChar"/>
        </w:rPr>
        <w:t xml:space="preserve">BIGINT</w:t>
      </w:r>
      <w:r>
        <w:t xml:space="preserve"> </w:t>
      </w:r>
      <w:r>
        <w:t xml:space="preserve">分；无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；无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；无退款字段；无旧系统映射字段。</w:t>
      </w:r>
    </w:p>
    <w:bookmarkEnd w:id="28"/>
    <w:bookmarkStart w:id="29" w:name="账务平台要求"/>
    <w:p>
      <w:pPr>
        <w:pStyle w:val="Heading2"/>
      </w:pPr>
      <w:r>
        <w:t xml:space="preserve">7. 账务平台要求</w:t>
      </w:r>
    </w:p>
    <w:p>
      <w:pPr>
        <w:pStyle w:val="FirstParagraph"/>
      </w:pPr>
      <w:r>
        <w:t xml:space="preserve">账户账务平台需要提供标准端口：</w:t>
      </w:r>
    </w:p>
    <w:p>
      <w:pPr>
        <w:pStyle w:val="SourceCode"/>
      </w:pPr>
      <w:r>
        <w:rPr>
          <w:rStyle w:val="NormalTok"/>
        </w:rPr>
        <w:t xml:space="preserve">SettlementAccountingPostResult </w:t>
      </w:r>
      <w:r>
        <w:rPr>
          <w:rStyle w:val="FunctionTok"/>
        </w:rPr>
        <w:t xml:space="preserve">postSettlement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SettlementAccountingPostCommand command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SettlementAccountingPostResult </w:t>
      </w:r>
      <w:r>
        <w:rPr>
          <w:rStyle w:val="FunctionTok"/>
        </w:rPr>
        <w:t xml:space="preserve">querySettlementPosting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accountingRequestNo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成功时必须返回：</w:t>
      </w:r>
    </w:p>
    <w:p>
      <w:pPr>
        <w:pStyle w:val="SourceCode"/>
      </w:pPr>
      <w:r>
        <w:rPr>
          <w:rStyle w:val="VerbatimChar"/>
        </w:rPr>
        <w:t xml:space="preserve">accounting_request_no</w:t>
      </w:r>
      <w:r>
        <w:br/>
      </w:r>
      <w:r>
        <w:rPr>
          <w:rStyle w:val="VerbatimChar"/>
        </w:rPr>
        <w:t xml:space="preserve">fund_account_flow_no</w:t>
      </w:r>
    </w:p>
    <w:p>
      <w:pPr>
        <w:pStyle w:val="FirstParagraph"/>
      </w:pPr>
      <w:r>
        <w:t xml:space="preserve">如果结果未知，清结算平台进入 UNKNOWN，先查询账务平台，不允许直接重复入账。</w:t>
      </w:r>
    </w:p>
    <w:bookmarkEnd w:id="29"/>
    <w:bookmarkStart w:id="30" w:name="开发准入结论"/>
    <w:p>
      <w:pPr>
        <w:pStyle w:val="Heading2"/>
      </w:pPr>
      <w:r>
        <w:t xml:space="preserve">8. 开发准入结论</w:t>
      </w:r>
    </w:p>
    <w:p>
      <w:pPr>
        <w:pStyle w:val="FirstParagraph"/>
      </w:pPr>
      <w:r>
        <w:t xml:space="preserve">V005 满足 P0 普通商品正向清结算开发准入。开发时不得加入旧系统映射、BFF 页面口径、退款、提现、冻结、止付和出款 TRANSFER 主链路。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清结算平台V005开发准入总览</dc:title>
  <dc:creator/>
  <cp:keywords/>
  <dcterms:created xsi:type="dcterms:W3CDTF">2026-06-15T00:45:59Z</dcterms:created>
  <dcterms:modified xsi:type="dcterms:W3CDTF">2026-06-15T00:45:59Z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