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清结算平台 V009 正式开发方案总览</w:t>
      </w:r>
    </w:p>
    <w:p>
      <w:r>
        <w:t>本版本在 V008 的高质量 SDD 方案基础上，吸收个人博主结算案例中适合本地生活/电商平台的通用能力，重点增强清分结算策略、结算模式、发起方式、最小/最大金额、留存金额和策略绑定模型。</w:t>
      </w:r>
    </w:p>
    <w:p>
      <w:pPr>
        <w:pStyle w:val="Heading2"/>
      </w:pPr>
      <w:r>
        <w:t>1. 总体结论</w:t>
      </w:r>
    </w:p>
    <w:p>
      <w:r>
        <w:t>V009 不改变清结算平台核心主模型：SourceEvent -&gt; ClearingResult -&gt; ClearingResultItem -&gt; SettlementPosition -&gt; SettlementBill -&gt; AccountingPostingOrder。</w:t>
      </w:r>
    </w:p>
    <w:p>
      <w:r>
        <w:t>V009 不把传统行业的发票、收款、付款、税务、合同、验收并入 P0，只把可复用的结算策略能力吸收到底层平台设计中。</w:t>
      </w:r>
    </w:p>
    <w:p>
      <w:pPr>
        <w:pStyle w:val="Heading2"/>
      </w:pPr>
      <w:r>
        <w:t>2. 关键增强点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增强点</w:t>
            </w:r>
          </w:p>
        </w:tc>
        <w:tc>
          <w:tcPr>
            <w:tcW w:type="dxa" w:w="3456"/>
          </w:tcPr>
          <w:p>
            <w:r>
              <w:t>领域落点</w:t>
            </w:r>
          </w:p>
        </w:tc>
        <w:tc>
          <w:tcPr>
            <w:tcW w:type="dxa" w:w="3456"/>
          </w:tcPr>
          <w:p>
            <w:r>
              <w:t>P0口径</w:t>
            </w:r>
          </w:p>
        </w:tc>
      </w:tr>
      <w:tr>
        <w:tc>
          <w:tcPr>
            <w:tcW w:type="dxa" w:w="3456"/>
          </w:tcPr>
          <w:p>
            <w:r>
              <w:t>结算模式</w:t>
            </w:r>
          </w:p>
        </w:tc>
        <w:tc>
          <w:tcPr>
            <w:tcW w:type="dxa" w:w="3456"/>
          </w:tcPr>
          <w:p>
            <w:r>
              <w:t>settlement_mode</w:t>
            </w:r>
          </w:p>
        </w:tc>
        <w:tc>
          <w:tcPr>
            <w:tcW w:type="dxa" w:w="3456"/>
          </w:tcPr>
          <w:p>
            <w:r>
              <w:t>INTERNAL_ACCOUNT</w:t>
            </w:r>
          </w:p>
        </w:tc>
      </w:tr>
      <w:tr>
        <w:tc>
          <w:tcPr>
            <w:tcW w:type="dxa" w:w="3456"/>
          </w:tcPr>
          <w:p>
            <w:r>
              <w:t>发起方式</w:t>
            </w:r>
          </w:p>
        </w:tc>
        <w:tc>
          <w:tcPr>
            <w:tcW w:type="dxa" w:w="3456"/>
          </w:tcPr>
          <w:p>
            <w:r>
              <w:t>initiation_mode</w:t>
            </w:r>
          </w:p>
        </w:tc>
        <w:tc>
          <w:tcPr>
            <w:tcW w:type="dxa" w:w="3456"/>
          </w:tcPr>
          <w:p>
            <w:r>
              <w:t>OPERATOR_MANUAL</w:t>
            </w:r>
          </w:p>
        </w:tc>
      </w:tr>
      <w:tr>
        <w:tc>
          <w:tcPr>
            <w:tcW w:type="dxa" w:w="3456"/>
          </w:tcPr>
          <w:p>
            <w:r>
              <w:t>账期类型</w:t>
            </w:r>
          </w:p>
        </w:tc>
        <w:tc>
          <w:tcPr>
            <w:tcW w:type="dxa" w:w="3456"/>
          </w:tcPr>
          <w:p>
            <w:r>
              <w:t>settlement_cycle_type</w:t>
            </w:r>
          </w:p>
        </w:tc>
        <w:tc>
          <w:tcPr>
            <w:tcW w:type="dxa" w:w="3456"/>
          </w:tcPr>
          <w:p>
            <w:r>
              <w:t>核销/履约后 T+N</w:t>
            </w:r>
          </w:p>
        </w:tc>
      </w:tr>
      <w:tr>
        <w:tc>
          <w:tcPr>
            <w:tcW w:type="dxa" w:w="3456"/>
          </w:tcPr>
          <w:p>
            <w:r>
              <w:t>最小/最大金额</w:t>
            </w:r>
          </w:p>
        </w:tc>
        <w:tc>
          <w:tcPr>
            <w:tcW w:type="dxa" w:w="3456"/>
          </w:tcPr>
          <w:p>
            <w:r>
              <w:t>min/max_settlement_amount_cent</w:t>
            </w:r>
          </w:p>
        </w:tc>
        <w:tc>
          <w:tcPr>
            <w:tcW w:type="dxa" w:w="3456"/>
          </w:tcPr>
          <w:p>
            <w:r>
              <w:t>默认 0，不限制</w:t>
            </w:r>
          </w:p>
        </w:tc>
      </w:tr>
      <w:tr>
        <w:tc>
          <w:tcPr>
            <w:tcW w:type="dxa" w:w="3456"/>
          </w:tcPr>
          <w:p>
            <w:r>
              <w:t>留存金额</w:t>
            </w:r>
          </w:p>
        </w:tc>
        <w:tc>
          <w:tcPr>
            <w:tcW w:type="dxa" w:w="3456"/>
          </w:tcPr>
          <w:p>
            <w:r>
              <w:t>reserve_policy_type / reserve_amount_cent</w:t>
            </w:r>
          </w:p>
        </w:tc>
        <w:tc>
          <w:tcPr>
            <w:tcW w:type="dxa" w:w="3456"/>
          </w:tcPr>
          <w:p>
            <w:r>
              <w:t>默认 NONE / 0</w:t>
            </w:r>
          </w:p>
        </w:tc>
      </w:tr>
      <w:tr>
        <w:tc>
          <w:tcPr>
            <w:tcW w:type="dxa" w:w="3456"/>
          </w:tcPr>
          <w:p>
            <w:r>
              <w:t>策略绑定</w:t>
            </w:r>
          </w:p>
        </w:tc>
        <w:tc>
          <w:tcPr>
            <w:tcW w:type="dxa" w:w="3456"/>
          </w:tcPr>
          <w:p>
            <w:r>
              <w:t>ccs_settlement_policy_binding</w:t>
            </w:r>
          </w:p>
        </w:tc>
        <w:tc>
          <w:tcPr>
            <w:tcW w:type="dxa" w:w="3456"/>
          </w:tcPr>
          <w:p>
            <w:r>
              <w:t>GLOBAL / BUSINESS_SCENE / MERCHANT</w:t>
            </w:r>
          </w:p>
        </w:tc>
      </w:tr>
    </w:tbl>
    <w:p>
      <w:pPr>
        <w:pStyle w:val="Heading2"/>
      </w:pPr>
      <w:r>
        <w:t>3. 核心图谱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74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ndustry_case_absor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行业案例吸收与裁剪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011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olicy_model_enhanc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11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清分结算策略增强模型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7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ttlement_mode_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结算模式决策视图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550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untime_mai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55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正向主链路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849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line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8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数据血缘</w:t>
      </w:r>
    </w:p>
    <w:p>
      <w:pPr>
        <w:pStyle w:val="Heading2"/>
      </w:pPr>
      <w:r>
        <w:t>4. P0 开发范围</w:t>
      </w:r>
    </w:p>
    <w:p>
      <w:r>
        <w:t>P0 只实现普通商品核销/履约完成后的正向清结算闭环：来源事件接入、清分、头寸成熟、后台运营确认结算、生成结算单、账户账务入账。</w:t>
      </w:r>
    </w:p>
    <w:p>
      <w:r>
        <w:t>P0 不做冻结/止付、退款/冲正、自动出款、直接银行打款、商户自助结算、发票税务、完整对账中心和 BFF 展示适配。</w:t>
      </w:r>
    </w:p>
    <w:p>
      <w:pPr>
        <w:pStyle w:val="Heading2"/>
      </w:pPr>
      <w:r>
        <w:t>5. 关键阅读入口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主题</w:t>
            </w:r>
          </w:p>
        </w:tc>
        <w:tc>
          <w:tcPr>
            <w:tcW w:type="dxa" w:w="5184"/>
          </w:tcPr>
          <w:p>
            <w:r>
              <w:t>文件</w:t>
            </w:r>
          </w:p>
        </w:tc>
      </w:tr>
      <w:tr>
        <w:tc>
          <w:tcPr>
            <w:tcW w:type="dxa" w:w="5184"/>
          </w:tcPr>
          <w:p>
            <w:r>
              <w:t>行业案例吸收</w:t>
            </w:r>
          </w:p>
        </w:tc>
        <w:tc>
          <w:tcPr>
            <w:tcW w:type="dxa" w:w="5184"/>
          </w:tcPr>
          <w:p>
            <w:r>
              <w:t>02_行业模型与设计原则/05_行业案例吸收与裁剪.md</w:t>
            </w:r>
          </w:p>
        </w:tc>
      </w:tr>
      <w:tr>
        <w:tc>
          <w:tcPr>
            <w:tcW w:type="dxa" w:w="5184"/>
          </w:tcPr>
          <w:p>
            <w:r>
              <w:t>策略定位</w:t>
            </w:r>
          </w:p>
        </w:tc>
        <w:tc>
          <w:tcPr>
            <w:tcW w:type="dxa" w:w="5184"/>
          </w:tcPr>
          <w:p>
            <w:r>
              <w:t>06_策略与清分设计/01_清分结算策略定位.md</w:t>
            </w:r>
          </w:p>
        </w:tc>
      </w:tr>
      <w:tr>
        <w:tc>
          <w:tcPr>
            <w:tcW w:type="dxa" w:w="5184"/>
          </w:tcPr>
          <w:p>
            <w:r>
              <w:t>结算模式</w:t>
            </w:r>
          </w:p>
        </w:tc>
        <w:tc>
          <w:tcPr>
            <w:tcW w:type="dxa" w:w="5184"/>
          </w:tcPr>
          <w:p>
            <w:r>
              <w:t>06_策略与清分设计/06_结算模式与发起方式.md</w:t>
            </w:r>
          </w:p>
        </w:tc>
      </w:tr>
      <w:tr>
        <w:tc>
          <w:tcPr>
            <w:tcW w:type="dxa" w:w="5184"/>
          </w:tcPr>
          <w:p>
            <w:r>
              <w:t>金额阈值与留存</w:t>
            </w:r>
          </w:p>
        </w:tc>
        <w:tc>
          <w:tcPr>
            <w:tcW w:type="dxa" w:w="5184"/>
          </w:tcPr>
          <w:p>
            <w:r>
              <w:t>06_策略与清分设计/07_最小最大金额与留存金额策略.md</w:t>
            </w:r>
          </w:p>
        </w:tc>
      </w:tr>
      <w:tr>
        <w:tc>
          <w:tcPr>
            <w:tcW w:type="dxa" w:w="5184"/>
          </w:tcPr>
          <w:p>
            <w:r>
              <w:t>策略绑定</w:t>
            </w:r>
          </w:p>
        </w:tc>
        <w:tc>
          <w:tcPr>
            <w:tcW w:type="dxa" w:w="5184"/>
          </w:tcPr>
          <w:p>
            <w:r>
              <w:t>06_策略与清分设计/08_策略绑定模型.md</w:t>
            </w:r>
          </w:p>
        </w:tc>
      </w:tr>
      <w:tr>
        <w:tc>
          <w:tcPr>
            <w:tcW w:type="dxa" w:w="5184"/>
          </w:tcPr>
          <w:p>
            <w:r>
              <w:t>DDL</w:t>
            </w:r>
          </w:p>
        </w:tc>
        <w:tc>
          <w:tcPr>
            <w:tcW w:type="dxa" w:w="5184"/>
          </w:tcPr>
          <w:p>
            <w:r>
              <w:t>08_数据模型与存储设计/03_DDL_V009_P0.sql</w:t>
            </w:r>
          </w:p>
        </w:tc>
      </w:tr>
      <w:tr>
        <w:tc>
          <w:tcPr>
            <w:tcW w:type="dxa" w:w="5184"/>
          </w:tcPr>
          <w:p>
            <w:r>
              <w:t>接口</w:t>
            </w:r>
          </w:p>
        </w:tc>
        <w:tc>
          <w:tcPr>
            <w:tcW w:type="dxa" w:w="5184"/>
          </w:tcPr>
          <w:p>
            <w:r>
              <w:t>09_接口契约与事件协议/openapi.yaml</w:t>
            </w:r>
          </w:p>
        </w:tc>
      </w:tr>
      <w:tr>
        <w:tc>
          <w:tcPr>
            <w:tcW w:type="dxa" w:w="5184"/>
          </w:tcPr>
          <w:p>
            <w:r>
              <w:t>任务卡</w:t>
            </w:r>
          </w:p>
        </w:tc>
        <w:tc>
          <w:tcPr>
            <w:tcW w:type="dxa" w:w="5184"/>
          </w:tcPr>
          <w:p>
            <w:r>
              <w:t>14_代码落地任务包/03_Codex开发任务卡.md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