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清结算平台 V004 SDD 开发准入总览</w:t>
      </w:r>
    </w:p>
    <w:p>
      <w:pPr>
        <w:jc w:val="center"/>
      </w:pPr>
      <w:r>
        <w:rPr>
          <w:rFonts w:ascii="Noto Sans CJK SC" w:hAnsi="Noto Sans CJK SC" w:eastAsia="Noto Sans CJK SC"/>
          <w:sz w:val="20"/>
        </w:rPr>
        <w:t>正式技术方案规范对齐版｜P0 普通商品核销后清结算入账闭环｜2026-06-14</w:t>
      </w:r>
    </w:p>
    <w:p>
      <w:pPr>
        <w:pStyle w:val="Heading1"/>
      </w:pPr>
      <w:r>
        <w:t>1. 一句话结论</w:t>
      </w:r>
    </w:p>
    <w:p>
      <w:r>
        <w:t>V004 在保留 V003 清结算平台业务方向的基础上，完成正式技术方案目录、DDD 领域模型、SDD 开发落地、DDL 统一规范、状态机矩阵、接口契约、幂等补偿、测试验收和 Codex 任务卡对齐。P0 仍然只做本地生活普通商品核销后清结算入账闭环；不引入冻结/止付，不把出款核心 TRANSFER 作为 P0 主链路。</w:t>
      </w:r>
    </w:p>
    <w:p>
      <w:pPr>
        <w:pStyle w:val="Heading1"/>
      </w:pPr>
      <w:r>
        <w:t>2. 本版设计硬约束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类别</w:t>
            </w:r>
          </w:p>
        </w:tc>
        <w:tc>
          <w:tcPr>
            <w:tcW w:type="dxa" w:w="835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V004 约束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平台定位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按成熟本地生活/电商清结算中心设计，不被当前页面口径反向定义。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 范围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普通商品核销完成后的清分、清算、结算、账务入账、后台商家应付、商户端展示。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非 P0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不做自动出款、不接 TRANSFER、不做团餐/邀新/渠道全量接入、不做完整对账差错工作台。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DDD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明确限界上下文、聚合根、领域服务、不变量、领域事件。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SDD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明确 DDL、接口、DTO、状态机矩阵、事务边界、异常补偿、测试验收、开发任务卡。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金额 BIGINT 分；不设计 currency；不设计 tenant_id；主键 BIGINT UNSIGNED。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幂等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写入请求统一记录 idempotent_key 和 request_hash。</w:t>
            </w:r>
          </w:p>
        </w:tc>
      </w:tr>
    </w:tbl>
    <w:p/>
    <w:p>
      <w:pPr>
        <w:pStyle w:val="Heading1"/>
      </w:pPr>
      <w:r>
        <w:t>3. 清结算主链路</w:t>
      </w:r>
    </w:p>
    <w:p>
      <w:r>
        <w:drawing>
          <wp:inline xmlns:a="http://schemas.openxmlformats.org/drawingml/2006/main" xmlns:pic="http://schemas.openxmlformats.org/drawingml/2006/picture">
            <wp:extent cx="6309360" cy="2258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n_ch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5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8" w:hanging="216"/>
      </w:pPr>
      <w:r>
        <w:rPr>
          <w:b/>
        </w:rPr>
        <w:t xml:space="preserve">• </w:t>
      </w:r>
      <w:r>
        <w:t>核销完成事件进入清结算平台，落来源事件 inbox。</w:t>
      </w:r>
    </w:p>
    <w:p>
      <w:pPr>
        <w:ind w:left="288" w:hanging="216"/>
      </w:pPr>
      <w:r>
        <w:rPr>
          <w:b/>
        </w:rPr>
        <w:t xml:space="preserve">• </w:t>
      </w:r>
      <w:r>
        <w:t>清分生成订单级资金归属；清算生成在途/可结算/锁定等待结算生命周期。</w:t>
      </w:r>
    </w:p>
    <w:p>
      <w:pPr>
        <w:ind w:left="288" w:hanging="216"/>
      </w:pPr>
      <w:r>
        <w:rPr>
          <w:b/>
        </w:rPr>
        <w:t xml:space="preserve">• </w:t>
      </w:r>
      <w:r>
        <w:t>后台商家应付只展示 ELIGIBLE；商户端待结算由 BFF 做宽口径适配。</w:t>
      </w:r>
    </w:p>
    <w:p>
      <w:pPr>
        <w:ind w:left="288" w:hanging="216"/>
      </w:pPr>
      <w:r>
        <w:rPr>
          <w:b/>
        </w:rPr>
        <w:t xml:space="preserve">• </w:t>
      </w:r>
      <w:r>
        <w:t>平台运营统一确认结算，单条/批量共用方法。</w:t>
      </w:r>
    </w:p>
    <w:p>
      <w:pPr>
        <w:ind w:left="288" w:hanging="216"/>
      </w:pPr>
      <w:r>
        <w:rPr>
          <w:b/>
        </w:rPr>
        <w:t xml:space="preserve">• </w:t>
      </w:r>
      <w:r>
        <w:t>账务入账编排调用账户账务平台 recordProductSettlement，成功后商户可提现余额增加。</w:t>
      </w:r>
    </w:p>
    <w:p>
      <w:pPr>
        <w:pStyle w:val="Heading1"/>
      </w:pPr>
      <w:r>
        <w:t>4. DDD 限界上下文</w:t>
      </w:r>
    </w:p>
    <w:p>
      <w:r>
        <w:drawing>
          <wp:inline xmlns:a="http://schemas.openxmlformats.org/drawingml/2006/main" xmlns:pic="http://schemas.openxmlformats.org/drawingml/2006/picture">
            <wp:extent cx="6126480" cy="75140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xt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51405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限界上下文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P0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事件接入上下文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接收核销完成、退款成功、取消核销事件，落 ccs_source_event。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清分上下文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 普通商品由 finance_detail 映射标准清分结果。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清算上下文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管理在途、可结算、锁定、入账成功/失败等生命周期。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结算单上下文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生成批次、结算单、结算明细，执行统一确认结算。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账务入账编排上下文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调用账户账务平台，处理成功、失败、UNKNOWN。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商户资金查询上下文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为 BFF 提供读模型，适配产品口径。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对账差错上下文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 只保留索引与状态基础。</w:t>
            </w:r>
          </w:p>
        </w:tc>
      </w:tr>
    </w:tbl>
    <w:p/>
    <w:p>
      <w:pPr>
        <w:pStyle w:val="Heading1"/>
      </w:pPr>
      <w:r>
        <w:t>5. 状态机总览</w:t>
      </w:r>
    </w:p>
    <w:p>
      <w:r>
        <w:drawing>
          <wp:inline xmlns:a="http://schemas.openxmlformats.org/drawingml/2006/main" xmlns:pic="http://schemas.openxmlformats.org/drawingml/2006/picture">
            <wp:extent cx="5669280" cy="8346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ate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3465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状态机</w:t>
            </w:r>
          </w:p>
        </w:tc>
        <w:tc>
          <w:tcPr>
            <w:tcW w:type="dxa" w:w="820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待结算项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IN_TRANSIT、ELIGIBLE、LOCKED、ACCOUNTING_PROCESSING、ACCOUNTING_FAILED、ACCOUNTED、CANCELED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结算单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CREATED、CONFIRMED、ACCOUNTING_PROCESSING、ACCOUNTED、ACCOUNTING_FAILED、UNKNOWN、CANCELED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账务入账单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INIT、REQUESTING、SUCCESS、FAILED、UNKNOWN</w:t>
            </w:r>
          </w:p>
        </w:tc>
      </w:tr>
    </w:tbl>
    <w:p/>
    <w:p>
      <w:pPr>
        <w:pStyle w:val="Heading1"/>
      </w:pPr>
      <w:r>
        <w:t>6. 数据模型规范变化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V003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V004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金额字段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DECIMAL(18,2)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BIGINT，单位分，人民币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币种字段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 currency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删除，P0 固定人民币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多租户字段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 tenant_id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删除，待统一多租户规范后单独决策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主键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BIGINT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BIGINT UNSIGNED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表字符集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utf8mb4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utf8mb4 COLLATE=utf8mb4_general_ci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幂等一致性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只有幂等键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补 request_hash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跨平台业务归属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部分 source 字段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 caller_system / biz_domain / biz_no</w:t>
            </w:r>
          </w:p>
        </w:tc>
      </w:tr>
    </w:tbl>
    <w:p/>
    <w:p>
      <w:pPr>
        <w:pStyle w:val="Heading1"/>
      </w:pPr>
      <w:r>
        <w:t>7. 主要开发文件入口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  <w:tc>
          <w:tcPr>
            <w:tcW w:type="dxa" w:w="7920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文件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一期范围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01_业务场景与需求/00_一期普通商品范围与非范围.md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DDD 设计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02_领域模型/00_领域模型总览.md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状态矩阵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03_流程与状态机/02_待结算项状态机.md 等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 DDL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05_数据模型/02_DDL_V004_P0.sql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接口契约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04_接口契约/openapi.yaml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幂等补偿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06_一致性_幂等_异常_补偿/01_幂等规则.md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Codex 任务卡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08_代码落地任务包/01_Codex开发任务卡.md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准出清单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08_代码落地任务包/05_准出清单.md</w:t>
            </w:r>
          </w:p>
        </w:tc>
      </w:tr>
    </w:tbl>
    <w:p/>
    <w:p>
      <w:pPr>
        <w:pStyle w:val="Heading1"/>
      </w:pPr>
      <w:r>
        <w:t>8. 开发准入结论</w:t>
      </w:r>
    </w:p>
    <w:p>
      <w:r>
        <w:t>V004 可作为普通商品 P0 清结算开发准入依据。进入编码前仍需人工确认：旧链路切换时间点、账务接口返回字段、普通商品 finance_detail 字段最终映射、退款事件来源和 BFF 新老合并展示口径。</w:t>
      </w:r>
    </w:p>
    <w:sectPr w:rsidR="00FC693F" w:rsidRPr="0006063C" w:rsidSect="00034616">
      <w:footerReference w:type="default" r:id="rId1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清结算平台 V004 SDD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