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CBE69" w14:textId="77777777" w:rsidR="00E14AE9" w:rsidRDefault="005F68F4" w:rsidP="00081B33">
      <w:pPr>
        <w:pStyle w:val="1"/>
        <w:ind w:firstLineChars="0" w:firstLine="0"/>
        <w:jc w:val="center"/>
      </w:pPr>
      <w:r w:rsidRPr="005F68F4">
        <w:t>Discrepancy in Risky Decision Making of Insomniac Group and Correlated Neural Representations</w:t>
      </w:r>
    </w:p>
    <w:p w14:paraId="2BA1ADAB" w14:textId="77777777" w:rsidR="005F68F4" w:rsidRPr="00081B33" w:rsidRDefault="005F68F4" w:rsidP="005F68F4">
      <w:pPr>
        <w:jc w:val="center"/>
        <w:rPr>
          <w:b/>
          <w:bCs/>
          <w:sz w:val="28"/>
          <w:szCs w:val="24"/>
        </w:rPr>
      </w:pPr>
      <w:r w:rsidRPr="00081B33">
        <w:rPr>
          <w:rFonts w:hint="eastAsia"/>
          <w:b/>
          <w:bCs/>
          <w:sz w:val="28"/>
          <w:szCs w:val="24"/>
        </w:rPr>
        <w:t>MC36424 Wang Ruisi; MC</w:t>
      </w:r>
      <w:r w:rsidRPr="00081B33">
        <w:rPr>
          <w:b/>
          <w:bCs/>
          <w:sz w:val="28"/>
          <w:szCs w:val="24"/>
        </w:rPr>
        <w:t>36425</w:t>
      </w:r>
      <w:r w:rsidRPr="00081B33">
        <w:rPr>
          <w:rFonts w:hint="eastAsia"/>
          <w:b/>
          <w:bCs/>
          <w:sz w:val="28"/>
          <w:szCs w:val="24"/>
        </w:rPr>
        <w:t xml:space="preserve"> </w:t>
      </w:r>
      <w:r w:rsidRPr="00081B33">
        <w:rPr>
          <w:b/>
          <w:bCs/>
          <w:sz w:val="28"/>
          <w:szCs w:val="24"/>
        </w:rPr>
        <w:t>Y</w:t>
      </w:r>
      <w:r w:rsidRPr="00081B33">
        <w:rPr>
          <w:rFonts w:hint="eastAsia"/>
          <w:b/>
          <w:bCs/>
          <w:sz w:val="28"/>
          <w:szCs w:val="24"/>
        </w:rPr>
        <w:t>uan</w:t>
      </w:r>
      <w:r w:rsidRPr="00081B33">
        <w:rPr>
          <w:b/>
          <w:bCs/>
          <w:sz w:val="28"/>
          <w:szCs w:val="24"/>
        </w:rPr>
        <w:t xml:space="preserve"> J</w:t>
      </w:r>
      <w:r w:rsidRPr="00081B33">
        <w:rPr>
          <w:rFonts w:hint="eastAsia"/>
          <w:b/>
          <w:bCs/>
          <w:sz w:val="28"/>
          <w:szCs w:val="24"/>
        </w:rPr>
        <w:t>ingrui; MC36419, Miao He</w:t>
      </w:r>
    </w:p>
    <w:p w14:paraId="5BA6DB30" w14:textId="06FBB17B" w:rsidR="00F0348E" w:rsidRPr="00081B33" w:rsidRDefault="00F0348E" w:rsidP="00301C9A">
      <w:pPr>
        <w:jc w:val="center"/>
        <w:rPr>
          <w:rFonts w:hint="eastAsia"/>
          <w:b/>
          <w:bCs/>
          <w:sz w:val="28"/>
          <w:szCs w:val="24"/>
          <w:lang w:eastAsia="zh-CN"/>
        </w:rPr>
      </w:pPr>
      <w:r w:rsidRPr="00081B33">
        <w:rPr>
          <w:rFonts w:hint="eastAsia"/>
          <w:b/>
          <w:bCs/>
          <w:sz w:val="28"/>
          <w:szCs w:val="24"/>
          <w:lang w:eastAsia="zh-CN"/>
        </w:rPr>
        <w:t>University of Macau</w:t>
      </w:r>
    </w:p>
    <w:p w14:paraId="1341C660" w14:textId="6EF69059" w:rsidR="000105C2" w:rsidRDefault="00F0348E" w:rsidP="007257D4">
      <w:pPr>
        <w:spacing w:line="240" w:lineRule="auto"/>
        <w:jc w:val="center"/>
      </w:pPr>
      <w:r w:rsidRPr="00081B33">
        <w:rPr>
          <w:rFonts w:hint="eastAsia"/>
          <w:b/>
          <w:bCs/>
          <w:sz w:val="28"/>
          <w:szCs w:val="24"/>
          <w:lang w:eastAsia="zh-CN"/>
        </w:rPr>
        <w:t>08/05/2024</w:t>
      </w:r>
      <w:r w:rsidR="00453102">
        <w:br w:type="page"/>
      </w:r>
    </w:p>
    <w:p w14:paraId="5D640B9F" w14:textId="77777777" w:rsidR="00EA0950" w:rsidRPr="004C1C4E" w:rsidRDefault="00EA0950" w:rsidP="00081B33">
      <w:pPr>
        <w:pStyle w:val="2"/>
      </w:pPr>
      <w:r w:rsidRPr="004C1C4E">
        <w:lastRenderedPageBreak/>
        <w:t>Abstract</w:t>
      </w:r>
    </w:p>
    <w:p w14:paraId="621EACD3" w14:textId="77777777" w:rsidR="00EA0950" w:rsidRDefault="00EA0950" w:rsidP="00EA0950">
      <w:pPr>
        <w:spacing w:line="240" w:lineRule="auto"/>
        <w:jc w:val="center"/>
      </w:pPr>
    </w:p>
    <w:p w14:paraId="7E61A04A" w14:textId="2D74D53B" w:rsidR="000105C2" w:rsidRDefault="00DA72E4" w:rsidP="00081B33">
      <w:pPr>
        <w:jc w:val="both"/>
        <w:rPr>
          <w:rFonts w:hint="eastAsia"/>
          <w:lang w:eastAsia="zh-CN"/>
        </w:rPr>
      </w:pPr>
      <w:r w:rsidRPr="00DA72E4">
        <w:t>This study investigated the impact of insomnia on risky decision-making in adolescents. The Cambridge Gambling Task (CGT) was used to evaluate the performance of an insomnia group and a control group on four measures: quality of decision-making, deliberation time, risk-taking, and risk adjustment. The results showed that the insomnia group had significantly longer deliberation times than the control group, suggesting that insomnia may lead to slower cognitive processing speed. However, there were no significant differences between the two groups in quality of decision-making, risk-taking, and risk adjustment. Correlation analyses revealed a negative correlation between deliberation time and quality of decision-making, and a near-significant positive correlation between subjective sleep quality scores and deliberation time. These findings indicate that while insomnia may slow down the decision-making process, it does not necessarily lead to increased risk-taking behavior, as participants may adjust their decision-making strategies due to self-awareness of cognitive deficits. Further research is needed to explore the longitudinal effects of insomnia on risky decision-making.</w:t>
      </w:r>
    </w:p>
    <w:p w14:paraId="024F43D4" w14:textId="77777777" w:rsidR="000105C2" w:rsidRDefault="000105C2" w:rsidP="00A659DD">
      <w:pPr>
        <w:contextualSpacing/>
        <w:jc w:val="center"/>
      </w:pPr>
    </w:p>
    <w:p w14:paraId="35E9C2C1" w14:textId="77777777" w:rsidR="000105C2" w:rsidRDefault="000105C2" w:rsidP="00A659DD">
      <w:pPr>
        <w:contextualSpacing/>
        <w:jc w:val="center"/>
      </w:pPr>
    </w:p>
    <w:p w14:paraId="63E13C6E" w14:textId="77777777" w:rsidR="000105C2" w:rsidRDefault="000105C2" w:rsidP="00A659DD">
      <w:pPr>
        <w:contextualSpacing/>
        <w:jc w:val="center"/>
      </w:pPr>
    </w:p>
    <w:p w14:paraId="52D84265" w14:textId="77777777" w:rsidR="000105C2" w:rsidRDefault="000105C2" w:rsidP="00A659DD">
      <w:pPr>
        <w:contextualSpacing/>
        <w:jc w:val="center"/>
      </w:pPr>
    </w:p>
    <w:p w14:paraId="4D77EEE3" w14:textId="77777777" w:rsidR="000105C2" w:rsidRDefault="000105C2" w:rsidP="00A659DD">
      <w:pPr>
        <w:contextualSpacing/>
        <w:jc w:val="center"/>
      </w:pPr>
    </w:p>
    <w:p w14:paraId="0D145E46" w14:textId="77777777" w:rsidR="000105C2" w:rsidRDefault="000105C2" w:rsidP="00A659DD">
      <w:pPr>
        <w:contextualSpacing/>
        <w:jc w:val="center"/>
      </w:pPr>
    </w:p>
    <w:p w14:paraId="617154CE" w14:textId="77777777" w:rsidR="000105C2" w:rsidRDefault="000105C2" w:rsidP="00A659DD">
      <w:pPr>
        <w:contextualSpacing/>
        <w:jc w:val="center"/>
      </w:pPr>
    </w:p>
    <w:p w14:paraId="53CF5793" w14:textId="77777777" w:rsidR="000105C2" w:rsidRDefault="000105C2" w:rsidP="00A659DD">
      <w:pPr>
        <w:contextualSpacing/>
        <w:jc w:val="center"/>
      </w:pPr>
    </w:p>
    <w:p w14:paraId="545F7C17" w14:textId="77777777" w:rsidR="000105C2" w:rsidRDefault="000105C2" w:rsidP="00A659DD">
      <w:pPr>
        <w:contextualSpacing/>
        <w:jc w:val="center"/>
      </w:pPr>
    </w:p>
    <w:p w14:paraId="1F3C0BC6" w14:textId="465C60F3" w:rsidR="005D5506" w:rsidRDefault="00E860E7" w:rsidP="00F0348E">
      <w:pPr>
        <w:spacing w:line="240" w:lineRule="auto"/>
      </w:pPr>
      <w:r>
        <w:br w:type="page"/>
      </w:r>
      <w:r w:rsidR="00CF25ED">
        <w:lastRenderedPageBreak/>
        <w:tab/>
      </w:r>
    </w:p>
    <w:p w14:paraId="5D9C787B" w14:textId="77777777" w:rsidR="00B659F9" w:rsidRPr="00081B33" w:rsidRDefault="005D5506" w:rsidP="00081B33">
      <w:pPr>
        <w:pStyle w:val="2"/>
        <w:rPr>
          <w:rFonts w:ascii="Times New Roman" w:hAnsi="Times New Roman" w:cs="Times New Roman"/>
        </w:rPr>
      </w:pPr>
      <w:r w:rsidRPr="00081B33">
        <w:rPr>
          <w:rFonts w:ascii="Times New Roman" w:hAnsi="Times New Roman" w:cs="Times New Roman"/>
        </w:rPr>
        <w:t>Introduction</w:t>
      </w:r>
    </w:p>
    <w:p w14:paraId="56C6E072" w14:textId="77777777" w:rsidR="005D5506" w:rsidRDefault="005D5506" w:rsidP="005D5506">
      <w:pPr>
        <w:contextualSpacing/>
      </w:pPr>
      <w:r w:rsidRPr="005D5506">
        <w:t>Insomnia is characterized by the persistent difficulty in initiating or maintaining sleep, or experiencing non-restorative sleep, is a prevalent sleep disorder with profound implications for cognitive and emotional well-being (American Psychiatric Association, 2013). The impact of insomnia is particularly significant during adolescence, a critical period marked by substantial developmental changes (de Zambotti et al., 2018). Adolescents already facing the challenges of growth and maturation with comorbidity of other disorders, are disproportionately affected by insomnia, which can lead to impaired decision-making and emotional regulation (Roberts et al., 2008; Johnson et al., 2006). The decision-making process, intricately linked to emotional and cognitive functions, is vulnerable to the effects of insomnia (Casement et al., 2016). Studies have shown that individuals with insomnia exhibit altered neural reward processing, which is crucial for emotional regulation and cognitive control (Xi et al., 2019). This relationship between insomnia and decision-making is of paramount importance, as it can lead to increased risk-taking behavior and impaired judgment, with potential long-term consequences for personal and social functioning (Telzer et al., 2013; Roberts et al., 2008). Given these serious implications, it is essential to explore the effects of insomnia on risky decision-making in adolescents to inform potential interventions and improve public health outcomes.</w:t>
      </w:r>
    </w:p>
    <w:p w14:paraId="269D667C" w14:textId="77777777" w:rsidR="005D5506" w:rsidRDefault="005D5506" w:rsidP="005D5506">
      <w:pPr>
        <w:contextualSpacing/>
      </w:pPr>
      <w:r w:rsidRPr="005D5506">
        <w:t xml:space="preserve">Previous studies have suggested that insomnia during adolescence is linked to an increased propensity for risk-taking behaviors, which can manifest in substance abuse, reckless driving, and other impulsive actions with severe consequences (Roberts et al., 2008; Alvaro et al., 2016). The relationship between insomnia and risk-taking behavior is mediated by the effects of sleep deprivation on cognitive control and decision-making processes, particularly in the context of </w:t>
      </w:r>
      <w:r w:rsidRPr="005D5506">
        <w:lastRenderedPageBreak/>
        <w:t>reward sensitivity (Telzer et al., 2013; Casement et al., 2016). For example, research has shown that poor sleep quality in adolescents correlates with increased risk-taking related with reward processing (Telzer et al., 2013). Furthermore, studies indicate that adolescents with insomnia perform poorly on tasks requiring executive functioning, which is crucial for regulating complex behaviors and decision-making (Kuula et al., 2015; de Zambotti et al., 2018). The impact of insomnia on cognitive performance, including working memory and executive functioning, is suggested as a potential mechanism underlying the association between insomnia and risk-taking behavior (Dewald et al., 2010; Johnson et al., 2006). However, it is still unclear the specific effect of insomnia for risk-taking behaviors or if these behaviors contribute to the development or maintenance of insomnia, also the temporal sequence and the neurobiological processes that link insomnia with impaired decision-making and risk-taking behavior.</w:t>
      </w:r>
    </w:p>
    <w:p w14:paraId="7F715A31" w14:textId="77777777" w:rsidR="005D5506" w:rsidRDefault="005D5506" w:rsidP="005D5506">
      <w:pPr>
        <w:contextualSpacing/>
      </w:pPr>
      <w:r w:rsidRPr="005D5506">
        <w:t xml:space="preserve">The neuroimaging result also demonstrates that individuals with insomnia exhibit distinct patterns of brain activation in regions associated with risk and decision-making compared to healthy individuals. Specifically, insomnia is linked to altered activity in the amygdala, a region correlated with processing emotional salience and risk assessment (Xi et al., 2019). Additionally, the prefrontal cortex, which plays a key role in executive functions and decision-making, shows differential activation in those with insomnia (Xi et al., 2019). These findings are particularly significant as they align with the results from the Cambridge Gambling Task (CGT), which highlight the involvement of the prefrontal cortex and the striatum—part of the brain's reward system—during decision-making under risk (Kurosch et al., 2018). The CGT also reveals increased activation in the anterior cingulate cortex when participants face choices with potential rewards or losses, suggesting a role in conflict monitoring and risk evaluation (Kurosch et al., 2018). The overlap in the neural substrates engaged during the CGT and those affected by </w:t>
      </w:r>
      <w:r w:rsidRPr="005D5506">
        <w:lastRenderedPageBreak/>
        <w:t>insomnia underscores the potential impact of sleep disturbances on decision-making processes. So, the significance of these findings is that CGT could be used as a bridge between the realms of sleep and decision-making, offering insights into how insomnia may alter brain activity in decision-making tasks.</w:t>
      </w:r>
    </w:p>
    <w:p w14:paraId="3A9DFE04" w14:textId="77777777" w:rsidR="005D5506" w:rsidRPr="005D5506" w:rsidRDefault="005D5506" w:rsidP="005D5506">
      <w:pPr>
        <w:contextualSpacing/>
      </w:pPr>
      <w:r w:rsidRPr="005D5506">
        <w:t>In this study, we wonder whether individuals with insomnia are more likely to make risky decisions compared to normal people, due to impaired decision-making abilities caused by insomnia. Our first hypothesis is that the insomnia group will underperform in the Cambridge Gambling Task (CGT), suggesting a diminished capacity for optimal decision-making under uncertainty. The second hypothesis is about the possibility that individuals with insomnia will exhibit a higher propensity for risk-taking in the CGT. Lastly, we hypothesized that people with insomnia might react more slowly during the CGT, which could suggest problems with thinking and focusing. By examining these hypotheses, our study seeks to shed light on the intricate relationship between insomnia and decision-making. This study’s result could help us find ways to improve decision-making in young people with sleep problems.</w:t>
      </w:r>
    </w:p>
    <w:p w14:paraId="5A26AECD" w14:textId="77777777" w:rsidR="005D5506" w:rsidRPr="00081B33" w:rsidRDefault="005D5506" w:rsidP="00081B33">
      <w:pPr>
        <w:pStyle w:val="2"/>
        <w:rPr>
          <w:rFonts w:ascii="Times New Roman" w:hAnsi="Times New Roman" w:cs="Times New Roman"/>
        </w:rPr>
      </w:pPr>
      <w:r w:rsidRPr="00081B33">
        <w:rPr>
          <w:rFonts w:ascii="Times New Roman" w:hAnsi="Times New Roman" w:cs="Times New Roman"/>
        </w:rPr>
        <w:t>Method</w:t>
      </w:r>
    </w:p>
    <w:p w14:paraId="190CD607" w14:textId="77777777" w:rsidR="005D5506" w:rsidRPr="00081B33" w:rsidRDefault="005D5506" w:rsidP="00081B33">
      <w:pPr>
        <w:pStyle w:val="3"/>
        <w:rPr>
          <w:sz w:val="28"/>
          <w:szCs w:val="28"/>
        </w:rPr>
      </w:pPr>
      <w:r w:rsidRPr="00081B33">
        <w:rPr>
          <w:sz w:val="28"/>
          <w:szCs w:val="28"/>
        </w:rPr>
        <w:t>C</w:t>
      </w:r>
      <w:r w:rsidRPr="00081B33">
        <w:rPr>
          <w:rFonts w:hint="eastAsia"/>
          <w:sz w:val="28"/>
          <w:szCs w:val="28"/>
        </w:rPr>
        <w:t xml:space="preserve">ambridge </w:t>
      </w:r>
      <w:r w:rsidRPr="00081B33">
        <w:rPr>
          <w:sz w:val="28"/>
          <w:szCs w:val="28"/>
        </w:rPr>
        <w:t>G</w:t>
      </w:r>
      <w:r w:rsidRPr="00081B33">
        <w:rPr>
          <w:rFonts w:hint="eastAsia"/>
          <w:sz w:val="28"/>
          <w:szCs w:val="28"/>
        </w:rPr>
        <w:t xml:space="preserve">ambling </w:t>
      </w:r>
      <w:r w:rsidRPr="00081B33">
        <w:rPr>
          <w:sz w:val="28"/>
          <w:szCs w:val="28"/>
        </w:rPr>
        <w:t>T</w:t>
      </w:r>
      <w:r w:rsidRPr="00081B33">
        <w:rPr>
          <w:rFonts w:hint="eastAsia"/>
          <w:sz w:val="28"/>
          <w:szCs w:val="28"/>
        </w:rPr>
        <w:t>ask (CGT)</w:t>
      </w:r>
    </w:p>
    <w:p w14:paraId="1C7B7F12" w14:textId="77777777" w:rsidR="005D5506" w:rsidRPr="005D5506" w:rsidRDefault="005D5506" w:rsidP="005D5506">
      <w:pPr>
        <w:contextualSpacing/>
        <w:rPr>
          <w:szCs w:val="24"/>
        </w:rPr>
      </w:pPr>
      <w:r w:rsidRPr="005D5506">
        <w:rPr>
          <w:szCs w:val="24"/>
        </w:rPr>
        <w:t xml:space="preserve">The Cambridge Gambling Task, or CGT, consists of three phases.  In the Color Determination Phase, each trial displays 10 cards of both red and blue colors. Each color varies from 1 to 9. The reward will appear in one of the colors. During the color decision phase, the participant clicks the left/right button to make selection. After the participant has chosen a color to bet on, the betting decision stage is reached. The bets appear randomly from small to large and from large to small (in proportions of 95%, 75%, 50%, 25% and 5% of the total prize). When the participant wants </w:t>
      </w:r>
      <w:r w:rsidRPr="005D5506">
        <w:rPr>
          <w:szCs w:val="24"/>
        </w:rPr>
        <w:lastRenderedPageBreak/>
        <w:t>to place a bet at that bet amount, he/she presses the "Place" button. After placing the bet, the final stage was the results stage. If the participant guessed correctly, they would receive the appropriate amount; if the subject guessed incorrectly, they would lose the appropriate amount.</w:t>
      </w:r>
    </w:p>
    <w:p w14:paraId="48C695AD" w14:textId="77777777" w:rsidR="005D5506" w:rsidRDefault="005D5506" w:rsidP="005D5506">
      <w:pPr>
        <w:contextualSpacing/>
        <w:rPr>
          <w:szCs w:val="24"/>
        </w:rPr>
      </w:pPr>
      <w:r w:rsidRPr="0038493E">
        <w:rPr>
          <w:szCs w:val="24"/>
        </w:rPr>
        <w:t>In the first phase, participants choose between two colors—red and blue. The probability of reward aligns with the color distribution shown. Participants select their choice by clicking left or right. In the second phase, following the color decision, the bet decision phase begins. Bets range from small to large, presented in varying ratios and in random order. using the Down button to select their bet amount. Finally, the outcome phase reveals whether the guess</w:t>
      </w:r>
      <w:r>
        <w:rPr>
          <w:szCs w:val="24"/>
        </w:rPr>
        <w:t xml:space="preserve"> was correct.</w:t>
      </w:r>
    </w:p>
    <w:p w14:paraId="0568FA46" w14:textId="77777777" w:rsidR="00E35FE8" w:rsidRDefault="00E35FE8" w:rsidP="005D5506">
      <w:pPr>
        <w:contextualSpacing/>
        <w:rPr>
          <w:b/>
          <w:bCs/>
        </w:rPr>
      </w:pPr>
      <w:r>
        <w:rPr>
          <w:noProof/>
        </w:rPr>
        <mc:AlternateContent>
          <mc:Choice Requires="wps">
            <w:drawing>
              <wp:anchor distT="0" distB="0" distL="114300" distR="114300" simplePos="0" relativeHeight="251661312" behindDoc="0" locked="0" layoutInCell="1" allowOverlap="1" wp14:anchorId="27ED736A" wp14:editId="5B71696C">
                <wp:simplePos x="0" y="0"/>
                <wp:positionH relativeFrom="column">
                  <wp:posOffset>0</wp:posOffset>
                </wp:positionH>
                <wp:positionV relativeFrom="paragraph">
                  <wp:posOffset>-104140</wp:posOffset>
                </wp:positionV>
                <wp:extent cx="4911725" cy="457200"/>
                <wp:effectExtent l="0" t="0" r="3175" b="0"/>
                <wp:wrapTopAndBottom/>
                <wp:docPr id="1841279533" name="文本框 1"/>
                <wp:cNvGraphicFramePr/>
                <a:graphic xmlns:a="http://schemas.openxmlformats.org/drawingml/2006/main">
                  <a:graphicData uri="http://schemas.microsoft.com/office/word/2010/wordprocessingShape">
                    <wps:wsp>
                      <wps:cNvSpPr txBox="1"/>
                      <wps:spPr>
                        <a:xfrm>
                          <a:off x="0" y="0"/>
                          <a:ext cx="4911725" cy="457200"/>
                        </a:xfrm>
                        <a:prstGeom prst="rect">
                          <a:avLst/>
                        </a:prstGeom>
                        <a:solidFill>
                          <a:prstClr val="white"/>
                        </a:solidFill>
                        <a:ln>
                          <a:noFill/>
                        </a:ln>
                      </wps:spPr>
                      <wps:txbx>
                        <w:txbxContent>
                          <w:p w14:paraId="0F8316BD" w14:textId="3FC9264D" w:rsidR="00E35FE8" w:rsidRPr="00081B33" w:rsidRDefault="00E35FE8" w:rsidP="00E35FE8">
                            <w:pPr>
                              <w:pStyle w:val="ad"/>
                              <w:jc w:val="center"/>
                              <w:rPr>
                                <w:rFonts w:ascii="Times New Roman" w:eastAsia="宋体" w:hAnsi="Times New Roman" w:cs="Times New Roman"/>
                                <w:b/>
                                <w:bCs/>
                                <w:noProof/>
                                <w:sz w:val="22"/>
                                <w:szCs w:val="21"/>
                              </w:rPr>
                            </w:pPr>
                            <w:r w:rsidRPr="00081B33">
                              <w:rPr>
                                <w:rFonts w:ascii="Times New Roman" w:hAnsi="Times New Roman" w:cs="Times New Roman"/>
                                <w:b/>
                                <w:bCs/>
                                <w:sz w:val="18"/>
                                <w:szCs w:val="18"/>
                              </w:rPr>
                              <w:t xml:space="preserve">Figure </w:t>
                            </w:r>
                            <w:r w:rsidRPr="00081B33">
                              <w:rPr>
                                <w:rFonts w:ascii="Times New Roman" w:hAnsi="Times New Roman" w:cs="Times New Roman"/>
                                <w:b/>
                                <w:bCs/>
                                <w:sz w:val="18"/>
                                <w:szCs w:val="18"/>
                              </w:rPr>
                              <w:fldChar w:fldCharType="begin"/>
                            </w:r>
                            <w:r w:rsidRPr="00081B33">
                              <w:rPr>
                                <w:rFonts w:ascii="Times New Roman" w:hAnsi="Times New Roman" w:cs="Times New Roman"/>
                                <w:b/>
                                <w:bCs/>
                                <w:sz w:val="18"/>
                                <w:szCs w:val="18"/>
                              </w:rPr>
                              <w:instrText xml:space="preserve"> SEQ Figure \* ARABIC </w:instrText>
                            </w:r>
                            <w:r w:rsidRPr="00081B33">
                              <w:rPr>
                                <w:rFonts w:ascii="Times New Roman" w:hAnsi="Times New Roman" w:cs="Times New Roman"/>
                                <w:b/>
                                <w:bCs/>
                                <w:sz w:val="18"/>
                                <w:szCs w:val="18"/>
                              </w:rPr>
                              <w:fldChar w:fldCharType="separate"/>
                            </w:r>
                            <w:r w:rsidR="00F0348E" w:rsidRPr="00081B33">
                              <w:rPr>
                                <w:rFonts w:ascii="Times New Roman" w:hAnsi="Times New Roman" w:cs="Times New Roman"/>
                                <w:b/>
                                <w:bCs/>
                                <w:noProof/>
                                <w:sz w:val="18"/>
                                <w:szCs w:val="18"/>
                              </w:rPr>
                              <w:t>1</w:t>
                            </w:r>
                            <w:r w:rsidRPr="00081B33">
                              <w:rPr>
                                <w:rFonts w:ascii="Times New Roman" w:hAnsi="Times New Roman" w:cs="Times New Roman"/>
                                <w:b/>
                                <w:bCs/>
                                <w:sz w:val="18"/>
                                <w:szCs w:val="18"/>
                              </w:rPr>
                              <w:fldChar w:fldCharType="end"/>
                            </w:r>
                            <w:r w:rsidRPr="00081B33">
                              <w:rPr>
                                <w:rFonts w:ascii="Times New Roman" w:hAnsi="Times New Roman" w:cs="Times New Roman"/>
                                <w:b/>
                                <w:bCs/>
                                <w:sz w:val="18"/>
                                <w:szCs w:val="18"/>
                              </w:rPr>
                              <w:t xml:space="preserve"> The Procedure of CGT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27ED736A" id="_x0000_t202" coordsize="21600,21600" o:spt="202" path="m,l,21600r21600,l21600,xe">
                <v:stroke joinstyle="miter"/>
                <v:path gradientshapeok="t" o:connecttype="rect"/>
              </v:shapetype>
              <v:shape id="文本框 1" o:spid="_x0000_s1026" type="#_x0000_t202" style="position:absolute;margin-left:0;margin-top:-8.2pt;width:386.7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" stroked="f">
                <v:textbox inset="0,0,0,0">
                  <w:txbxContent>
                    <w:p w14:paraId="0F8316BD" w14:textId="3FC9264D" w:rsidR="00E35FE8" w:rsidRPr="00081B33" w:rsidRDefault="00E35FE8" w:rsidP="00E35FE8">
                      <w:pPr>
                        <w:pStyle w:val="ad"/>
                        <w:jc w:val="center"/>
                        <w:rPr>
                          <w:rFonts w:ascii="Times New Roman" w:eastAsia="宋体" w:hAnsi="Times New Roman" w:cs="Times New Roman"/>
                          <w:b/>
                          <w:bCs/>
                          <w:noProof/>
                          <w:sz w:val="22"/>
                          <w:szCs w:val="21"/>
                        </w:rPr>
                      </w:pPr>
                      <w:r w:rsidRPr="00081B33">
                        <w:rPr>
                          <w:rFonts w:ascii="Times New Roman" w:hAnsi="Times New Roman" w:cs="Times New Roman"/>
                          <w:b/>
                          <w:bCs/>
                          <w:sz w:val="18"/>
                          <w:szCs w:val="18"/>
                        </w:rPr>
                        <w:t xml:space="preserve">Figure </w:t>
                      </w:r>
                      <w:r w:rsidRPr="00081B33">
                        <w:rPr>
                          <w:rFonts w:ascii="Times New Roman" w:hAnsi="Times New Roman" w:cs="Times New Roman"/>
                          <w:b/>
                          <w:bCs/>
                          <w:sz w:val="18"/>
                          <w:szCs w:val="18"/>
                        </w:rPr>
                        <w:fldChar w:fldCharType="begin"/>
                      </w:r>
                      <w:r w:rsidRPr="00081B33">
                        <w:rPr>
                          <w:rFonts w:ascii="Times New Roman" w:hAnsi="Times New Roman" w:cs="Times New Roman"/>
                          <w:b/>
                          <w:bCs/>
                          <w:sz w:val="18"/>
                          <w:szCs w:val="18"/>
                        </w:rPr>
                        <w:instrText xml:space="preserve"> SEQ Figure \* ARABIC </w:instrText>
                      </w:r>
                      <w:r w:rsidRPr="00081B33">
                        <w:rPr>
                          <w:rFonts w:ascii="Times New Roman" w:hAnsi="Times New Roman" w:cs="Times New Roman"/>
                          <w:b/>
                          <w:bCs/>
                          <w:sz w:val="18"/>
                          <w:szCs w:val="18"/>
                        </w:rPr>
                        <w:fldChar w:fldCharType="separate"/>
                      </w:r>
                      <w:r w:rsidR="00F0348E" w:rsidRPr="00081B33">
                        <w:rPr>
                          <w:rFonts w:ascii="Times New Roman" w:hAnsi="Times New Roman" w:cs="Times New Roman"/>
                          <w:b/>
                          <w:bCs/>
                          <w:noProof/>
                          <w:sz w:val="18"/>
                          <w:szCs w:val="18"/>
                        </w:rPr>
                        <w:t>1</w:t>
                      </w:r>
                      <w:r w:rsidRPr="00081B33">
                        <w:rPr>
                          <w:rFonts w:ascii="Times New Roman" w:hAnsi="Times New Roman" w:cs="Times New Roman"/>
                          <w:b/>
                          <w:bCs/>
                          <w:sz w:val="18"/>
                          <w:szCs w:val="18"/>
                        </w:rPr>
                        <w:fldChar w:fldCharType="end"/>
                      </w:r>
                      <w:r w:rsidRPr="00081B33">
                        <w:rPr>
                          <w:rFonts w:ascii="Times New Roman" w:hAnsi="Times New Roman" w:cs="Times New Roman"/>
                          <w:b/>
                          <w:bCs/>
                          <w:sz w:val="18"/>
                          <w:szCs w:val="18"/>
                        </w:rPr>
                        <w:t xml:space="preserve"> The Procedure of CGT</w:t>
                      </w:r>
                    </w:p>
                  </w:txbxContent>
                </v:textbox>
                <w10:wrap type="topAndBottom"/>
              </v:shape>
            </w:pict>
          </mc:Fallback>
        </mc:AlternateContent>
      </w:r>
      <w:r w:rsidRPr="0038493E">
        <w:rPr>
          <w:noProof/>
        </w:rPr>
        <w:drawing>
          <wp:anchor distT="0" distB="0" distL="114300" distR="114300" simplePos="0" relativeHeight="251659264" behindDoc="0" locked="0" layoutInCell="1" allowOverlap="1" wp14:anchorId="28E62BC1" wp14:editId="21294496">
            <wp:simplePos x="0" y="0"/>
            <wp:positionH relativeFrom="column">
              <wp:posOffset>0</wp:posOffset>
            </wp:positionH>
            <wp:positionV relativeFrom="paragraph">
              <wp:posOffset>353060</wp:posOffset>
            </wp:positionV>
            <wp:extent cx="4912937" cy="3913200"/>
            <wp:effectExtent l="0" t="0" r="2540" b="0"/>
            <wp:wrapTopAndBottom/>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7"/>
                    <a:stretch>
                      <a:fillRect/>
                    </a:stretch>
                  </pic:blipFill>
                  <pic:spPr>
                    <a:xfrm>
                      <a:off x="0" y="0"/>
                      <a:ext cx="4912937" cy="3913200"/>
                    </a:xfrm>
                    <a:prstGeom prst="rect">
                      <a:avLst/>
                    </a:prstGeom>
                  </pic:spPr>
                </pic:pic>
              </a:graphicData>
            </a:graphic>
          </wp:anchor>
        </w:drawing>
      </w:r>
    </w:p>
    <w:p w14:paraId="2755FC8A" w14:textId="77777777" w:rsidR="005D5506" w:rsidRPr="0006289D" w:rsidRDefault="005D5506" w:rsidP="0006289D">
      <w:pPr>
        <w:pStyle w:val="3"/>
        <w:rPr>
          <w:sz w:val="28"/>
          <w:szCs w:val="28"/>
        </w:rPr>
      </w:pPr>
      <w:r w:rsidRPr="0006289D">
        <w:rPr>
          <w:sz w:val="28"/>
          <w:szCs w:val="28"/>
        </w:rPr>
        <w:lastRenderedPageBreak/>
        <w:t>Classification of insomnia and non-insomnia groups</w:t>
      </w:r>
    </w:p>
    <w:p w14:paraId="28C5FAF3" w14:textId="77777777" w:rsidR="005D5506" w:rsidRPr="005D5506" w:rsidRDefault="005D5506" w:rsidP="005D5506">
      <w:pPr>
        <w:contextualSpacing/>
      </w:pPr>
      <w:r w:rsidRPr="005D5506">
        <w:t>We posted the questionnaire collecting demographic variables and PSQI scores online to screen potential subjects based on the results</w:t>
      </w:r>
      <w:r>
        <w:t>(</w:t>
      </w:r>
      <w:r w:rsidRPr="005D5506">
        <w:rPr>
          <w:u w:val="single"/>
        </w:rPr>
        <w:t>//www.qualtrics.com/)</w:t>
      </w:r>
      <w:r w:rsidRPr="005D5506">
        <w:t>. Regarding the method of recruitment and judgment of participants in the insomnia group, we chose the PSQI as the scale to measure insomnia, overall score over 7 will be treated as insomnia group. The PSQI is a self-report questionnaire that assesses the quality of sleep over a 1-month period. It is divided into seven sections related to sleep quality and consists of 19 individual items. A total score of more than 7 would be considered in the insomnia group.</w:t>
      </w:r>
    </w:p>
    <w:p w14:paraId="4E38F453" w14:textId="77777777" w:rsidR="005D5506" w:rsidRPr="0006289D" w:rsidRDefault="005D5506" w:rsidP="0006289D">
      <w:pPr>
        <w:pStyle w:val="3"/>
        <w:rPr>
          <w:sz w:val="28"/>
          <w:szCs w:val="28"/>
        </w:rPr>
      </w:pPr>
      <w:r w:rsidRPr="0006289D">
        <w:rPr>
          <w:sz w:val="28"/>
          <w:szCs w:val="28"/>
        </w:rPr>
        <w:t>Data Analysis</w:t>
      </w:r>
    </w:p>
    <w:p w14:paraId="7A01E8E5" w14:textId="77777777" w:rsidR="005D5506" w:rsidRPr="00DA72E4" w:rsidRDefault="00DA72E4" w:rsidP="005D5506">
      <w:pPr>
        <w:contextualSpacing/>
        <w:rPr>
          <w:lang w:eastAsia="zh-CN"/>
        </w:rPr>
      </w:pPr>
      <w:r w:rsidRPr="00DA72E4">
        <w:t>Data preprocessing, we performed on matlab2022, and intergroup comparisons were performed using jamovi software</w:t>
      </w:r>
      <w:r>
        <w:t>(</w:t>
      </w:r>
      <w:r w:rsidRPr="005D5506">
        <w:rPr>
          <w:u w:val="single"/>
        </w:rPr>
        <w:t>//www.</w:t>
      </w:r>
      <w:r>
        <w:rPr>
          <w:u w:val="single"/>
        </w:rPr>
        <w:t>jamovi</w:t>
      </w:r>
      <w:r w:rsidRPr="005D5506">
        <w:rPr>
          <w:u w:val="single"/>
        </w:rPr>
        <w:t>.com/</w:t>
      </w:r>
      <w:r>
        <w:rPr>
          <w:u w:val="single"/>
        </w:rPr>
        <w:t>)</w:t>
      </w:r>
      <w:r>
        <w:t xml:space="preserve">. </w:t>
      </w:r>
      <w:r w:rsidRPr="005D5506">
        <w:t>We</w:t>
      </w:r>
      <w:r w:rsidR="005D5506" w:rsidRPr="005D5506">
        <w:t xml:space="preserve"> collect and analyze the following four main decision-making indicators:</w:t>
      </w:r>
      <w:r w:rsidR="005D5506" w:rsidRPr="005D5506">
        <w:rPr>
          <w:rFonts w:hint="eastAsia"/>
        </w:rPr>
        <w:t xml:space="preserve"> </w:t>
      </w:r>
      <w:r w:rsidR="005D5506" w:rsidRPr="005D5506">
        <w:t>The first indicator is Quality of Decision Making (QDM): which is reflected in the total number of rational choices made by participants throughout the task. The second indicator is Deliberation Time (DT): which is the average amount of time a person takes to make decision and provides insight into their cognitive processing speed. And then the third indicator is Risk Taking (denoted as RT): which is the average amount of bet that participants are willing to put on the table. This variable is crucial for assessing their risk propensity. The last indicator is Risk Adjustment (RA): which is the average difference in bets placed relative to changing odds, shows how participants adjust their betting behavior to different probabilities.</w:t>
      </w:r>
    </w:p>
    <w:p w14:paraId="365083BE" w14:textId="77777777" w:rsidR="005D5506" w:rsidRDefault="005D5506" w:rsidP="0006289D">
      <w:pPr>
        <w:pStyle w:val="2"/>
      </w:pPr>
      <w:r>
        <w:lastRenderedPageBreak/>
        <w:t>Result</w:t>
      </w:r>
    </w:p>
    <w:p w14:paraId="49DACEE3" w14:textId="77777777" w:rsidR="005D5506" w:rsidRPr="0006289D" w:rsidRDefault="005D5506" w:rsidP="0006289D">
      <w:pPr>
        <w:pStyle w:val="3"/>
        <w:rPr>
          <w:sz w:val="28"/>
          <w:szCs w:val="28"/>
        </w:rPr>
      </w:pPr>
      <w:r w:rsidRPr="0006289D">
        <w:rPr>
          <w:sz w:val="28"/>
          <w:szCs w:val="28"/>
        </w:rPr>
        <w:t>Demographic and clinical characteristics</w:t>
      </w:r>
    </w:p>
    <w:p w14:paraId="6A3FC383" w14:textId="77777777" w:rsidR="00DA72E4" w:rsidRPr="00DA72E4" w:rsidRDefault="00DA72E4" w:rsidP="00DA72E4">
      <w:pPr>
        <w:contextualSpacing/>
      </w:pPr>
      <w:r w:rsidRPr="00DA72E4">
        <w:rPr>
          <w:rFonts w:hint="eastAsia"/>
        </w:rPr>
        <w:t xml:space="preserve">A total of eight subjects were included and categorized into insomnia </w:t>
      </w:r>
      <w:r w:rsidRPr="00DA72E4">
        <w:t>disorder</w:t>
      </w:r>
      <w:r w:rsidRPr="00DA72E4">
        <w:rPr>
          <w:rFonts w:hint="eastAsia"/>
        </w:rPr>
        <w:t xml:space="preserve"> n=4 and health control </w:t>
      </w:r>
      <w:r w:rsidRPr="00DA72E4">
        <w:t>groups (</w:t>
      </w:r>
      <w:r w:rsidRPr="00DA72E4">
        <w:rPr>
          <w:rFonts w:hint="eastAsia"/>
        </w:rPr>
        <w:t>HC n=4) matched for demographic variables such as age, gender, years of education, and history of psychiatric disorders according to the PSQI (&gt;</w:t>
      </w:r>
      <w:r w:rsidRPr="00DA72E4">
        <w:t xml:space="preserve">7) as a criterion. </w:t>
      </w:r>
    </w:p>
    <w:p w14:paraId="2B3C6BC2" w14:textId="77777777" w:rsidR="00DA72E4" w:rsidRPr="00DA72E4" w:rsidRDefault="00DA72E4" w:rsidP="00DA72E4">
      <w:pPr>
        <w:contextualSpacing/>
      </w:pPr>
      <w:r w:rsidRPr="00DA72E4">
        <w:t>First, to ensure subgroup validity, we performed one-sided t-tests on the total PSQI scores and the seven subscales to compare the scores of two groups. And the insomnia group scored (10.5±4.04), significantly higher than the HC (5.25±0.957;t=-2.53,P&lt;0.05*</w:t>
      </w:r>
      <w:r w:rsidRPr="00DA72E4">
        <w:rPr>
          <w:rFonts w:hint="eastAsia"/>
        </w:rPr>
        <w:t>).Comparison of the seven subscale scores between ID and HC groups</w:t>
      </w:r>
      <w:r w:rsidRPr="00DA72E4">
        <w:rPr>
          <w:rFonts w:hint="eastAsia"/>
        </w:rPr>
        <w:t>（</w:t>
      </w:r>
      <w:r w:rsidRPr="00DA72E4">
        <w:rPr>
          <w:rFonts w:hint="eastAsia"/>
        </w:rPr>
        <w:t>Tab.1</w:t>
      </w:r>
      <w:r w:rsidRPr="00DA72E4">
        <w:rPr>
          <w:rFonts w:hint="eastAsia"/>
        </w:rPr>
        <w:t>）</w:t>
      </w:r>
      <w:r w:rsidRPr="00DA72E4">
        <w:rPr>
          <w:rFonts w:hint="eastAsia"/>
        </w:rPr>
        <w:t xml:space="preserve">showed that ID had later bedtimes compare to HC(t=-4.90,P&lt;0.001**).At the same time, in comparisons of sleep quality, sleep duration, sleep efficiency, sleep disorders, and medications scores , the ID group all showed higher scores, implying worse sleep, and the results were statistically close to borderline </w:t>
      </w:r>
      <w:r w:rsidRPr="00DA72E4">
        <w:t>significant</w:t>
      </w:r>
      <w:r w:rsidRPr="00DA72E4">
        <w:rPr>
          <w:rFonts w:hint="eastAsia"/>
        </w:rPr>
        <w:t xml:space="preserve"> </w:t>
      </w:r>
      <w:r w:rsidRPr="00DA72E4">
        <w:t>so</w:t>
      </w:r>
      <w:r w:rsidRPr="00DA72E4">
        <w:rPr>
          <w:rFonts w:hint="eastAsia"/>
        </w:rPr>
        <w:t xml:space="preserve"> the results of clinical indicators fully demonstrated the effectiveness of grouping. Interestingly, in the daytime</w:t>
      </w:r>
      <w:r w:rsidRPr="00DA72E4">
        <w:t xml:space="preserve"> dysfunction subscale, all of eight subjects, reported that they often felt daytime fatigue, and the results were completely homogeneous between the two groups. This may be since our sample of subjects came from a group of graduate students at a university, all of whom were under heavy stress during finals week and all felt daytime fatigue.</w:t>
      </w:r>
    </w:p>
    <w:tbl>
      <w:tblPr>
        <w:tblW w:w="0" w:type="auto"/>
        <w:tblCellSpacing w:w="15" w:type="dxa"/>
        <w:tblInd w:w="513" w:type="dxa"/>
        <w:tblCellMar>
          <w:top w:w="15" w:type="dxa"/>
          <w:left w:w="15" w:type="dxa"/>
          <w:bottom w:w="15" w:type="dxa"/>
          <w:right w:w="15" w:type="dxa"/>
        </w:tblCellMar>
        <w:tblLook w:val="04A0" w:firstRow="1" w:lastRow="0" w:firstColumn="1" w:lastColumn="0" w:noHBand="0" w:noVBand="1"/>
      </w:tblPr>
      <w:tblGrid>
        <w:gridCol w:w="2655"/>
        <w:gridCol w:w="186"/>
        <w:gridCol w:w="1258"/>
        <w:gridCol w:w="186"/>
        <w:gridCol w:w="885"/>
        <w:gridCol w:w="590"/>
        <w:gridCol w:w="825"/>
        <w:gridCol w:w="186"/>
        <w:gridCol w:w="1005"/>
        <w:gridCol w:w="934"/>
      </w:tblGrid>
      <w:tr w:rsidR="00E35FE8" w:rsidRPr="00687D47" w14:paraId="422CAC49" w14:textId="77777777" w:rsidTr="00E35FE8">
        <w:trPr>
          <w:cantSplit/>
          <w:tblHeader/>
          <w:tblCellSpacing w:w="15" w:type="dxa"/>
        </w:trPr>
        <w:tc>
          <w:tcPr>
            <w:tcW w:w="8650" w:type="dxa"/>
            <w:gridSpan w:val="10"/>
            <w:tcBorders>
              <w:top w:val="nil"/>
              <w:left w:val="nil"/>
              <w:bottom w:val="single" w:sz="6" w:space="0" w:color="333333"/>
              <w:right w:val="nil"/>
            </w:tcBorders>
            <w:tcMar>
              <w:top w:w="60" w:type="dxa"/>
              <w:left w:w="0" w:type="dxa"/>
              <w:bottom w:w="60" w:type="dxa"/>
              <w:right w:w="120" w:type="dxa"/>
            </w:tcMar>
            <w:vAlign w:val="center"/>
            <w:hideMark/>
          </w:tcPr>
          <w:p w14:paraId="47FEABEC" w14:textId="77777777" w:rsidR="00E35FE8" w:rsidRDefault="00E35FE8" w:rsidP="00F56152">
            <w:pPr>
              <w:ind w:firstLine="367"/>
              <w:rPr>
                <w:b/>
                <w:bCs/>
                <w:color w:val="333333"/>
                <w:sz w:val="18"/>
                <w:szCs w:val="18"/>
              </w:rPr>
            </w:pPr>
          </w:p>
          <w:p w14:paraId="10164A4A" w14:textId="77777777" w:rsidR="00E35FE8" w:rsidRPr="00687D47" w:rsidRDefault="00E35FE8" w:rsidP="00F56152">
            <w:pPr>
              <w:spacing w:line="240" w:lineRule="auto"/>
              <w:ind w:firstLine="367"/>
              <w:jc w:val="center"/>
              <w:rPr>
                <w:b/>
                <w:bCs/>
                <w:color w:val="333333"/>
                <w:sz w:val="18"/>
                <w:szCs w:val="18"/>
              </w:rPr>
            </w:pPr>
            <w:r w:rsidRPr="00687D47">
              <w:rPr>
                <w:b/>
                <w:bCs/>
                <w:color w:val="333333"/>
                <w:sz w:val="18"/>
                <w:szCs w:val="18"/>
              </w:rPr>
              <w:t>Tab</w:t>
            </w:r>
            <w:r>
              <w:rPr>
                <w:b/>
                <w:bCs/>
                <w:color w:val="333333"/>
                <w:sz w:val="18"/>
                <w:szCs w:val="18"/>
              </w:rPr>
              <w:t>le</w:t>
            </w:r>
            <w:r>
              <w:rPr>
                <w:rFonts w:hint="eastAsia"/>
                <w:b/>
                <w:bCs/>
                <w:color w:val="333333"/>
                <w:sz w:val="18"/>
                <w:szCs w:val="18"/>
              </w:rPr>
              <w:t>1</w:t>
            </w:r>
            <w:r w:rsidRPr="00687D47">
              <w:t xml:space="preserve"> </w:t>
            </w:r>
            <w:r w:rsidRPr="00E35FE8">
              <w:rPr>
                <w:color w:val="333333"/>
                <w:sz w:val="18"/>
                <w:szCs w:val="18"/>
              </w:rPr>
              <w:t>Comparison of PSQI Scale Differences Between HC and ID Groups</w:t>
            </w:r>
          </w:p>
        </w:tc>
      </w:tr>
      <w:tr w:rsidR="00E35FE8" w:rsidRPr="00687D47" w14:paraId="4EF1DD26" w14:textId="77777777" w:rsidTr="00E35FE8">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6DA3739" w14:textId="77777777" w:rsidR="00E35FE8" w:rsidRPr="00687D47" w:rsidRDefault="00E35FE8" w:rsidP="00F56152">
            <w:pPr>
              <w:spacing w:line="240" w:lineRule="auto"/>
              <w:ind w:firstLine="367"/>
              <w:jc w:val="center"/>
              <w:rPr>
                <w:b/>
                <w:bCs/>
                <w:color w:val="333333"/>
                <w:sz w:val="18"/>
                <w:szCs w:val="18"/>
              </w:rPr>
            </w:pP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C856338" w14:textId="77777777" w:rsidR="00E35FE8" w:rsidRPr="00687D47" w:rsidRDefault="00E35FE8" w:rsidP="00F56152">
            <w:pPr>
              <w:spacing w:line="240" w:lineRule="auto"/>
              <w:ind w:firstLine="367"/>
              <w:jc w:val="center"/>
              <w:rPr>
                <w:b/>
                <w:bCs/>
                <w:color w:val="333333"/>
                <w:sz w:val="18"/>
                <w:szCs w:val="18"/>
              </w:rPr>
            </w:pP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43C2931" w14:textId="77777777" w:rsidR="00E35FE8" w:rsidRPr="00687D47" w:rsidRDefault="00E35FE8" w:rsidP="00F56152">
            <w:pPr>
              <w:spacing w:line="240" w:lineRule="auto"/>
              <w:ind w:firstLine="367"/>
              <w:jc w:val="center"/>
              <w:rPr>
                <w:b/>
                <w:bCs/>
                <w:color w:val="333333"/>
                <w:sz w:val="18"/>
                <w:szCs w:val="18"/>
              </w:rPr>
            </w:pPr>
            <w:r w:rsidRPr="00687D47">
              <w:rPr>
                <w:b/>
                <w:bCs/>
                <w:color w:val="333333"/>
                <w:sz w:val="18"/>
                <w:szCs w:val="18"/>
              </w:rPr>
              <w:t>T</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305326F" w14:textId="77777777" w:rsidR="00E35FE8" w:rsidRPr="00687D47" w:rsidRDefault="00E35FE8" w:rsidP="00F56152">
            <w:pPr>
              <w:spacing w:line="240" w:lineRule="auto"/>
              <w:ind w:firstLine="367"/>
              <w:jc w:val="center"/>
              <w:rPr>
                <w:b/>
                <w:bCs/>
                <w:color w:val="333333"/>
                <w:sz w:val="18"/>
                <w:szCs w:val="18"/>
              </w:rPr>
            </w:pPr>
            <w:proofErr w:type="spellStart"/>
            <w:r w:rsidRPr="00687D47">
              <w:rPr>
                <w:b/>
                <w:bCs/>
                <w:color w:val="333333"/>
                <w:sz w:val="18"/>
                <w:szCs w:val="18"/>
              </w:rPr>
              <w:t>df</w:t>
            </w:r>
            <w:proofErr w:type="spellEnd"/>
          </w:p>
        </w:tc>
        <w:tc>
          <w:tcPr>
            <w:tcW w:w="1894" w:type="dxa"/>
            <w:gridSpan w:val="2"/>
            <w:tcBorders>
              <w:top w:val="nil"/>
              <w:left w:val="nil"/>
              <w:bottom w:val="single" w:sz="6" w:space="0" w:color="333333"/>
              <w:right w:val="nil"/>
            </w:tcBorders>
            <w:tcMar>
              <w:top w:w="60" w:type="dxa"/>
              <w:left w:w="120" w:type="dxa"/>
              <w:bottom w:w="60" w:type="dxa"/>
              <w:right w:w="120" w:type="dxa"/>
            </w:tcMar>
            <w:vAlign w:val="center"/>
            <w:hideMark/>
          </w:tcPr>
          <w:p w14:paraId="296CD346" w14:textId="77777777" w:rsidR="00E35FE8" w:rsidRPr="00687D47" w:rsidRDefault="00E35FE8" w:rsidP="00F56152">
            <w:pPr>
              <w:spacing w:line="240" w:lineRule="auto"/>
              <w:ind w:firstLine="367"/>
              <w:rPr>
                <w:b/>
                <w:bCs/>
                <w:color w:val="333333"/>
                <w:sz w:val="18"/>
                <w:szCs w:val="18"/>
              </w:rPr>
            </w:pPr>
            <w:r w:rsidRPr="00687D47">
              <w:rPr>
                <w:b/>
                <w:bCs/>
                <w:color w:val="333333"/>
                <w:sz w:val="18"/>
                <w:szCs w:val="18"/>
              </w:rPr>
              <w:t>P Value</w:t>
            </w:r>
          </w:p>
        </w:tc>
      </w:tr>
      <w:tr w:rsidR="00E35FE8" w:rsidRPr="00687D47" w14:paraId="6C200339" w14:textId="77777777" w:rsidTr="00F56152">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2FBDE7E7"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PSQI (total)</w:t>
            </w:r>
          </w:p>
        </w:tc>
        <w:tc>
          <w:tcPr>
            <w:tcW w:w="0" w:type="auto"/>
            <w:tcBorders>
              <w:top w:val="nil"/>
              <w:left w:val="nil"/>
              <w:bottom w:val="nil"/>
              <w:right w:val="nil"/>
            </w:tcBorders>
            <w:tcMar>
              <w:top w:w="120" w:type="dxa"/>
              <w:left w:w="30" w:type="dxa"/>
              <w:bottom w:w="30" w:type="dxa"/>
              <w:right w:w="120" w:type="dxa"/>
            </w:tcMar>
            <w:vAlign w:val="center"/>
            <w:hideMark/>
          </w:tcPr>
          <w:p w14:paraId="23764E61"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0CA9A154"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 xml:space="preserve">Student's </w:t>
            </w:r>
          </w:p>
        </w:tc>
        <w:tc>
          <w:tcPr>
            <w:tcW w:w="0" w:type="auto"/>
            <w:tcBorders>
              <w:top w:val="nil"/>
              <w:left w:val="nil"/>
              <w:bottom w:val="nil"/>
              <w:right w:val="nil"/>
            </w:tcBorders>
            <w:tcMar>
              <w:top w:w="120" w:type="dxa"/>
              <w:left w:w="30" w:type="dxa"/>
              <w:bottom w:w="30" w:type="dxa"/>
              <w:right w:w="120" w:type="dxa"/>
            </w:tcMar>
            <w:vAlign w:val="center"/>
            <w:hideMark/>
          </w:tcPr>
          <w:p w14:paraId="629ECEEF"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0175823E"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-2.53</w:t>
            </w:r>
          </w:p>
        </w:tc>
        <w:tc>
          <w:tcPr>
            <w:tcW w:w="0" w:type="auto"/>
            <w:tcBorders>
              <w:top w:val="nil"/>
              <w:left w:val="nil"/>
              <w:bottom w:val="nil"/>
              <w:right w:val="nil"/>
            </w:tcBorders>
            <w:tcMar>
              <w:top w:w="120" w:type="dxa"/>
              <w:left w:w="30" w:type="dxa"/>
              <w:bottom w:w="30" w:type="dxa"/>
              <w:right w:w="120" w:type="dxa"/>
            </w:tcMar>
            <w:vAlign w:val="center"/>
            <w:hideMark/>
          </w:tcPr>
          <w:p w14:paraId="141228B8"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17B0C40F"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6.00</w:t>
            </w:r>
          </w:p>
        </w:tc>
        <w:tc>
          <w:tcPr>
            <w:tcW w:w="0" w:type="auto"/>
            <w:tcBorders>
              <w:top w:val="nil"/>
              <w:left w:val="nil"/>
              <w:bottom w:val="nil"/>
              <w:right w:val="nil"/>
            </w:tcBorders>
            <w:tcMar>
              <w:top w:w="120" w:type="dxa"/>
              <w:left w:w="30" w:type="dxa"/>
              <w:bottom w:w="30" w:type="dxa"/>
              <w:right w:w="120" w:type="dxa"/>
            </w:tcMar>
            <w:vAlign w:val="center"/>
            <w:hideMark/>
          </w:tcPr>
          <w:p w14:paraId="735E2EAD"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7F31A661"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0.022*</w:t>
            </w:r>
          </w:p>
        </w:tc>
        <w:tc>
          <w:tcPr>
            <w:tcW w:w="889" w:type="dxa"/>
            <w:tcBorders>
              <w:top w:val="nil"/>
              <w:left w:val="nil"/>
              <w:bottom w:val="nil"/>
              <w:right w:val="nil"/>
            </w:tcBorders>
            <w:tcMar>
              <w:top w:w="120" w:type="dxa"/>
              <w:left w:w="30" w:type="dxa"/>
              <w:bottom w:w="30" w:type="dxa"/>
              <w:right w:w="120" w:type="dxa"/>
            </w:tcMar>
            <w:vAlign w:val="center"/>
            <w:hideMark/>
          </w:tcPr>
          <w:p w14:paraId="2EC8E5AE" w14:textId="77777777" w:rsidR="00E35FE8" w:rsidRPr="00687D47" w:rsidRDefault="00E35FE8" w:rsidP="00F56152">
            <w:pPr>
              <w:spacing w:line="240" w:lineRule="auto"/>
              <w:ind w:firstLine="360"/>
              <w:jc w:val="center"/>
              <w:rPr>
                <w:color w:val="333333"/>
                <w:sz w:val="18"/>
                <w:szCs w:val="18"/>
              </w:rPr>
            </w:pPr>
          </w:p>
        </w:tc>
      </w:tr>
      <w:tr w:rsidR="00E35FE8" w:rsidRPr="00687D47" w14:paraId="35AA1AA6" w14:textId="77777777" w:rsidTr="00F56152">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32898B2"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PSQI1_SleepQauilty</w:t>
            </w:r>
          </w:p>
        </w:tc>
        <w:tc>
          <w:tcPr>
            <w:tcW w:w="0" w:type="auto"/>
            <w:tcBorders>
              <w:top w:val="nil"/>
              <w:left w:val="nil"/>
              <w:bottom w:val="nil"/>
              <w:right w:val="nil"/>
            </w:tcBorders>
            <w:tcMar>
              <w:top w:w="30" w:type="dxa"/>
              <w:left w:w="30" w:type="dxa"/>
              <w:bottom w:w="30" w:type="dxa"/>
              <w:right w:w="120" w:type="dxa"/>
            </w:tcMar>
            <w:vAlign w:val="center"/>
            <w:hideMark/>
          </w:tcPr>
          <w:p w14:paraId="6776A939"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4E46D143"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Student's t</w:t>
            </w:r>
          </w:p>
        </w:tc>
        <w:tc>
          <w:tcPr>
            <w:tcW w:w="0" w:type="auto"/>
            <w:tcBorders>
              <w:top w:val="nil"/>
              <w:left w:val="nil"/>
              <w:bottom w:val="nil"/>
              <w:right w:val="nil"/>
            </w:tcBorders>
            <w:tcMar>
              <w:top w:w="30" w:type="dxa"/>
              <w:left w:w="30" w:type="dxa"/>
              <w:bottom w:w="30" w:type="dxa"/>
              <w:right w:w="120" w:type="dxa"/>
            </w:tcMar>
            <w:vAlign w:val="center"/>
            <w:hideMark/>
          </w:tcPr>
          <w:p w14:paraId="0DD6E437"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07FDC28A"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-1.85</w:t>
            </w:r>
          </w:p>
        </w:tc>
        <w:tc>
          <w:tcPr>
            <w:tcW w:w="0" w:type="auto"/>
            <w:tcBorders>
              <w:top w:val="nil"/>
              <w:left w:val="nil"/>
              <w:bottom w:val="nil"/>
              <w:right w:val="nil"/>
            </w:tcBorders>
            <w:tcMar>
              <w:top w:w="30" w:type="dxa"/>
              <w:left w:w="30" w:type="dxa"/>
              <w:bottom w:w="30" w:type="dxa"/>
              <w:right w:w="120" w:type="dxa"/>
            </w:tcMar>
            <w:vAlign w:val="center"/>
            <w:hideMark/>
          </w:tcPr>
          <w:p w14:paraId="2D1CD039"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456CD500"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6.00</w:t>
            </w:r>
          </w:p>
        </w:tc>
        <w:tc>
          <w:tcPr>
            <w:tcW w:w="0" w:type="auto"/>
            <w:tcBorders>
              <w:top w:val="nil"/>
              <w:left w:val="nil"/>
              <w:bottom w:val="nil"/>
              <w:right w:val="nil"/>
            </w:tcBorders>
            <w:tcMar>
              <w:top w:w="30" w:type="dxa"/>
              <w:left w:w="30" w:type="dxa"/>
              <w:bottom w:w="30" w:type="dxa"/>
              <w:right w:w="120" w:type="dxa"/>
            </w:tcMar>
            <w:vAlign w:val="center"/>
            <w:hideMark/>
          </w:tcPr>
          <w:p w14:paraId="7B3446F9"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1F93C6D4"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0.057</w:t>
            </w:r>
          </w:p>
        </w:tc>
        <w:tc>
          <w:tcPr>
            <w:tcW w:w="889" w:type="dxa"/>
            <w:tcBorders>
              <w:top w:val="nil"/>
              <w:left w:val="nil"/>
              <w:bottom w:val="nil"/>
              <w:right w:val="nil"/>
            </w:tcBorders>
            <w:tcMar>
              <w:top w:w="30" w:type="dxa"/>
              <w:left w:w="30" w:type="dxa"/>
              <w:bottom w:w="30" w:type="dxa"/>
              <w:right w:w="120" w:type="dxa"/>
            </w:tcMar>
            <w:vAlign w:val="center"/>
            <w:hideMark/>
          </w:tcPr>
          <w:p w14:paraId="033F7CF9" w14:textId="77777777" w:rsidR="00E35FE8" w:rsidRPr="00687D47" w:rsidRDefault="00E35FE8" w:rsidP="00F56152">
            <w:pPr>
              <w:spacing w:line="240" w:lineRule="auto"/>
              <w:ind w:firstLine="360"/>
              <w:jc w:val="center"/>
              <w:rPr>
                <w:color w:val="333333"/>
                <w:sz w:val="18"/>
                <w:szCs w:val="18"/>
              </w:rPr>
            </w:pPr>
          </w:p>
        </w:tc>
      </w:tr>
      <w:tr w:rsidR="00E35FE8" w:rsidRPr="00687D47" w14:paraId="68DC105E" w14:textId="77777777" w:rsidTr="00F56152">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9CD2301"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PSQI2_Sleeping</w:t>
            </w:r>
            <w:r>
              <w:rPr>
                <w:color w:val="333333"/>
                <w:sz w:val="18"/>
                <w:szCs w:val="18"/>
              </w:rPr>
              <w:t>T</w:t>
            </w:r>
            <w:r w:rsidRPr="00687D47">
              <w:rPr>
                <w:color w:val="333333"/>
                <w:sz w:val="18"/>
                <w:szCs w:val="18"/>
              </w:rPr>
              <w:t>ime</w:t>
            </w:r>
          </w:p>
        </w:tc>
        <w:tc>
          <w:tcPr>
            <w:tcW w:w="0" w:type="auto"/>
            <w:tcBorders>
              <w:top w:val="nil"/>
              <w:left w:val="nil"/>
              <w:bottom w:val="nil"/>
              <w:right w:val="nil"/>
            </w:tcBorders>
            <w:tcMar>
              <w:top w:w="30" w:type="dxa"/>
              <w:left w:w="30" w:type="dxa"/>
              <w:bottom w:w="30" w:type="dxa"/>
              <w:right w:w="120" w:type="dxa"/>
            </w:tcMar>
            <w:vAlign w:val="center"/>
            <w:hideMark/>
          </w:tcPr>
          <w:p w14:paraId="2DC4BFE5"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7002888F"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Student's t</w:t>
            </w:r>
          </w:p>
        </w:tc>
        <w:tc>
          <w:tcPr>
            <w:tcW w:w="0" w:type="auto"/>
            <w:tcBorders>
              <w:top w:val="nil"/>
              <w:left w:val="nil"/>
              <w:bottom w:val="nil"/>
              <w:right w:val="nil"/>
            </w:tcBorders>
            <w:tcMar>
              <w:top w:w="30" w:type="dxa"/>
              <w:left w:w="30" w:type="dxa"/>
              <w:bottom w:w="30" w:type="dxa"/>
              <w:right w:w="120" w:type="dxa"/>
            </w:tcMar>
            <w:vAlign w:val="center"/>
            <w:hideMark/>
          </w:tcPr>
          <w:p w14:paraId="2C3DC405"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5895C736"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-4.90</w:t>
            </w:r>
          </w:p>
        </w:tc>
        <w:tc>
          <w:tcPr>
            <w:tcW w:w="0" w:type="auto"/>
            <w:tcBorders>
              <w:top w:val="nil"/>
              <w:left w:val="nil"/>
              <w:bottom w:val="nil"/>
              <w:right w:val="nil"/>
            </w:tcBorders>
            <w:tcMar>
              <w:top w:w="30" w:type="dxa"/>
              <w:left w:w="30" w:type="dxa"/>
              <w:bottom w:w="30" w:type="dxa"/>
              <w:right w:w="120" w:type="dxa"/>
            </w:tcMar>
            <w:vAlign w:val="center"/>
            <w:hideMark/>
          </w:tcPr>
          <w:p w14:paraId="050842D4"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28F87B2F"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6.00</w:t>
            </w:r>
          </w:p>
        </w:tc>
        <w:tc>
          <w:tcPr>
            <w:tcW w:w="0" w:type="auto"/>
            <w:tcBorders>
              <w:top w:val="nil"/>
              <w:left w:val="nil"/>
              <w:bottom w:val="nil"/>
              <w:right w:val="nil"/>
            </w:tcBorders>
            <w:tcMar>
              <w:top w:w="30" w:type="dxa"/>
              <w:left w:w="30" w:type="dxa"/>
              <w:bottom w:w="30" w:type="dxa"/>
              <w:right w:w="120" w:type="dxa"/>
            </w:tcMar>
            <w:vAlign w:val="center"/>
            <w:hideMark/>
          </w:tcPr>
          <w:p w14:paraId="5F9A8E71"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4757731F"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0.001*</w:t>
            </w:r>
          </w:p>
        </w:tc>
        <w:tc>
          <w:tcPr>
            <w:tcW w:w="889" w:type="dxa"/>
            <w:tcBorders>
              <w:top w:val="nil"/>
              <w:left w:val="nil"/>
              <w:bottom w:val="nil"/>
              <w:right w:val="nil"/>
            </w:tcBorders>
            <w:tcMar>
              <w:top w:w="30" w:type="dxa"/>
              <w:left w:w="30" w:type="dxa"/>
              <w:bottom w:w="30" w:type="dxa"/>
              <w:right w:w="120" w:type="dxa"/>
            </w:tcMar>
            <w:vAlign w:val="center"/>
            <w:hideMark/>
          </w:tcPr>
          <w:p w14:paraId="00E83F96" w14:textId="77777777" w:rsidR="00E35FE8" w:rsidRPr="00687D47" w:rsidRDefault="00E35FE8" w:rsidP="00F56152">
            <w:pPr>
              <w:spacing w:line="240" w:lineRule="auto"/>
              <w:ind w:firstLine="360"/>
              <w:jc w:val="center"/>
              <w:rPr>
                <w:color w:val="333333"/>
                <w:sz w:val="18"/>
                <w:szCs w:val="18"/>
              </w:rPr>
            </w:pPr>
          </w:p>
        </w:tc>
      </w:tr>
      <w:tr w:rsidR="00E35FE8" w:rsidRPr="00687D47" w14:paraId="5F5CD98B" w14:textId="77777777" w:rsidTr="00F56152">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D6CCCCD"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PSQI3_Sleep</w:t>
            </w:r>
            <w:r>
              <w:rPr>
                <w:color w:val="333333"/>
                <w:sz w:val="18"/>
                <w:szCs w:val="18"/>
              </w:rPr>
              <w:t>D</w:t>
            </w:r>
            <w:r w:rsidRPr="00687D47">
              <w:rPr>
                <w:color w:val="333333"/>
                <w:sz w:val="18"/>
                <w:szCs w:val="18"/>
              </w:rPr>
              <w:t>uration</w:t>
            </w:r>
          </w:p>
        </w:tc>
        <w:tc>
          <w:tcPr>
            <w:tcW w:w="0" w:type="auto"/>
            <w:tcBorders>
              <w:top w:val="nil"/>
              <w:left w:val="nil"/>
              <w:bottom w:val="nil"/>
              <w:right w:val="nil"/>
            </w:tcBorders>
            <w:tcMar>
              <w:top w:w="30" w:type="dxa"/>
              <w:left w:w="30" w:type="dxa"/>
              <w:bottom w:w="30" w:type="dxa"/>
              <w:right w:w="120" w:type="dxa"/>
            </w:tcMar>
            <w:vAlign w:val="center"/>
            <w:hideMark/>
          </w:tcPr>
          <w:p w14:paraId="31F9B3EF"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53789B09"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Student's t</w:t>
            </w:r>
          </w:p>
        </w:tc>
        <w:tc>
          <w:tcPr>
            <w:tcW w:w="0" w:type="auto"/>
            <w:tcBorders>
              <w:top w:val="nil"/>
              <w:left w:val="nil"/>
              <w:bottom w:val="nil"/>
              <w:right w:val="nil"/>
            </w:tcBorders>
            <w:tcMar>
              <w:top w:w="30" w:type="dxa"/>
              <w:left w:w="30" w:type="dxa"/>
              <w:bottom w:w="30" w:type="dxa"/>
              <w:right w:w="120" w:type="dxa"/>
            </w:tcMar>
            <w:vAlign w:val="center"/>
            <w:hideMark/>
          </w:tcPr>
          <w:p w14:paraId="54E07F7C"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4387A25F"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-1.41</w:t>
            </w:r>
          </w:p>
        </w:tc>
        <w:tc>
          <w:tcPr>
            <w:tcW w:w="0" w:type="auto"/>
            <w:tcBorders>
              <w:top w:val="nil"/>
              <w:left w:val="nil"/>
              <w:bottom w:val="nil"/>
              <w:right w:val="nil"/>
            </w:tcBorders>
            <w:tcMar>
              <w:top w:w="30" w:type="dxa"/>
              <w:left w:w="30" w:type="dxa"/>
              <w:bottom w:w="30" w:type="dxa"/>
              <w:right w:w="120" w:type="dxa"/>
            </w:tcMar>
            <w:vAlign w:val="center"/>
            <w:hideMark/>
          </w:tcPr>
          <w:p w14:paraId="456CE6AF"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7DDAAF0C"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6.00</w:t>
            </w:r>
          </w:p>
        </w:tc>
        <w:tc>
          <w:tcPr>
            <w:tcW w:w="0" w:type="auto"/>
            <w:tcBorders>
              <w:top w:val="nil"/>
              <w:left w:val="nil"/>
              <w:bottom w:val="nil"/>
              <w:right w:val="nil"/>
            </w:tcBorders>
            <w:tcMar>
              <w:top w:w="30" w:type="dxa"/>
              <w:left w:w="30" w:type="dxa"/>
              <w:bottom w:w="30" w:type="dxa"/>
              <w:right w:w="120" w:type="dxa"/>
            </w:tcMar>
            <w:vAlign w:val="center"/>
            <w:hideMark/>
          </w:tcPr>
          <w:p w14:paraId="497A59A4"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75CDD333"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0.104</w:t>
            </w:r>
          </w:p>
        </w:tc>
        <w:tc>
          <w:tcPr>
            <w:tcW w:w="889" w:type="dxa"/>
            <w:tcBorders>
              <w:top w:val="nil"/>
              <w:left w:val="nil"/>
              <w:bottom w:val="nil"/>
              <w:right w:val="nil"/>
            </w:tcBorders>
            <w:tcMar>
              <w:top w:w="30" w:type="dxa"/>
              <w:left w:w="30" w:type="dxa"/>
              <w:bottom w:w="30" w:type="dxa"/>
              <w:right w:w="120" w:type="dxa"/>
            </w:tcMar>
            <w:vAlign w:val="center"/>
            <w:hideMark/>
          </w:tcPr>
          <w:p w14:paraId="742C3792" w14:textId="77777777" w:rsidR="00E35FE8" w:rsidRPr="00687D47" w:rsidRDefault="00E35FE8" w:rsidP="00F56152">
            <w:pPr>
              <w:spacing w:line="240" w:lineRule="auto"/>
              <w:ind w:firstLine="360"/>
              <w:jc w:val="center"/>
              <w:rPr>
                <w:color w:val="333333"/>
                <w:sz w:val="18"/>
                <w:szCs w:val="18"/>
              </w:rPr>
            </w:pPr>
          </w:p>
        </w:tc>
      </w:tr>
      <w:tr w:rsidR="00E35FE8" w:rsidRPr="00687D47" w14:paraId="4DA24BE5" w14:textId="77777777" w:rsidTr="00F56152">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8128CEE"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PSQI4_Sleep</w:t>
            </w:r>
            <w:r>
              <w:rPr>
                <w:color w:val="333333"/>
                <w:sz w:val="18"/>
                <w:szCs w:val="18"/>
              </w:rPr>
              <w:t>E</w:t>
            </w:r>
            <w:r w:rsidRPr="00687D47">
              <w:rPr>
                <w:color w:val="333333"/>
                <w:sz w:val="18"/>
                <w:szCs w:val="18"/>
              </w:rPr>
              <w:t>fficiency</w:t>
            </w:r>
          </w:p>
        </w:tc>
        <w:tc>
          <w:tcPr>
            <w:tcW w:w="0" w:type="auto"/>
            <w:tcBorders>
              <w:top w:val="nil"/>
              <w:left w:val="nil"/>
              <w:bottom w:val="nil"/>
              <w:right w:val="nil"/>
            </w:tcBorders>
            <w:tcMar>
              <w:top w:w="30" w:type="dxa"/>
              <w:left w:w="30" w:type="dxa"/>
              <w:bottom w:w="30" w:type="dxa"/>
              <w:right w:w="120" w:type="dxa"/>
            </w:tcMar>
            <w:vAlign w:val="center"/>
            <w:hideMark/>
          </w:tcPr>
          <w:p w14:paraId="4AB53B5C"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25B31B67"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Student's t</w:t>
            </w:r>
          </w:p>
        </w:tc>
        <w:tc>
          <w:tcPr>
            <w:tcW w:w="0" w:type="auto"/>
            <w:tcBorders>
              <w:top w:val="nil"/>
              <w:left w:val="nil"/>
              <w:bottom w:val="nil"/>
              <w:right w:val="nil"/>
            </w:tcBorders>
            <w:tcMar>
              <w:top w:w="30" w:type="dxa"/>
              <w:left w:w="30" w:type="dxa"/>
              <w:bottom w:w="30" w:type="dxa"/>
              <w:right w:w="120" w:type="dxa"/>
            </w:tcMar>
            <w:vAlign w:val="center"/>
            <w:hideMark/>
          </w:tcPr>
          <w:p w14:paraId="632F163B"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2074D124"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-1.00</w:t>
            </w:r>
          </w:p>
        </w:tc>
        <w:tc>
          <w:tcPr>
            <w:tcW w:w="0" w:type="auto"/>
            <w:tcBorders>
              <w:top w:val="nil"/>
              <w:left w:val="nil"/>
              <w:bottom w:val="nil"/>
              <w:right w:val="nil"/>
            </w:tcBorders>
            <w:tcMar>
              <w:top w:w="30" w:type="dxa"/>
              <w:left w:w="30" w:type="dxa"/>
              <w:bottom w:w="30" w:type="dxa"/>
              <w:right w:w="120" w:type="dxa"/>
            </w:tcMar>
            <w:vAlign w:val="center"/>
            <w:hideMark/>
          </w:tcPr>
          <w:p w14:paraId="3C8827A6"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ᵃ</w:t>
            </w:r>
          </w:p>
        </w:tc>
        <w:tc>
          <w:tcPr>
            <w:tcW w:w="0" w:type="auto"/>
            <w:tcBorders>
              <w:top w:val="nil"/>
              <w:left w:val="nil"/>
              <w:bottom w:val="nil"/>
              <w:right w:val="nil"/>
            </w:tcBorders>
            <w:tcMar>
              <w:top w:w="30" w:type="dxa"/>
              <w:left w:w="120" w:type="dxa"/>
              <w:bottom w:w="30" w:type="dxa"/>
              <w:right w:w="0" w:type="dxa"/>
            </w:tcMar>
            <w:vAlign w:val="center"/>
            <w:hideMark/>
          </w:tcPr>
          <w:p w14:paraId="4E65CF6A"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6.00</w:t>
            </w:r>
          </w:p>
        </w:tc>
        <w:tc>
          <w:tcPr>
            <w:tcW w:w="0" w:type="auto"/>
            <w:tcBorders>
              <w:top w:val="nil"/>
              <w:left w:val="nil"/>
              <w:bottom w:val="nil"/>
              <w:right w:val="nil"/>
            </w:tcBorders>
            <w:tcMar>
              <w:top w:w="30" w:type="dxa"/>
              <w:left w:w="30" w:type="dxa"/>
              <w:bottom w:w="30" w:type="dxa"/>
              <w:right w:w="120" w:type="dxa"/>
            </w:tcMar>
            <w:vAlign w:val="center"/>
            <w:hideMark/>
          </w:tcPr>
          <w:p w14:paraId="32D2F39E"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61D8D3A1"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0.178</w:t>
            </w:r>
          </w:p>
        </w:tc>
        <w:tc>
          <w:tcPr>
            <w:tcW w:w="889" w:type="dxa"/>
            <w:tcBorders>
              <w:top w:val="nil"/>
              <w:left w:val="nil"/>
              <w:bottom w:val="nil"/>
              <w:right w:val="nil"/>
            </w:tcBorders>
            <w:tcMar>
              <w:top w:w="30" w:type="dxa"/>
              <w:left w:w="30" w:type="dxa"/>
              <w:bottom w:w="30" w:type="dxa"/>
              <w:right w:w="120" w:type="dxa"/>
            </w:tcMar>
            <w:vAlign w:val="center"/>
            <w:hideMark/>
          </w:tcPr>
          <w:p w14:paraId="563BC285" w14:textId="77777777" w:rsidR="00E35FE8" w:rsidRPr="00687D47" w:rsidRDefault="00E35FE8" w:rsidP="00F56152">
            <w:pPr>
              <w:spacing w:line="240" w:lineRule="auto"/>
              <w:ind w:firstLine="360"/>
              <w:jc w:val="center"/>
              <w:rPr>
                <w:color w:val="333333"/>
                <w:sz w:val="18"/>
                <w:szCs w:val="18"/>
              </w:rPr>
            </w:pPr>
          </w:p>
        </w:tc>
      </w:tr>
      <w:tr w:rsidR="00E35FE8" w:rsidRPr="00687D47" w14:paraId="3708A661" w14:textId="77777777" w:rsidTr="00F56152">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6467964"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lastRenderedPageBreak/>
              <w:t>PSQI5_</w:t>
            </w:r>
            <w:r>
              <w:rPr>
                <w:color w:val="333333"/>
                <w:sz w:val="18"/>
                <w:szCs w:val="18"/>
              </w:rPr>
              <w:t>S</w:t>
            </w:r>
            <w:r w:rsidRPr="00687D47">
              <w:rPr>
                <w:color w:val="333333"/>
                <w:sz w:val="18"/>
                <w:szCs w:val="18"/>
              </w:rPr>
              <w:t>leep</w:t>
            </w:r>
            <w:r>
              <w:rPr>
                <w:color w:val="333333"/>
                <w:sz w:val="18"/>
                <w:szCs w:val="18"/>
              </w:rPr>
              <w:t>D</w:t>
            </w:r>
            <w:r w:rsidRPr="00687D47">
              <w:rPr>
                <w:color w:val="333333"/>
                <w:sz w:val="18"/>
                <w:szCs w:val="18"/>
              </w:rPr>
              <w:t>isorders</w:t>
            </w:r>
          </w:p>
        </w:tc>
        <w:tc>
          <w:tcPr>
            <w:tcW w:w="0" w:type="auto"/>
            <w:tcBorders>
              <w:top w:val="nil"/>
              <w:left w:val="nil"/>
              <w:bottom w:val="nil"/>
              <w:right w:val="nil"/>
            </w:tcBorders>
            <w:tcMar>
              <w:top w:w="30" w:type="dxa"/>
              <w:left w:w="30" w:type="dxa"/>
              <w:bottom w:w="30" w:type="dxa"/>
              <w:right w:w="120" w:type="dxa"/>
            </w:tcMar>
            <w:vAlign w:val="center"/>
            <w:hideMark/>
          </w:tcPr>
          <w:p w14:paraId="38ABCC11"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31C080BE"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Student's t</w:t>
            </w:r>
          </w:p>
        </w:tc>
        <w:tc>
          <w:tcPr>
            <w:tcW w:w="0" w:type="auto"/>
            <w:tcBorders>
              <w:top w:val="nil"/>
              <w:left w:val="nil"/>
              <w:bottom w:val="nil"/>
              <w:right w:val="nil"/>
            </w:tcBorders>
            <w:tcMar>
              <w:top w:w="30" w:type="dxa"/>
              <w:left w:w="30" w:type="dxa"/>
              <w:bottom w:w="30" w:type="dxa"/>
              <w:right w:w="120" w:type="dxa"/>
            </w:tcMar>
            <w:vAlign w:val="center"/>
            <w:hideMark/>
          </w:tcPr>
          <w:p w14:paraId="4117C753"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48468DDF"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-1.41</w:t>
            </w:r>
          </w:p>
        </w:tc>
        <w:tc>
          <w:tcPr>
            <w:tcW w:w="0" w:type="auto"/>
            <w:tcBorders>
              <w:top w:val="nil"/>
              <w:left w:val="nil"/>
              <w:bottom w:val="nil"/>
              <w:right w:val="nil"/>
            </w:tcBorders>
            <w:tcMar>
              <w:top w:w="30" w:type="dxa"/>
              <w:left w:w="30" w:type="dxa"/>
              <w:bottom w:w="30" w:type="dxa"/>
              <w:right w:w="120" w:type="dxa"/>
            </w:tcMar>
            <w:vAlign w:val="center"/>
            <w:hideMark/>
          </w:tcPr>
          <w:p w14:paraId="55BD923B"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649FC2B0"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6.00</w:t>
            </w:r>
          </w:p>
        </w:tc>
        <w:tc>
          <w:tcPr>
            <w:tcW w:w="0" w:type="auto"/>
            <w:tcBorders>
              <w:top w:val="nil"/>
              <w:left w:val="nil"/>
              <w:bottom w:val="nil"/>
              <w:right w:val="nil"/>
            </w:tcBorders>
            <w:tcMar>
              <w:top w:w="30" w:type="dxa"/>
              <w:left w:w="30" w:type="dxa"/>
              <w:bottom w:w="30" w:type="dxa"/>
              <w:right w:w="120" w:type="dxa"/>
            </w:tcMar>
            <w:vAlign w:val="center"/>
            <w:hideMark/>
          </w:tcPr>
          <w:p w14:paraId="5FFCD14C"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00F63804"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0.104</w:t>
            </w:r>
          </w:p>
        </w:tc>
        <w:tc>
          <w:tcPr>
            <w:tcW w:w="889" w:type="dxa"/>
            <w:tcBorders>
              <w:top w:val="nil"/>
              <w:left w:val="nil"/>
              <w:bottom w:val="nil"/>
              <w:right w:val="nil"/>
            </w:tcBorders>
            <w:tcMar>
              <w:top w:w="30" w:type="dxa"/>
              <w:left w:w="30" w:type="dxa"/>
              <w:bottom w:w="30" w:type="dxa"/>
              <w:right w:w="120" w:type="dxa"/>
            </w:tcMar>
            <w:vAlign w:val="center"/>
            <w:hideMark/>
          </w:tcPr>
          <w:p w14:paraId="00CF980C" w14:textId="77777777" w:rsidR="00E35FE8" w:rsidRPr="00687D47" w:rsidRDefault="00E35FE8" w:rsidP="00F56152">
            <w:pPr>
              <w:spacing w:line="240" w:lineRule="auto"/>
              <w:ind w:firstLine="360"/>
              <w:jc w:val="center"/>
              <w:rPr>
                <w:color w:val="333333"/>
                <w:sz w:val="18"/>
                <w:szCs w:val="18"/>
              </w:rPr>
            </w:pPr>
          </w:p>
        </w:tc>
      </w:tr>
      <w:tr w:rsidR="00E35FE8" w:rsidRPr="00687D47" w14:paraId="71AEF2D3" w14:textId="77777777" w:rsidTr="00F56152">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1E3A80B"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PSQI6_Hypnotic</w:t>
            </w:r>
            <w:r>
              <w:rPr>
                <w:color w:val="333333"/>
                <w:sz w:val="18"/>
                <w:szCs w:val="18"/>
              </w:rPr>
              <w:t>M</w:t>
            </w:r>
            <w:r w:rsidRPr="00687D47">
              <w:rPr>
                <w:color w:val="333333"/>
                <w:sz w:val="18"/>
                <w:szCs w:val="18"/>
              </w:rPr>
              <w:t>edications</w:t>
            </w:r>
          </w:p>
        </w:tc>
        <w:tc>
          <w:tcPr>
            <w:tcW w:w="0" w:type="auto"/>
            <w:tcBorders>
              <w:top w:val="nil"/>
              <w:left w:val="nil"/>
              <w:bottom w:val="nil"/>
              <w:right w:val="nil"/>
            </w:tcBorders>
            <w:tcMar>
              <w:top w:w="30" w:type="dxa"/>
              <w:left w:w="30" w:type="dxa"/>
              <w:bottom w:w="30" w:type="dxa"/>
              <w:right w:w="120" w:type="dxa"/>
            </w:tcMar>
            <w:vAlign w:val="center"/>
            <w:hideMark/>
          </w:tcPr>
          <w:p w14:paraId="75B2A68E"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61AC7964"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Student's t</w:t>
            </w:r>
          </w:p>
        </w:tc>
        <w:tc>
          <w:tcPr>
            <w:tcW w:w="0" w:type="auto"/>
            <w:tcBorders>
              <w:top w:val="nil"/>
              <w:left w:val="nil"/>
              <w:bottom w:val="nil"/>
              <w:right w:val="nil"/>
            </w:tcBorders>
            <w:tcMar>
              <w:top w:w="30" w:type="dxa"/>
              <w:left w:w="30" w:type="dxa"/>
              <w:bottom w:w="30" w:type="dxa"/>
              <w:right w:w="120" w:type="dxa"/>
            </w:tcMar>
            <w:vAlign w:val="center"/>
            <w:hideMark/>
          </w:tcPr>
          <w:p w14:paraId="30B9C912"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626385EA"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-1.00</w:t>
            </w:r>
          </w:p>
        </w:tc>
        <w:tc>
          <w:tcPr>
            <w:tcW w:w="0" w:type="auto"/>
            <w:tcBorders>
              <w:top w:val="nil"/>
              <w:left w:val="nil"/>
              <w:bottom w:val="nil"/>
              <w:right w:val="nil"/>
            </w:tcBorders>
            <w:tcMar>
              <w:top w:w="30" w:type="dxa"/>
              <w:left w:w="30" w:type="dxa"/>
              <w:bottom w:w="30" w:type="dxa"/>
              <w:right w:w="120" w:type="dxa"/>
            </w:tcMar>
            <w:vAlign w:val="center"/>
            <w:hideMark/>
          </w:tcPr>
          <w:p w14:paraId="1F153BB3"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ᵃ</w:t>
            </w:r>
          </w:p>
        </w:tc>
        <w:tc>
          <w:tcPr>
            <w:tcW w:w="0" w:type="auto"/>
            <w:tcBorders>
              <w:top w:val="nil"/>
              <w:left w:val="nil"/>
              <w:bottom w:val="nil"/>
              <w:right w:val="nil"/>
            </w:tcBorders>
            <w:tcMar>
              <w:top w:w="30" w:type="dxa"/>
              <w:left w:w="120" w:type="dxa"/>
              <w:bottom w:w="30" w:type="dxa"/>
              <w:right w:w="0" w:type="dxa"/>
            </w:tcMar>
            <w:vAlign w:val="center"/>
            <w:hideMark/>
          </w:tcPr>
          <w:p w14:paraId="0CA005C4"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6.00</w:t>
            </w:r>
          </w:p>
        </w:tc>
        <w:tc>
          <w:tcPr>
            <w:tcW w:w="0" w:type="auto"/>
            <w:tcBorders>
              <w:top w:val="nil"/>
              <w:left w:val="nil"/>
              <w:bottom w:val="nil"/>
              <w:right w:val="nil"/>
            </w:tcBorders>
            <w:tcMar>
              <w:top w:w="30" w:type="dxa"/>
              <w:left w:w="30" w:type="dxa"/>
              <w:bottom w:w="30" w:type="dxa"/>
              <w:right w:w="120" w:type="dxa"/>
            </w:tcMar>
            <w:vAlign w:val="center"/>
            <w:hideMark/>
          </w:tcPr>
          <w:p w14:paraId="7209EB78"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019B4E70"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0.178</w:t>
            </w:r>
          </w:p>
        </w:tc>
        <w:tc>
          <w:tcPr>
            <w:tcW w:w="889" w:type="dxa"/>
            <w:tcBorders>
              <w:top w:val="nil"/>
              <w:left w:val="nil"/>
              <w:bottom w:val="nil"/>
              <w:right w:val="nil"/>
            </w:tcBorders>
            <w:tcMar>
              <w:top w:w="30" w:type="dxa"/>
              <w:left w:w="30" w:type="dxa"/>
              <w:bottom w:w="30" w:type="dxa"/>
              <w:right w:w="120" w:type="dxa"/>
            </w:tcMar>
            <w:vAlign w:val="center"/>
            <w:hideMark/>
          </w:tcPr>
          <w:p w14:paraId="3E1CCB45" w14:textId="77777777" w:rsidR="00E35FE8" w:rsidRPr="00687D47" w:rsidRDefault="00E35FE8" w:rsidP="00F56152">
            <w:pPr>
              <w:spacing w:line="240" w:lineRule="auto"/>
              <w:ind w:firstLine="360"/>
              <w:jc w:val="center"/>
              <w:rPr>
                <w:color w:val="333333"/>
                <w:sz w:val="18"/>
                <w:szCs w:val="18"/>
              </w:rPr>
            </w:pPr>
          </w:p>
        </w:tc>
      </w:tr>
      <w:tr w:rsidR="00E35FE8" w:rsidRPr="00687D47" w14:paraId="1BA4C68E" w14:textId="77777777" w:rsidTr="00F56152">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FA68F5F"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PSQI7_Daytime dysfunction</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3D72022"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EF86C0D"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Student's t</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B56154C"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07BF801" w14:textId="77777777" w:rsidR="00E35FE8" w:rsidRPr="00687D47" w:rsidRDefault="00E35FE8" w:rsidP="00F56152">
            <w:pPr>
              <w:spacing w:line="240" w:lineRule="auto"/>
              <w:ind w:firstLine="360"/>
              <w:jc w:val="center"/>
              <w:rPr>
                <w:color w:val="333333"/>
                <w:sz w:val="18"/>
                <w:szCs w:val="18"/>
              </w:rPr>
            </w:pPr>
            <w:proofErr w:type="spellStart"/>
            <w:r w:rsidRPr="00687D47">
              <w:rPr>
                <w:color w:val="333333"/>
                <w:sz w:val="18"/>
                <w:szCs w:val="18"/>
              </w:rPr>
              <w:t>NaN</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EE5E758"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4E928E2"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FD24125" w14:textId="77777777" w:rsidR="00E35FE8" w:rsidRPr="00687D47" w:rsidRDefault="00E35FE8" w:rsidP="00F56152">
            <w:pPr>
              <w:spacing w:line="240" w:lineRule="auto"/>
              <w:ind w:firstLine="360"/>
              <w:jc w:val="center"/>
              <w:rPr>
                <w:color w:val="333333"/>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019D028" w14:textId="77777777" w:rsidR="00E35FE8" w:rsidRPr="00687D47" w:rsidRDefault="00E35FE8" w:rsidP="00F56152">
            <w:pPr>
              <w:spacing w:line="240" w:lineRule="auto"/>
              <w:ind w:firstLine="360"/>
              <w:jc w:val="center"/>
              <w:rPr>
                <w:color w:val="333333"/>
                <w:sz w:val="18"/>
                <w:szCs w:val="18"/>
              </w:rPr>
            </w:pPr>
          </w:p>
        </w:tc>
        <w:tc>
          <w:tcPr>
            <w:tcW w:w="889" w:type="dxa"/>
            <w:tcBorders>
              <w:top w:val="nil"/>
              <w:left w:val="nil"/>
              <w:bottom w:val="single" w:sz="12" w:space="0" w:color="333333"/>
              <w:right w:val="nil"/>
            </w:tcBorders>
            <w:tcMar>
              <w:top w:w="30" w:type="dxa"/>
              <w:left w:w="30" w:type="dxa"/>
              <w:bottom w:w="120" w:type="dxa"/>
              <w:right w:w="120" w:type="dxa"/>
            </w:tcMar>
            <w:vAlign w:val="center"/>
            <w:hideMark/>
          </w:tcPr>
          <w:p w14:paraId="49534C59" w14:textId="77777777" w:rsidR="00E35FE8" w:rsidRPr="00687D47" w:rsidRDefault="00E35FE8" w:rsidP="00F56152">
            <w:pPr>
              <w:spacing w:line="240" w:lineRule="auto"/>
              <w:ind w:firstLine="360"/>
              <w:jc w:val="center"/>
              <w:rPr>
                <w:color w:val="333333"/>
                <w:sz w:val="18"/>
                <w:szCs w:val="18"/>
              </w:rPr>
            </w:pPr>
          </w:p>
        </w:tc>
      </w:tr>
      <w:tr w:rsidR="00E35FE8" w:rsidRPr="00687D47" w14:paraId="172851A0" w14:textId="77777777" w:rsidTr="00E35FE8">
        <w:trPr>
          <w:cantSplit/>
          <w:tblCellSpacing w:w="15" w:type="dxa"/>
        </w:trPr>
        <w:tc>
          <w:tcPr>
            <w:tcW w:w="8650" w:type="dxa"/>
            <w:gridSpan w:val="10"/>
            <w:tcBorders>
              <w:top w:val="nil"/>
              <w:left w:val="nil"/>
              <w:bottom w:val="nil"/>
              <w:right w:val="nil"/>
            </w:tcBorders>
            <w:tcMar>
              <w:top w:w="90" w:type="dxa"/>
              <w:left w:w="120" w:type="dxa"/>
              <w:bottom w:w="30" w:type="dxa"/>
              <w:right w:w="120" w:type="dxa"/>
            </w:tcMar>
            <w:vAlign w:val="center"/>
            <w:hideMark/>
          </w:tcPr>
          <w:p w14:paraId="1B61EF5C" w14:textId="77777777" w:rsidR="00E35FE8" w:rsidRPr="00687D47" w:rsidRDefault="00E35FE8" w:rsidP="00F56152">
            <w:pPr>
              <w:spacing w:line="240" w:lineRule="auto"/>
              <w:ind w:firstLine="360"/>
              <w:jc w:val="center"/>
              <w:rPr>
                <w:color w:val="333333"/>
                <w:sz w:val="18"/>
                <w:szCs w:val="18"/>
              </w:rPr>
            </w:pPr>
            <w:r w:rsidRPr="00687D47">
              <w:rPr>
                <w:color w:val="333333"/>
                <w:sz w:val="18"/>
                <w:szCs w:val="18"/>
              </w:rPr>
              <w:t>Hₐ μ </w:t>
            </w:r>
            <w:r w:rsidRPr="00687D47">
              <w:rPr>
                <w:color w:val="333333"/>
                <w:sz w:val="18"/>
                <w:szCs w:val="18"/>
                <w:vertAlign w:val="subscript"/>
              </w:rPr>
              <w:t>HC</w:t>
            </w:r>
            <w:r w:rsidRPr="00687D47">
              <w:rPr>
                <w:color w:val="333333"/>
                <w:sz w:val="18"/>
                <w:szCs w:val="18"/>
              </w:rPr>
              <w:t xml:space="preserve"> &lt; μ </w:t>
            </w:r>
            <w:r w:rsidRPr="00687D47">
              <w:rPr>
                <w:color w:val="333333"/>
                <w:sz w:val="18"/>
                <w:szCs w:val="18"/>
                <w:vertAlign w:val="subscript"/>
              </w:rPr>
              <w:t>ID</w:t>
            </w:r>
          </w:p>
        </w:tc>
      </w:tr>
    </w:tbl>
    <w:p w14:paraId="00D01942" w14:textId="6D980D91" w:rsidR="00E35FE8" w:rsidRPr="00E35FE8" w:rsidRDefault="00E35FE8" w:rsidP="00E35FE8">
      <w:pPr>
        <w:pStyle w:val="ad"/>
        <w:keepNext/>
        <w:jc w:val="center"/>
        <w:rPr>
          <w:rFonts w:ascii="Times New Roman" w:eastAsia="宋体" w:hAnsi="Times New Roman" w:cs="Times New Roman"/>
          <w:b/>
          <w:bCs/>
          <w:color w:val="333333"/>
          <w:sz w:val="18"/>
          <w:szCs w:val="18"/>
        </w:rPr>
      </w:pPr>
      <w:r w:rsidRPr="00E35FE8">
        <w:rPr>
          <w:rFonts w:ascii="Times New Roman" w:eastAsia="宋体" w:hAnsi="Times New Roman" w:cs="Times New Roman"/>
          <w:b/>
          <w:bCs/>
          <w:color w:val="333333"/>
          <w:sz w:val="18"/>
          <w:szCs w:val="18"/>
        </w:rPr>
        <w:t xml:space="preserve">Figure </w:t>
      </w:r>
      <w:r w:rsidRPr="00E35FE8">
        <w:rPr>
          <w:rFonts w:ascii="Times New Roman" w:eastAsia="宋体" w:hAnsi="Times New Roman" w:cs="Times New Roman"/>
          <w:b/>
          <w:bCs/>
          <w:color w:val="333333"/>
          <w:sz w:val="18"/>
          <w:szCs w:val="18"/>
        </w:rPr>
        <w:fldChar w:fldCharType="begin"/>
      </w:r>
      <w:r w:rsidRPr="00E35FE8">
        <w:rPr>
          <w:rFonts w:ascii="Times New Roman" w:eastAsia="宋体" w:hAnsi="Times New Roman" w:cs="Times New Roman"/>
          <w:b/>
          <w:bCs/>
          <w:color w:val="333333"/>
          <w:sz w:val="18"/>
          <w:szCs w:val="18"/>
        </w:rPr>
        <w:instrText xml:space="preserve"> SEQ Figure \* ARABIC </w:instrText>
      </w:r>
      <w:r w:rsidRPr="00E35FE8">
        <w:rPr>
          <w:rFonts w:ascii="Times New Roman" w:eastAsia="宋体" w:hAnsi="Times New Roman" w:cs="Times New Roman"/>
          <w:b/>
          <w:bCs/>
          <w:color w:val="333333"/>
          <w:sz w:val="18"/>
          <w:szCs w:val="18"/>
        </w:rPr>
        <w:fldChar w:fldCharType="separate"/>
      </w:r>
      <w:r w:rsidR="00F0348E">
        <w:rPr>
          <w:rFonts w:ascii="Times New Roman" w:eastAsia="宋体" w:hAnsi="Times New Roman" w:cs="Times New Roman"/>
          <w:b/>
          <w:bCs/>
          <w:noProof/>
          <w:color w:val="333333"/>
          <w:sz w:val="18"/>
          <w:szCs w:val="18"/>
        </w:rPr>
        <w:t>2</w:t>
      </w:r>
      <w:r w:rsidRPr="00E35FE8">
        <w:rPr>
          <w:rFonts w:ascii="Times New Roman" w:eastAsia="宋体" w:hAnsi="Times New Roman" w:cs="Times New Roman"/>
          <w:b/>
          <w:bCs/>
          <w:color w:val="333333"/>
          <w:sz w:val="18"/>
          <w:szCs w:val="18"/>
        </w:rPr>
        <w:fldChar w:fldCharType="end"/>
      </w:r>
      <w:r w:rsidRPr="00E35FE8">
        <w:rPr>
          <w:rFonts w:ascii="Times New Roman" w:eastAsia="宋体" w:hAnsi="Times New Roman" w:cs="Times New Roman"/>
          <w:b/>
          <w:bCs/>
          <w:color w:val="333333"/>
          <w:sz w:val="18"/>
          <w:szCs w:val="18"/>
        </w:rPr>
        <w:t xml:space="preserve"> </w:t>
      </w:r>
      <w:r w:rsidRPr="00E35FE8">
        <w:rPr>
          <w:rFonts w:ascii="Times New Roman" w:eastAsia="宋体" w:hAnsi="Times New Roman" w:cs="Times New Roman"/>
          <w:color w:val="333333"/>
          <w:sz w:val="18"/>
          <w:szCs w:val="18"/>
        </w:rPr>
        <w:t>Comparison of the ID VS HC group's performance on four indicators in the CGT.</w:t>
      </w:r>
    </w:p>
    <w:p w14:paraId="4A6599F2" w14:textId="77777777" w:rsidR="005D5506" w:rsidRDefault="00E35FE8" w:rsidP="005D5506">
      <w:pPr>
        <w:contextualSpacing/>
        <w:rPr>
          <w:b/>
          <w:bCs/>
        </w:rPr>
      </w:pPr>
      <w:r w:rsidRPr="00687D47">
        <w:rPr>
          <w:noProof/>
          <w:color w:val="333333"/>
          <w:sz w:val="18"/>
          <w:szCs w:val="18"/>
        </w:rPr>
        <w:drawing>
          <wp:inline distT="0" distB="0" distL="0" distR="0" wp14:anchorId="4738EE2E" wp14:editId="6E1643AF">
            <wp:extent cx="5274310" cy="3964305"/>
            <wp:effectExtent l="0" t="0" r="0" b="0"/>
            <wp:docPr id="350907985"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985" name="图片 1" descr="图表, 箱线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274310" cy="3964305"/>
                    </a:xfrm>
                    <a:prstGeom prst="rect">
                      <a:avLst/>
                    </a:prstGeom>
                  </pic:spPr>
                </pic:pic>
              </a:graphicData>
            </a:graphic>
          </wp:inline>
        </w:drawing>
      </w:r>
    </w:p>
    <w:p w14:paraId="36CFAFC2" w14:textId="77777777" w:rsidR="005D5506" w:rsidRPr="0006289D" w:rsidRDefault="005D5506" w:rsidP="0006289D">
      <w:pPr>
        <w:pStyle w:val="3"/>
        <w:rPr>
          <w:sz w:val="28"/>
          <w:szCs w:val="28"/>
        </w:rPr>
      </w:pPr>
      <w:r w:rsidRPr="0006289D">
        <w:rPr>
          <w:sz w:val="28"/>
          <w:szCs w:val="28"/>
        </w:rPr>
        <w:t>Comparative results between groups</w:t>
      </w:r>
    </w:p>
    <w:p w14:paraId="5896786C" w14:textId="77777777" w:rsidR="00DA72E4" w:rsidRPr="00DA72E4" w:rsidRDefault="00DA72E4" w:rsidP="00DA72E4">
      <w:pPr>
        <w:contextualSpacing/>
      </w:pPr>
      <w:r w:rsidRPr="00DA72E4">
        <w:t>Following the precedents set by previous research and considering the unique characteristics of our insomnia patient sample</w:t>
      </w:r>
      <w:r w:rsidRPr="00DA72E4">
        <w:rPr>
          <w:rFonts w:hint="eastAsia"/>
        </w:rPr>
        <w:t xml:space="preserve"> </w:t>
      </w:r>
      <w:r w:rsidRPr="00DA72E4">
        <w:t xml:space="preserve">(Zois et al, 2014), we selected four decision-making indicators from CGT. These indicators include the Quality of Decision Making (QDM), which measures the overall rationality of choices; the Deliberation Times (DTs), signifying the time taken to </w:t>
      </w:r>
      <w:r w:rsidRPr="00DA72E4">
        <w:lastRenderedPageBreak/>
        <w:t xml:space="preserve">deliberate before selecting; the Response Times (RT), indicating the mean amount of bet; and the Risk-Taking Ratio (RT-ratio), which assesses the percentage of the bet that owns the principal. </w:t>
      </w:r>
    </w:p>
    <w:p w14:paraId="1F96A3FF" w14:textId="77777777" w:rsidR="00DA72E4" w:rsidRPr="00DA72E4" w:rsidRDefault="00DA72E4" w:rsidP="00DA72E4">
      <w:pPr>
        <w:contextualSpacing/>
      </w:pPr>
      <w:r w:rsidRPr="00DA72E4">
        <w:t xml:space="preserve">Tab. 2 presents the descriptive statistical results. The table outlines key variables measured through the Cambridge Gambling Task (CGT), including the Deliberation Time (DT), Quality of Decision Making (QDM), Risk Taking (RT), and the Risk-Taking Ratio (RT-Ratio). The mean and standard deviation (SD) for each variable is provided. </w:t>
      </w:r>
    </w:p>
    <w:p w14:paraId="711E4287" w14:textId="77777777" w:rsidR="00DA72E4" w:rsidRPr="00DA72E4" w:rsidRDefault="00DA72E4" w:rsidP="00DA72E4">
      <w:pPr>
        <w:contextualSpacing/>
      </w:pPr>
      <w:r w:rsidRPr="00DA72E4">
        <w:t>In terms of DT, it is crucial for understanding cognitive processing speeds and the decision-making process. Based on reports in previous articles about insomniacs having low prefrontal activation</w:t>
      </w:r>
      <w:r w:rsidRPr="00DA72E4">
        <w:rPr>
          <w:rFonts w:hint="eastAsia"/>
        </w:rPr>
        <w:t xml:space="preserve"> </w:t>
      </w:r>
      <w:r w:rsidRPr="00DA72E4">
        <w:t>(Wu et al,2020) due to sleep deprivation, making them slower to respond</w:t>
      </w:r>
      <w:r w:rsidRPr="00DA72E4">
        <w:rPr>
          <w:rFonts w:hint="eastAsia"/>
        </w:rPr>
        <w:t xml:space="preserve"> </w:t>
      </w:r>
      <w:r w:rsidRPr="00DA72E4">
        <w:t>(Brownlow et al, 2020), we hypothesized that insomniacs have longer DTs because they need more time to gather information, process it, and make decisions. HC exhibited a mean DT of 1.02 seconds, whereas the ID demonstrated a longer mean DT of 2.04 seconds (Tab.2, Fig</w:t>
      </w:r>
      <w:r w:rsidR="00063E63">
        <w:t>2</w:t>
      </w:r>
      <w:r w:rsidRPr="00DA72E4">
        <w:t xml:space="preserve">.a), the borderline significant results of the independent samples t-test also indicates that the ID a longer DT (t=-2.09, P&lt;0.081). Given that we are a small study, this matches our hypotheses. </w:t>
      </w:r>
    </w:p>
    <w:p w14:paraId="30EB2D87" w14:textId="77777777" w:rsidR="00DA72E4" w:rsidRPr="00DA72E4" w:rsidRDefault="00DA72E4" w:rsidP="00DA72E4">
      <w:pPr>
        <w:contextualSpacing/>
      </w:pPr>
      <w:r w:rsidRPr="00DA72E4">
        <w:t>There was no significant difference in the comparison of QDM (t=0.278, p=0.79). Although we predicted that ID with impaired prefrontal decision-making function, might show poorer quality of decision-making</w:t>
      </w:r>
      <w:r w:rsidRPr="00DA72E4">
        <w:rPr>
          <w:rFonts w:hint="eastAsia"/>
        </w:rPr>
        <w:t xml:space="preserve"> </w:t>
      </w:r>
      <w:r w:rsidRPr="00DA72E4">
        <w:t xml:space="preserve">(Delazer et al., 2012), this was not reflected in the results of this study. This may be due to the specificity of our sample (graduate student), whose decision quality is moderated by educational attainment. A large-sample CGT performance study of a substance-addicted group also reported that QDM in alcohol-addicted people did not differ from normal (Zois et al., </w:t>
      </w:r>
      <w:r w:rsidR="00E35FE8" w:rsidRPr="00DA72E4">
        <w:t>2014) for</w:t>
      </w:r>
      <w:r w:rsidRPr="00DA72E4">
        <w:t xml:space="preserve"> which the QDM does not have sufficient external validity and sensitivity observations. However, based on Fig </w:t>
      </w:r>
      <w:r w:rsidR="00063E63">
        <w:t>2</w:t>
      </w:r>
      <w:r w:rsidRPr="00DA72E4">
        <w:t>.b, the QDM variance is greater in the ID group and HC is more convergent.</w:t>
      </w:r>
    </w:p>
    <w:p w14:paraId="493E70E1" w14:textId="77777777" w:rsidR="005D5506" w:rsidRDefault="00DA72E4" w:rsidP="005D5506">
      <w:pPr>
        <w:contextualSpacing/>
      </w:pPr>
      <w:r w:rsidRPr="00DA72E4">
        <w:rPr>
          <w:rFonts w:hint="eastAsia"/>
        </w:rPr>
        <w:lastRenderedPageBreak/>
        <w:t>In addition, HC demonstrated a mean RT of 97.6 and a mean RT-ratio of 0.526, whereas the ID group showed a RT mean of 116 and a mean RT-ratio of 0.454</w:t>
      </w:r>
      <w:r w:rsidRPr="00DA72E4">
        <w:rPr>
          <w:rFonts w:hint="eastAsia"/>
        </w:rPr>
        <w:t>（</w:t>
      </w:r>
      <w:r w:rsidRPr="00DA72E4">
        <w:rPr>
          <w:rFonts w:hint="eastAsia"/>
        </w:rPr>
        <w:t>Fig</w:t>
      </w:r>
      <w:r w:rsidR="00063E63">
        <w:t>2</w:t>
      </w:r>
      <w:r w:rsidRPr="00DA72E4">
        <w:rPr>
          <w:rFonts w:hint="eastAsia"/>
        </w:rPr>
        <w:t>.c, Fig</w:t>
      </w:r>
      <w:r w:rsidR="00063E63">
        <w:t>2</w:t>
      </w:r>
      <w:r w:rsidR="00E35FE8" w:rsidRPr="00DA72E4">
        <w:t>. d.</w:t>
      </w:r>
      <w:r w:rsidRPr="00DA72E4">
        <w:rPr>
          <w:rFonts w:hint="eastAsia"/>
        </w:rPr>
        <w:t xml:space="preserve"> Both RT and RT-ratio were no statistically significant difference (t=-0.32, P=0.75; t=0.6</w:t>
      </w:r>
      <w:r w:rsidRPr="00DA72E4">
        <w:t>53, P=0.53). We hypothesized that an insomniac population with impaired inhibition and a higher risk preference would have a significantly higher RT &amp; RT-ratio, but the results did not support it.</w:t>
      </w:r>
    </w:p>
    <w:p w14:paraId="7B7D4399" w14:textId="1496CB46" w:rsidR="00E35FE8" w:rsidRPr="00E35FE8" w:rsidRDefault="00E35FE8" w:rsidP="00E35FE8">
      <w:pPr>
        <w:pStyle w:val="ad"/>
        <w:keepNext/>
        <w:jc w:val="center"/>
        <w:rPr>
          <w:rFonts w:ascii="Times New Roman" w:hAnsi="Times New Roman" w:cs="Times New Roman"/>
          <w:sz w:val="16"/>
          <w:szCs w:val="16"/>
        </w:rPr>
      </w:pPr>
      <w:r w:rsidRPr="00E35FE8">
        <w:rPr>
          <w:rFonts w:ascii="Times New Roman" w:hAnsi="Times New Roman" w:cs="Times New Roman"/>
          <w:b/>
          <w:bCs/>
          <w:sz w:val="16"/>
          <w:szCs w:val="16"/>
        </w:rPr>
        <w:t xml:space="preserve">Figure </w:t>
      </w:r>
      <w:r w:rsidRPr="00E35FE8">
        <w:rPr>
          <w:rFonts w:ascii="Times New Roman" w:hAnsi="Times New Roman" w:cs="Times New Roman"/>
          <w:b/>
          <w:bCs/>
          <w:sz w:val="16"/>
          <w:szCs w:val="16"/>
        </w:rPr>
        <w:fldChar w:fldCharType="begin"/>
      </w:r>
      <w:r w:rsidRPr="00E35FE8">
        <w:rPr>
          <w:rFonts w:ascii="Times New Roman" w:hAnsi="Times New Roman" w:cs="Times New Roman"/>
          <w:b/>
          <w:bCs/>
          <w:sz w:val="16"/>
          <w:szCs w:val="16"/>
        </w:rPr>
        <w:instrText xml:space="preserve"> SEQ Figure \* ARABIC </w:instrText>
      </w:r>
      <w:r w:rsidRPr="00E35FE8">
        <w:rPr>
          <w:rFonts w:ascii="Times New Roman" w:hAnsi="Times New Roman" w:cs="Times New Roman"/>
          <w:b/>
          <w:bCs/>
          <w:sz w:val="16"/>
          <w:szCs w:val="16"/>
        </w:rPr>
        <w:fldChar w:fldCharType="separate"/>
      </w:r>
      <w:r w:rsidR="00F0348E">
        <w:rPr>
          <w:rFonts w:ascii="Times New Roman" w:hAnsi="Times New Roman" w:cs="Times New Roman"/>
          <w:b/>
          <w:bCs/>
          <w:noProof/>
          <w:sz w:val="16"/>
          <w:szCs w:val="16"/>
        </w:rPr>
        <w:t>3</w:t>
      </w:r>
      <w:r w:rsidRPr="00E35FE8">
        <w:rPr>
          <w:rFonts w:ascii="Times New Roman" w:hAnsi="Times New Roman" w:cs="Times New Roman"/>
          <w:b/>
          <w:bCs/>
          <w:sz w:val="16"/>
          <w:szCs w:val="16"/>
        </w:rPr>
        <w:fldChar w:fldCharType="end"/>
      </w:r>
      <w:r w:rsidRPr="00E35FE8">
        <w:rPr>
          <w:rFonts w:ascii="Times New Roman" w:hAnsi="Times New Roman" w:cs="Times New Roman"/>
          <w:b/>
          <w:bCs/>
          <w:sz w:val="16"/>
          <w:szCs w:val="16"/>
        </w:rPr>
        <w:t xml:space="preserve"> </w:t>
      </w:r>
      <w:r w:rsidRPr="00E35FE8">
        <w:rPr>
          <w:rFonts w:ascii="Times New Roman" w:hAnsi="Times New Roman" w:cs="Times New Roman"/>
          <w:sz w:val="16"/>
          <w:szCs w:val="16"/>
        </w:rPr>
        <w:t>Correlation between QDM and DT; correlation between time to sleep and DT.</w:t>
      </w:r>
    </w:p>
    <w:p w14:paraId="0F9738F3" w14:textId="77777777" w:rsidR="00E35FE8" w:rsidRDefault="00E35FE8" w:rsidP="005D5506">
      <w:pPr>
        <w:contextualSpacing/>
        <w:rPr>
          <w:b/>
          <w:bCs/>
        </w:rPr>
      </w:pPr>
      <w:r>
        <w:rPr>
          <w:b/>
          <w:bCs/>
          <w:noProof/>
        </w:rPr>
        <w:drawing>
          <wp:inline distT="0" distB="0" distL="0" distR="0" wp14:anchorId="672F7CC5" wp14:editId="23D2767F">
            <wp:extent cx="5274310" cy="2232025"/>
            <wp:effectExtent l="0" t="0" r="0" b="0"/>
            <wp:docPr id="557649439"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49439" name="图片 3" descr="图表&#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2232025"/>
                    </a:xfrm>
                    <a:prstGeom prst="rect">
                      <a:avLst/>
                    </a:prstGeom>
                  </pic:spPr>
                </pic:pic>
              </a:graphicData>
            </a:graphic>
          </wp:inline>
        </w:drawing>
      </w:r>
    </w:p>
    <w:tbl>
      <w:tblPr>
        <w:tblW w:w="0" w:type="auto"/>
        <w:tblCellSpacing w:w="15" w:type="dxa"/>
        <w:tblInd w:w="1145" w:type="dxa"/>
        <w:tblCellMar>
          <w:top w:w="15" w:type="dxa"/>
          <w:left w:w="15" w:type="dxa"/>
          <w:bottom w:w="15" w:type="dxa"/>
          <w:right w:w="15" w:type="dxa"/>
        </w:tblCellMar>
        <w:tblLook w:val="04A0" w:firstRow="1" w:lastRow="0" w:firstColumn="1" w:lastColumn="0" w:noHBand="0" w:noVBand="1"/>
      </w:tblPr>
      <w:tblGrid>
        <w:gridCol w:w="1139"/>
        <w:gridCol w:w="192"/>
        <w:gridCol w:w="961"/>
        <w:gridCol w:w="192"/>
        <w:gridCol w:w="721"/>
        <w:gridCol w:w="206"/>
        <w:gridCol w:w="637"/>
        <w:gridCol w:w="192"/>
        <w:gridCol w:w="668"/>
        <w:gridCol w:w="192"/>
        <w:gridCol w:w="574"/>
        <w:gridCol w:w="192"/>
        <w:gridCol w:w="783"/>
        <w:gridCol w:w="437"/>
      </w:tblGrid>
      <w:tr w:rsidR="00E35FE8" w:rsidRPr="00E35FE8" w14:paraId="70E678D5" w14:textId="77777777" w:rsidTr="00E35FE8">
        <w:trPr>
          <w:cantSplit/>
          <w:trHeight w:val="247"/>
          <w:tblHeader/>
          <w:tblCellSpacing w:w="15" w:type="dxa"/>
        </w:trPr>
        <w:tc>
          <w:tcPr>
            <w:tcW w:w="0" w:type="auto"/>
            <w:gridSpan w:val="14"/>
            <w:tcBorders>
              <w:top w:val="nil"/>
              <w:left w:val="nil"/>
              <w:bottom w:val="single" w:sz="6" w:space="0" w:color="333333"/>
              <w:right w:val="nil"/>
            </w:tcBorders>
            <w:tcMar>
              <w:top w:w="60" w:type="dxa"/>
              <w:left w:w="0" w:type="dxa"/>
              <w:bottom w:w="60" w:type="dxa"/>
              <w:right w:w="120" w:type="dxa"/>
            </w:tcMar>
            <w:vAlign w:val="center"/>
            <w:hideMark/>
          </w:tcPr>
          <w:p w14:paraId="37707933" w14:textId="77777777" w:rsidR="00E35FE8" w:rsidRPr="00E35FE8" w:rsidRDefault="00E35FE8" w:rsidP="00E35FE8">
            <w:pPr>
              <w:spacing w:before="100" w:beforeAutospacing="1" w:after="100" w:afterAutospacing="1" w:line="300" w:lineRule="auto"/>
              <w:jc w:val="center"/>
              <w:rPr>
                <w:rFonts w:eastAsia="等线"/>
                <w:b/>
                <w:bCs/>
                <w:color w:val="333333"/>
                <w:kern w:val="2"/>
                <w:sz w:val="18"/>
                <w:szCs w:val="18"/>
                <w:lang w:eastAsia="zh-CN"/>
                <w14:ligatures w14:val="standardContextual"/>
              </w:rPr>
            </w:pPr>
            <w:r w:rsidRPr="00E35FE8">
              <w:rPr>
                <w:rFonts w:eastAsia="等线"/>
                <w:b/>
                <w:bCs/>
                <w:color w:val="333333"/>
                <w:kern w:val="2"/>
                <w:sz w:val="16"/>
                <w:szCs w:val="16"/>
                <w:lang w:eastAsia="zh-CN"/>
                <w14:ligatures w14:val="standardContextual"/>
              </w:rPr>
              <w:t xml:space="preserve">Table3 </w:t>
            </w:r>
            <w:r w:rsidRPr="00E35FE8">
              <w:rPr>
                <w:rFonts w:eastAsia="等线"/>
                <w:color w:val="333333"/>
                <w:kern w:val="2"/>
                <w:sz w:val="16"/>
                <w:szCs w:val="16"/>
                <w:lang w:eastAsia="zh-CN"/>
                <w14:ligatures w14:val="standardContextual"/>
              </w:rPr>
              <w:t>The Correlation Matrix Between the PSQI Scores and the Four CGT Decision indicators</w:t>
            </w:r>
          </w:p>
        </w:tc>
      </w:tr>
      <w:tr w:rsidR="00E35FE8" w:rsidRPr="00E35FE8" w14:paraId="58D298AD" w14:textId="77777777" w:rsidTr="00E35FE8">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4B68561" w14:textId="77777777" w:rsidR="00E35FE8" w:rsidRPr="00E35FE8" w:rsidRDefault="00E35FE8" w:rsidP="00E35FE8">
            <w:pPr>
              <w:spacing w:before="100" w:beforeAutospacing="1" w:after="100" w:afterAutospacing="1" w:line="300" w:lineRule="auto"/>
              <w:jc w:val="center"/>
              <w:rPr>
                <w:rFonts w:eastAsia="等线"/>
                <w:b/>
                <w:bCs/>
                <w:color w:val="333333"/>
                <w:kern w:val="2"/>
                <w:sz w:val="18"/>
                <w:szCs w:val="18"/>
                <w:lang w:eastAsia="zh-CN"/>
                <w14:ligatures w14:val="standardContextual"/>
              </w:rPr>
            </w:pPr>
            <w:r w:rsidRPr="00E35FE8">
              <w:rPr>
                <w:rFonts w:eastAsia="等线"/>
                <w:b/>
                <w:bCs/>
                <w:color w:val="333333"/>
                <w:kern w:val="2"/>
                <w:sz w:val="18"/>
                <w:szCs w:val="18"/>
                <w:lang w:eastAsia="zh-CN"/>
                <w14:ligatures w14:val="standardContextual"/>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927B9C5" w14:textId="77777777" w:rsidR="00E35FE8" w:rsidRPr="00E35FE8" w:rsidRDefault="00E35FE8" w:rsidP="00E35FE8">
            <w:pPr>
              <w:spacing w:before="100" w:beforeAutospacing="1" w:after="100" w:afterAutospacing="1" w:line="300" w:lineRule="auto"/>
              <w:jc w:val="center"/>
              <w:rPr>
                <w:rFonts w:eastAsia="等线"/>
                <w:b/>
                <w:bCs/>
                <w:color w:val="333333"/>
                <w:kern w:val="2"/>
                <w:sz w:val="18"/>
                <w:szCs w:val="18"/>
                <w:lang w:eastAsia="zh-CN"/>
                <w14:ligatures w14:val="standardContextual"/>
              </w:rPr>
            </w:pPr>
            <w:r w:rsidRPr="00E35FE8">
              <w:rPr>
                <w:rFonts w:eastAsia="等线"/>
                <w:b/>
                <w:bCs/>
                <w:color w:val="333333"/>
                <w:kern w:val="2"/>
                <w:sz w:val="18"/>
                <w:szCs w:val="18"/>
                <w:lang w:eastAsia="zh-CN"/>
                <w14:ligatures w14:val="standardContextual"/>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40EAB1D" w14:textId="77777777" w:rsidR="00E35FE8" w:rsidRPr="00E35FE8" w:rsidRDefault="00E35FE8" w:rsidP="00E35FE8">
            <w:pPr>
              <w:spacing w:before="100" w:beforeAutospacing="1" w:after="100" w:afterAutospacing="1" w:line="300" w:lineRule="auto"/>
              <w:jc w:val="center"/>
              <w:rPr>
                <w:rFonts w:eastAsia="等线"/>
                <w:b/>
                <w:bCs/>
                <w:color w:val="333333"/>
                <w:kern w:val="2"/>
                <w:sz w:val="18"/>
                <w:szCs w:val="18"/>
                <w:lang w:eastAsia="zh-CN"/>
                <w14:ligatures w14:val="standardContextual"/>
              </w:rPr>
            </w:pPr>
            <w:r w:rsidRPr="00E35FE8">
              <w:rPr>
                <w:rFonts w:eastAsia="等线"/>
                <w:b/>
                <w:bCs/>
                <w:color w:val="333333"/>
                <w:kern w:val="2"/>
                <w:sz w:val="18"/>
                <w:szCs w:val="18"/>
                <w:lang w:eastAsia="zh-CN"/>
                <w14:ligatures w14:val="standardContextual"/>
              </w:rPr>
              <w:t>RT-ratio</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1C7246B" w14:textId="77777777" w:rsidR="00E35FE8" w:rsidRPr="00E35FE8" w:rsidRDefault="00E35FE8" w:rsidP="00E35FE8">
            <w:pPr>
              <w:spacing w:before="100" w:beforeAutospacing="1" w:after="100" w:afterAutospacing="1" w:line="300" w:lineRule="auto"/>
              <w:jc w:val="center"/>
              <w:rPr>
                <w:rFonts w:eastAsia="等线"/>
                <w:b/>
                <w:bCs/>
                <w:color w:val="333333"/>
                <w:kern w:val="2"/>
                <w:sz w:val="18"/>
                <w:szCs w:val="18"/>
                <w:lang w:eastAsia="zh-CN"/>
                <w14:ligatures w14:val="standardContextual"/>
              </w:rPr>
            </w:pPr>
            <w:r w:rsidRPr="00E35FE8">
              <w:rPr>
                <w:rFonts w:eastAsia="等线"/>
                <w:b/>
                <w:bCs/>
                <w:color w:val="333333"/>
                <w:kern w:val="2"/>
                <w:sz w:val="18"/>
                <w:szCs w:val="18"/>
                <w:lang w:eastAsia="zh-CN"/>
                <w14:ligatures w14:val="standardContextual"/>
              </w:rPr>
              <w:t>RT</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FCCEF25" w14:textId="77777777" w:rsidR="00E35FE8" w:rsidRPr="00E35FE8" w:rsidRDefault="00E35FE8" w:rsidP="00E35FE8">
            <w:pPr>
              <w:spacing w:before="100" w:beforeAutospacing="1" w:after="100" w:afterAutospacing="1" w:line="300" w:lineRule="auto"/>
              <w:jc w:val="center"/>
              <w:rPr>
                <w:rFonts w:eastAsia="等线"/>
                <w:b/>
                <w:bCs/>
                <w:color w:val="333333"/>
                <w:kern w:val="2"/>
                <w:sz w:val="18"/>
                <w:szCs w:val="18"/>
                <w:lang w:eastAsia="zh-CN"/>
                <w14:ligatures w14:val="standardContextual"/>
              </w:rPr>
            </w:pPr>
            <w:r w:rsidRPr="00E35FE8">
              <w:rPr>
                <w:rFonts w:eastAsia="等线"/>
                <w:b/>
                <w:bCs/>
                <w:color w:val="333333"/>
                <w:kern w:val="2"/>
                <w:sz w:val="18"/>
                <w:szCs w:val="18"/>
                <w:lang w:eastAsia="zh-CN"/>
                <w14:ligatures w14:val="standardContextual"/>
              </w:rPr>
              <w:t>QDM</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3FF22DA" w14:textId="77777777" w:rsidR="00E35FE8" w:rsidRPr="00E35FE8" w:rsidRDefault="00E35FE8" w:rsidP="00E35FE8">
            <w:pPr>
              <w:spacing w:before="100" w:beforeAutospacing="1" w:after="100" w:afterAutospacing="1" w:line="300" w:lineRule="auto"/>
              <w:jc w:val="center"/>
              <w:rPr>
                <w:rFonts w:eastAsia="等线"/>
                <w:b/>
                <w:bCs/>
                <w:color w:val="333333"/>
                <w:kern w:val="2"/>
                <w:sz w:val="18"/>
                <w:szCs w:val="18"/>
                <w:lang w:eastAsia="zh-CN"/>
                <w14:ligatures w14:val="standardContextual"/>
              </w:rPr>
            </w:pPr>
            <w:r w:rsidRPr="00E35FE8">
              <w:rPr>
                <w:rFonts w:eastAsia="等线"/>
                <w:b/>
                <w:bCs/>
                <w:color w:val="333333"/>
                <w:kern w:val="2"/>
                <w:sz w:val="18"/>
                <w:szCs w:val="18"/>
                <w:lang w:eastAsia="zh-CN"/>
                <w14:ligatures w14:val="standardContextual"/>
              </w:rPr>
              <w:t>DT(s)</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DE8D8D1" w14:textId="77777777" w:rsidR="00E35FE8" w:rsidRPr="00E35FE8" w:rsidRDefault="00E35FE8" w:rsidP="00E35FE8">
            <w:pPr>
              <w:spacing w:before="100" w:beforeAutospacing="1" w:after="100" w:afterAutospacing="1" w:line="300" w:lineRule="auto"/>
              <w:jc w:val="center"/>
              <w:rPr>
                <w:rFonts w:eastAsia="等线"/>
                <w:b/>
                <w:bCs/>
                <w:color w:val="333333"/>
                <w:kern w:val="2"/>
                <w:sz w:val="18"/>
                <w:szCs w:val="18"/>
                <w:lang w:eastAsia="zh-CN"/>
                <w14:ligatures w14:val="standardContextual"/>
              </w:rPr>
            </w:pPr>
            <w:r w:rsidRPr="00E35FE8">
              <w:rPr>
                <w:rFonts w:eastAsia="等线"/>
                <w:b/>
                <w:bCs/>
                <w:color w:val="333333"/>
                <w:kern w:val="2"/>
                <w:sz w:val="18"/>
                <w:szCs w:val="18"/>
                <w:lang w:eastAsia="zh-CN"/>
                <w14:ligatures w14:val="standardContextual"/>
              </w:rPr>
              <w:t>PSQI (total)</w:t>
            </w:r>
          </w:p>
        </w:tc>
      </w:tr>
      <w:tr w:rsidR="00E35FE8" w:rsidRPr="00E35FE8" w14:paraId="2D102F93" w14:textId="77777777" w:rsidTr="00E35FE8">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2237FB04" w14:textId="77777777" w:rsidR="00E35FE8" w:rsidRPr="00E35FE8" w:rsidRDefault="00E35FE8" w:rsidP="00E35FE8">
            <w:pPr>
              <w:spacing w:before="100" w:beforeAutospacing="1" w:after="100" w:afterAutospacing="1" w:line="300" w:lineRule="auto"/>
              <w:rPr>
                <w:rFonts w:eastAsia="等线"/>
                <w:b/>
                <w:bCs/>
                <w:color w:val="333333"/>
                <w:kern w:val="2"/>
                <w:sz w:val="18"/>
                <w:szCs w:val="18"/>
                <w:lang w:eastAsia="zh-CN"/>
                <w14:ligatures w14:val="standardContextual"/>
              </w:rPr>
            </w:pPr>
            <w:r w:rsidRPr="00E35FE8">
              <w:rPr>
                <w:rFonts w:eastAsia="等线"/>
                <w:b/>
                <w:bCs/>
                <w:color w:val="333333"/>
                <w:kern w:val="2"/>
                <w:sz w:val="18"/>
                <w:szCs w:val="18"/>
                <w:lang w:eastAsia="zh-CN"/>
                <w14:ligatures w14:val="standardContextual"/>
              </w:rPr>
              <w:t>RT-ratio</w:t>
            </w:r>
          </w:p>
        </w:tc>
        <w:tc>
          <w:tcPr>
            <w:tcW w:w="0" w:type="auto"/>
            <w:tcBorders>
              <w:top w:val="nil"/>
              <w:left w:val="nil"/>
              <w:bottom w:val="nil"/>
              <w:right w:val="nil"/>
            </w:tcBorders>
            <w:tcMar>
              <w:top w:w="120" w:type="dxa"/>
              <w:left w:w="30" w:type="dxa"/>
              <w:bottom w:w="30" w:type="dxa"/>
              <w:right w:w="120" w:type="dxa"/>
            </w:tcMar>
            <w:vAlign w:val="center"/>
            <w:hideMark/>
          </w:tcPr>
          <w:p w14:paraId="58A59DF2"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64A9306B"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Pearson's r</w:t>
            </w:r>
          </w:p>
        </w:tc>
        <w:tc>
          <w:tcPr>
            <w:tcW w:w="0" w:type="auto"/>
            <w:tcBorders>
              <w:top w:val="nil"/>
              <w:left w:val="nil"/>
              <w:bottom w:val="nil"/>
              <w:right w:val="nil"/>
            </w:tcBorders>
            <w:tcMar>
              <w:top w:w="120" w:type="dxa"/>
              <w:left w:w="30" w:type="dxa"/>
              <w:bottom w:w="30" w:type="dxa"/>
              <w:right w:w="120" w:type="dxa"/>
            </w:tcMar>
            <w:vAlign w:val="center"/>
            <w:hideMark/>
          </w:tcPr>
          <w:p w14:paraId="49B35B1A"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00BAD34F"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w:t>
            </w:r>
          </w:p>
        </w:tc>
        <w:tc>
          <w:tcPr>
            <w:tcW w:w="0" w:type="auto"/>
            <w:tcBorders>
              <w:top w:val="nil"/>
              <w:left w:val="nil"/>
              <w:bottom w:val="nil"/>
              <w:right w:val="nil"/>
            </w:tcBorders>
            <w:tcMar>
              <w:top w:w="120" w:type="dxa"/>
              <w:left w:w="30" w:type="dxa"/>
              <w:bottom w:w="30" w:type="dxa"/>
              <w:right w:w="120" w:type="dxa"/>
            </w:tcMar>
            <w:vAlign w:val="center"/>
            <w:hideMark/>
          </w:tcPr>
          <w:p w14:paraId="1A492F87"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04B11FDF"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120" w:type="dxa"/>
              <w:left w:w="30" w:type="dxa"/>
              <w:bottom w:w="30" w:type="dxa"/>
              <w:right w:w="120" w:type="dxa"/>
            </w:tcMar>
            <w:vAlign w:val="center"/>
            <w:hideMark/>
          </w:tcPr>
          <w:p w14:paraId="1A20541E"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6547B12A"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120" w:type="dxa"/>
              <w:left w:w="30" w:type="dxa"/>
              <w:bottom w:w="30" w:type="dxa"/>
              <w:right w:w="120" w:type="dxa"/>
            </w:tcMar>
            <w:vAlign w:val="center"/>
            <w:hideMark/>
          </w:tcPr>
          <w:p w14:paraId="0A648B8A"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4E49DEE2"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120" w:type="dxa"/>
              <w:left w:w="30" w:type="dxa"/>
              <w:bottom w:w="30" w:type="dxa"/>
              <w:right w:w="120" w:type="dxa"/>
            </w:tcMar>
            <w:vAlign w:val="center"/>
            <w:hideMark/>
          </w:tcPr>
          <w:p w14:paraId="02F87552"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10B98FE0"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120" w:type="dxa"/>
              <w:left w:w="30" w:type="dxa"/>
              <w:bottom w:w="30" w:type="dxa"/>
              <w:right w:w="120" w:type="dxa"/>
            </w:tcMar>
            <w:vAlign w:val="center"/>
            <w:hideMark/>
          </w:tcPr>
          <w:p w14:paraId="39D149FD"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r>
      <w:tr w:rsidR="00E35FE8" w:rsidRPr="00E35FE8" w14:paraId="5F30918E" w14:textId="77777777" w:rsidTr="00E35FE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0FDEAE0"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0828705D"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126B6339"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roofErr w:type="spellStart"/>
            <w:r w:rsidRPr="00E35FE8">
              <w:rPr>
                <w:rFonts w:eastAsia="等线"/>
                <w:color w:val="333333"/>
                <w:kern w:val="2"/>
                <w:sz w:val="18"/>
                <w:szCs w:val="18"/>
                <w:lang w:eastAsia="zh-CN"/>
                <w14:ligatures w14:val="standardContextual"/>
              </w:rPr>
              <w:t>df</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CCA4777"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37247E31"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w:t>
            </w:r>
          </w:p>
        </w:tc>
        <w:tc>
          <w:tcPr>
            <w:tcW w:w="0" w:type="auto"/>
            <w:tcBorders>
              <w:top w:val="nil"/>
              <w:left w:val="nil"/>
              <w:bottom w:val="nil"/>
              <w:right w:val="nil"/>
            </w:tcBorders>
            <w:tcMar>
              <w:top w:w="30" w:type="dxa"/>
              <w:left w:w="30" w:type="dxa"/>
              <w:bottom w:w="30" w:type="dxa"/>
              <w:right w:w="120" w:type="dxa"/>
            </w:tcMar>
            <w:vAlign w:val="center"/>
            <w:hideMark/>
          </w:tcPr>
          <w:p w14:paraId="0E09EF1A"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2E266EFF"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137CE91B"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3A077AB0"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4BFA8F86"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6660DC7F"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2CF7E5A8"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3D3218A0"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45E78D9D"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r>
      <w:tr w:rsidR="00E35FE8" w:rsidRPr="00E35FE8" w14:paraId="1E9B6786" w14:textId="77777777" w:rsidTr="00E35FE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54CE666"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522FD3E2"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0FE07679"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p</w:t>
            </w:r>
          </w:p>
        </w:tc>
        <w:tc>
          <w:tcPr>
            <w:tcW w:w="0" w:type="auto"/>
            <w:tcBorders>
              <w:top w:val="nil"/>
              <w:left w:val="nil"/>
              <w:bottom w:val="nil"/>
              <w:right w:val="nil"/>
            </w:tcBorders>
            <w:tcMar>
              <w:top w:w="30" w:type="dxa"/>
              <w:left w:w="30" w:type="dxa"/>
              <w:bottom w:w="30" w:type="dxa"/>
              <w:right w:w="120" w:type="dxa"/>
            </w:tcMar>
            <w:vAlign w:val="center"/>
            <w:hideMark/>
          </w:tcPr>
          <w:p w14:paraId="312DAC9E"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4043E6C4"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w:t>
            </w:r>
          </w:p>
        </w:tc>
        <w:tc>
          <w:tcPr>
            <w:tcW w:w="0" w:type="auto"/>
            <w:tcBorders>
              <w:top w:val="nil"/>
              <w:left w:val="nil"/>
              <w:bottom w:val="nil"/>
              <w:right w:val="nil"/>
            </w:tcBorders>
            <w:tcMar>
              <w:top w:w="30" w:type="dxa"/>
              <w:left w:w="30" w:type="dxa"/>
              <w:bottom w:w="30" w:type="dxa"/>
              <w:right w:w="120" w:type="dxa"/>
            </w:tcMar>
            <w:vAlign w:val="center"/>
            <w:hideMark/>
          </w:tcPr>
          <w:p w14:paraId="07F8BDFB"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6C9CF250"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5C08E6BD"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5C88CE47"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075E7009"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4CFCAE82"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14BF95A2"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14DC2A9E"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5D5B9CCE"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r>
      <w:tr w:rsidR="00E35FE8" w:rsidRPr="00E35FE8" w14:paraId="765EEB86" w14:textId="77777777" w:rsidTr="00E35FE8">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4ADF4D9B" w14:textId="77777777" w:rsidR="00E35FE8" w:rsidRPr="00E35FE8" w:rsidRDefault="00E35FE8" w:rsidP="00E35FE8">
            <w:pPr>
              <w:spacing w:before="100" w:beforeAutospacing="1" w:after="100" w:afterAutospacing="1" w:line="300" w:lineRule="auto"/>
              <w:rPr>
                <w:rFonts w:eastAsia="等线"/>
                <w:b/>
                <w:bCs/>
                <w:color w:val="333333"/>
                <w:kern w:val="2"/>
                <w:sz w:val="18"/>
                <w:szCs w:val="18"/>
                <w:lang w:eastAsia="zh-CN"/>
                <w14:ligatures w14:val="standardContextual"/>
              </w:rPr>
            </w:pPr>
            <w:r w:rsidRPr="00E35FE8">
              <w:rPr>
                <w:rFonts w:eastAsia="等线"/>
                <w:b/>
                <w:bCs/>
                <w:color w:val="333333"/>
                <w:kern w:val="2"/>
                <w:sz w:val="18"/>
                <w:szCs w:val="18"/>
                <w:lang w:eastAsia="zh-CN"/>
                <w14:ligatures w14:val="standardContextual"/>
              </w:rPr>
              <w:t>RT</w:t>
            </w:r>
          </w:p>
        </w:tc>
        <w:tc>
          <w:tcPr>
            <w:tcW w:w="0" w:type="auto"/>
            <w:tcBorders>
              <w:top w:val="nil"/>
              <w:left w:val="nil"/>
              <w:bottom w:val="nil"/>
              <w:right w:val="nil"/>
            </w:tcBorders>
            <w:tcMar>
              <w:top w:w="30" w:type="dxa"/>
              <w:left w:w="30" w:type="dxa"/>
              <w:bottom w:w="30" w:type="dxa"/>
              <w:right w:w="120" w:type="dxa"/>
            </w:tcMar>
            <w:vAlign w:val="center"/>
            <w:hideMark/>
          </w:tcPr>
          <w:p w14:paraId="73B1098C"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69C842AF"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Pearson's r</w:t>
            </w:r>
          </w:p>
        </w:tc>
        <w:tc>
          <w:tcPr>
            <w:tcW w:w="0" w:type="auto"/>
            <w:tcBorders>
              <w:top w:val="nil"/>
              <w:left w:val="nil"/>
              <w:bottom w:val="nil"/>
              <w:right w:val="nil"/>
            </w:tcBorders>
            <w:tcMar>
              <w:top w:w="30" w:type="dxa"/>
              <w:left w:w="30" w:type="dxa"/>
              <w:bottom w:w="30" w:type="dxa"/>
              <w:right w:w="120" w:type="dxa"/>
            </w:tcMar>
            <w:vAlign w:val="center"/>
            <w:hideMark/>
          </w:tcPr>
          <w:p w14:paraId="42B3131C"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6AF0E359"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0.731</w:t>
            </w:r>
          </w:p>
        </w:tc>
        <w:tc>
          <w:tcPr>
            <w:tcW w:w="0" w:type="auto"/>
            <w:tcBorders>
              <w:top w:val="nil"/>
              <w:left w:val="nil"/>
              <w:bottom w:val="nil"/>
              <w:right w:val="nil"/>
            </w:tcBorders>
            <w:tcMar>
              <w:top w:w="30" w:type="dxa"/>
              <w:left w:w="30" w:type="dxa"/>
              <w:bottom w:w="30" w:type="dxa"/>
              <w:right w:w="120" w:type="dxa"/>
            </w:tcMar>
            <w:vAlign w:val="center"/>
            <w:hideMark/>
          </w:tcPr>
          <w:p w14:paraId="364EC6CB"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072D1E29"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w:t>
            </w:r>
          </w:p>
        </w:tc>
        <w:tc>
          <w:tcPr>
            <w:tcW w:w="0" w:type="auto"/>
            <w:tcBorders>
              <w:top w:val="nil"/>
              <w:left w:val="nil"/>
              <w:bottom w:val="nil"/>
              <w:right w:val="nil"/>
            </w:tcBorders>
            <w:tcMar>
              <w:top w:w="30" w:type="dxa"/>
              <w:left w:w="30" w:type="dxa"/>
              <w:bottom w:w="30" w:type="dxa"/>
              <w:right w:w="120" w:type="dxa"/>
            </w:tcMar>
            <w:vAlign w:val="center"/>
            <w:hideMark/>
          </w:tcPr>
          <w:p w14:paraId="68EAB826"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0FA77EEC"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27BCD38A"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120C2AA1"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77CC1FA0"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6CE645B8"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590D82C7"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r>
      <w:tr w:rsidR="00E35FE8" w:rsidRPr="00E35FE8" w14:paraId="1CB8CF45" w14:textId="77777777" w:rsidTr="00E35FE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27E6EB7"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376A1FD9"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7D54989A"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roofErr w:type="spellStart"/>
            <w:r w:rsidRPr="00E35FE8">
              <w:rPr>
                <w:rFonts w:eastAsia="等线"/>
                <w:color w:val="333333"/>
                <w:kern w:val="2"/>
                <w:sz w:val="18"/>
                <w:szCs w:val="18"/>
                <w:lang w:eastAsia="zh-CN"/>
                <w14:ligatures w14:val="standardContextual"/>
              </w:rPr>
              <w:t>df</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16F44CE"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14AF6C3A"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6</w:t>
            </w:r>
          </w:p>
        </w:tc>
        <w:tc>
          <w:tcPr>
            <w:tcW w:w="0" w:type="auto"/>
            <w:tcBorders>
              <w:top w:val="nil"/>
              <w:left w:val="nil"/>
              <w:bottom w:val="nil"/>
              <w:right w:val="nil"/>
            </w:tcBorders>
            <w:tcMar>
              <w:top w:w="30" w:type="dxa"/>
              <w:left w:w="30" w:type="dxa"/>
              <w:bottom w:w="30" w:type="dxa"/>
              <w:right w:w="120" w:type="dxa"/>
            </w:tcMar>
            <w:vAlign w:val="center"/>
            <w:hideMark/>
          </w:tcPr>
          <w:p w14:paraId="28D7BB4C"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77391E5C"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w:t>
            </w:r>
          </w:p>
        </w:tc>
        <w:tc>
          <w:tcPr>
            <w:tcW w:w="0" w:type="auto"/>
            <w:tcBorders>
              <w:top w:val="nil"/>
              <w:left w:val="nil"/>
              <w:bottom w:val="nil"/>
              <w:right w:val="nil"/>
            </w:tcBorders>
            <w:tcMar>
              <w:top w:w="30" w:type="dxa"/>
              <w:left w:w="30" w:type="dxa"/>
              <w:bottom w:w="30" w:type="dxa"/>
              <w:right w:w="120" w:type="dxa"/>
            </w:tcMar>
            <w:vAlign w:val="center"/>
            <w:hideMark/>
          </w:tcPr>
          <w:p w14:paraId="654EA1C3"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14A096E0"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6FC8CB77"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05328800"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7E980D89"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2A4C410C"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4A684200"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r>
      <w:tr w:rsidR="00E35FE8" w:rsidRPr="00E35FE8" w14:paraId="7853C79B" w14:textId="77777777" w:rsidTr="00E35FE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8F458AA"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50FA605A"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304F3A6F"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p</w:t>
            </w:r>
          </w:p>
        </w:tc>
        <w:tc>
          <w:tcPr>
            <w:tcW w:w="0" w:type="auto"/>
            <w:tcBorders>
              <w:top w:val="nil"/>
              <w:left w:val="nil"/>
              <w:bottom w:val="nil"/>
              <w:right w:val="nil"/>
            </w:tcBorders>
            <w:tcMar>
              <w:top w:w="30" w:type="dxa"/>
              <w:left w:w="30" w:type="dxa"/>
              <w:bottom w:w="30" w:type="dxa"/>
              <w:right w:w="120" w:type="dxa"/>
            </w:tcMar>
            <w:vAlign w:val="center"/>
            <w:hideMark/>
          </w:tcPr>
          <w:p w14:paraId="6A8170B7"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02CE05C2"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0.039*</w:t>
            </w:r>
          </w:p>
        </w:tc>
        <w:tc>
          <w:tcPr>
            <w:tcW w:w="0" w:type="auto"/>
            <w:tcBorders>
              <w:top w:val="nil"/>
              <w:left w:val="nil"/>
              <w:bottom w:val="nil"/>
              <w:right w:val="nil"/>
            </w:tcBorders>
            <w:tcMar>
              <w:top w:w="30" w:type="dxa"/>
              <w:left w:w="30" w:type="dxa"/>
              <w:bottom w:w="30" w:type="dxa"/>
              <w:right w:w="120" w:type="dxa"/>
            </w:tcMar>
            <w:vAlign w:val="center"/>
            <w:hideMark/>
          </w:tcPr>
          <w:p w14:paraId="34BF9ED2"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363CB2BD"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w:t>
            </w:r>
          </w:p>
        </w:tc>
        <w:tc>
          <w:tcPr>
            <w:tcW w:w="0" w:type="auto"/>
            <w:tcBorders>
              <w:top w:val="nil"/>
              <w:left w:val="nil"/>
              <w:bottom w:val="nil"/>
              <w:right w:val="nil"/>
            </w:tcBorders>
            <w:tcMar>
              <w:top w:w="30" w:type="dxa"/>
              <w:left w:w="30" w:type="dxa"/>
              <w:bottom w:w="30" w:type="dxa"/>
              <w:right w:w="120" w:type="dxa"/>
            </w:tcMar>
            <w:vAlign w:val="center"/>
            <w:hideMark/>
          </w:tcPr>
          <w:p w14:paraId="51A1BBF9"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44B52BF4"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75640A13"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19E38453"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48581CB9"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7752C45D"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3D4417D9"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r>
      <w:tr w:rsidR="00E35FE8" w:rsidRPr="00E35FE8" w14:paraId="71F3023D" w14:textId="77777777" w:rsidTr="00E35FE8">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411D751A" w14:textId="77777777" w:rsidR="00E35FE8" w:rsidRPr="00E35FE8" w:rsidRDefault="00E35FE8" w:rsidP="00E35FE8">
            <w:pPr>
              <w:spacing w:before="100" w:beforeAutospacing="1" w:after="100" w:afterAutospacing="1" w:line="300" w:lineRule="auto"/>
              <w:rPr>
                <w:rFonts w:eastAsia="等线"/>
                <w:b/>
                <w:bCs/>
                <w:color w:val="333333"/>
                <w:kern w:val="2"/>
                <w:sz w:val="18"/>
                <w:szCs w:val="18"/>
                <w:lang w:eastAsia="zh-CN"/>
                <w14:ligatures w14:val="standardContextual"/>
              </w:rPr>
            </w:pPr>
            <w:r w:rsidRPr="00E35FE8">
              <w:rPr>
                <w:rFonts w:eastAsia="等线"/>
                <w:b/>
                <w:bCs/>
                <w:color w:val="333333"/>
                <w:kern w:val="2"/>
                <w:sz w:val="18"/>
                <w:szCs w:val="18"/>
                <w:lang w:eastAsia="zh-CN"/>
                <w14:ligatures w14:val="standardContextual"/>
              </w:rPr>
              <w:t>QDM</w:t>
            </w:r>
          </w:p>
        </w:tc>
        <w:tc>
          <w:tcPr>
            <w:tcW w:w="0" w:type="auto"/>
            <w:tcBorders>
              <w:top w:val="nil"/>
              <w:left w:val="nil"/>
              <w:bottom w:val="nil"/>
              <w:right w:val="nil"/>
            </w:tcBorders>
            <w:tcMar>
              <w:top w:w="30" w:type="dxa"/>
              <w:left w:w="30" w:type="dxa"/>
              <w:bottom w:w="30" w:type="dxa"/>
              <w:right w:w="120" w:type="dxa"/>
            </w:tcMar>
            <w:vAlign w:val="center"/>
            <w:hideMark/>
          </w:tcPr>
          <w:p w14:paraId="22224096"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171481AD"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Pearson's r</w:t>
            </w:r>
          </w:p>
        </w:tc>
        <w:tc>
          <w:tcPr>
            <w:tcW w:w="0" w:type="auto"/>
            <w:tcBorders>
              <w:top w:val="nil"/>
              <w:left w:val="nil"/>
              <w:bottom w:val="nil"/>
              <w:right w:val="nil"/>
            </w:tcBorders>
            <w:tcMar>
              <w:top w:w="30" w:type="dxa"/>
              <w:left w:w="30" w:type="dxa"/>
              <w:bottom w:w="30" w:type="dxa"/>
              <w:right w:w="120" w:type="dxa"/>
            </w:tcMar>
            <w:vAlign w:val="center"/>
            <w:hideMark/>
          </w:tcPr>
          <w:p w14:paraId="08BF92C2"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386DC5D6"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0.576</w:t>
            </w:r>
          </w:p>
        </w:tc>
        <w:tc>
          <w:tcPr>
            <w:tcW w:w="0" w:type="auto"/>
            <w:tcBorders>
              <w:top w:val="nil"/>
              <w:left w:val="nil"/>
              <w:bottom w:val="nil"/>
              <w:right w:val="nil"/>
            </w:tcBorders>
            <w:tcMar>
              <w:top w:w="30" w:type="dxa"/>
              <w:left w:w="30" w:type="dxa"/>
              <w:bottom w:w="30" w:type="dxa"/>
              <w:right w:w="120" w:type="dxa"/>
            </w:tcMar>
            <w:vAlign w:val="center"/>
            <w:hideMark/>
          </w:tcPr>
          <w:p w14:paraId="664B86C5"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7A7E2036"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0.035</w:t>
            </w:r>
          </w:p>
        </w:tc>
        <w:tc>
          <w:tcPr>
            <w:tcW w:w="0" w:type="auto"/>
            <w:tcBorders>
              <w:top w:val="nil"/>
              <w:left w:val="nil"/>
              <w:bottom w:val="nil"/>
              <w:right w:val="nil"/>
            </w:tcBorders>
            <w:tcMar>
              <w:top w:w="30" w:type="dxa"/>
              <w:left w:w="30" w:type="dxa"/>
              <w:bottom w:w="30" w:type="dxa"/>
              <w:right w:w="120" w:type="dxa"/>
            </w:tcMar>
            <w:vAlign w:val="center"/>
            <w:hideMark/>
          </w:tcPr>
          <w:p w14:paraId="53A69FFE"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3A54AE2A"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w:t>
            </w:r>
          </w:p>
        </w:tc>
        <w:tc>
          <w:tcPr>
            <w:tcW w:w="0" w:type="auto"/>
            <w:tcBorders>
              <w:top w:val="nil"/>
              <w:left w:val="nil"/>
              <w:bottom w:val="nil"/>
              <w:right w:val="nil"/>
            </w:tcBorders>
            <w:tcMar>
              <w:top w:w="30" w:type="dxa"/>
              <w:left w:w="30" w:type="dxa"/>
              <w:bottom w:w="30" w:type="dxa"/>
              <w:right w:w="120" w:type="dxa"/>
            </w:tcMar>
            <w:vAlign w:val="center"/>
            <w:hideMark/>
          </w:tcPr>
          <w:p w14:paraId="5DAA4165"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679BAC1C"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5A26A801"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1808158B"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092F2D8C"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r>
      <w:tr w:rsidR="00E35FE8" w:rsidRPr="00E35FE8" w14:paraId="1C42966E" w14:textId="77777777" w:rsidTr="00E35FE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2A9C8B6"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1685ACFC"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214A023C"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roofErr w:type="spellStart"/>
            <w:r w:rsidRPr="00E35FE8">
              <w:rPr>
                <w:rFonts w:eastAsia="等线"/>
                <w:color w:val="333333"/>
                <w:kern w:val="2"/>
                <w:sz w:val="18"/>
                <w:szCs w:val="18"/>
                <w:lang w:eastAsia="zh-CN"/>
                <w14:ligatures w14:val="standardContextual"/>
              </w:rPr>
              <w:t>df</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F44849A"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729FC263"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6</w:t>
            </w:r>
          </w:p>
        </w:tc>
        <w:tc>
          <w:tcPr>
            <w:tcW w:w="0" w:type="auto"/>
            <w:tcBorders>
              <w:top w:val="nil"/>
              <w:left w:val="nil"/>
              <w:bottom w:val="nil"/>
              <w:right w:val="nil"/>
            </w:tcBorders>
            <w:tcMar>
              <w:top w:w="30" w:type="dxa"/>
              <w:left w:w="30" w:type="dxa"/>
              <w:bottom w:w="30" w:type="dxa"/>
              <w:right w:w="120" w:type="dxa"/>
            </w:tcMar>
            <w:vAlign w:val="center"/>
            <w:hideMark/>
          </w:tcPr>
          <w:p w14:paraId="75F143E0"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43C5E894"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6</w:t>
            </w:r>
          </w:p>
        </w:tc>
        <w:tc>
          <w:tcPr>
            <w:tcW w:w="0" w:type="auto"/>
            <w:tcBorders>
              <w:top w:val="nil"/>
              <w:left w:val="nil"/>
              <w:bottom w:val="nil"/>
              <w:right w:val="nil"/>
            </w:tcBorders>
            <w:tcMar>
              <w:top w:w="30" w:type="dxa"/>
              <w:left w:w="30" w:type="dxa"/>
              <w:bottom w:w="30" w:type="dxa"/>
              <w:right w:w="120" w:type="dxa"/>
            </w:tcMar>
            <w:vAlign w:val="center"/>
            <w:hideMark/>
          </w:tcPr>
          <w:p w14:paraId="1A784784"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135C4CF3"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w:t>
            </w:r>
          </w:p>
        </w:tc>
        <w:tc>
          <w:tcPr>
            <w:tcW w:w="0" w:type="auto"/>
            <w:tcBorders>
              <w:top w:val="nil"/>
              <w:left w:val="nil"/>
              <w:bottom w:val="nil"/>
              <w:right w:val="nil"/>
            </w:tcBorders>
            <w:tcMar>
              <w:top w:w="30" w:type="dxa"/>
              <w:left w:w="30" w:type="dxa"/>
              <w:bottom w:w="30" w:type="dxa"/>
              <w:right w:w="120" w:type="dxa"/>
            </w:tcMar>
            <w:vAlign w:val="center"/>
            <w:hideMark/>
          </w:tcPr>
          <w:p w14:paraId="5700D061"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55470BBA"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2199CD64"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2469419B"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7506ADB3"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r>
      <w:tr w:rsidR="00E35FE8" w:rsidRPr="00E35FE8" w14:paraId="501934E4" w14:textId="77777777" w:rsidTr="00E35FE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191AABD"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0C4FF805"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72EA85BF"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p</w:t>
            </w:r>
          </w:p>
        </w:tc>
        <w:tc>
          <w:tcPr>
            <w:tcW w:w="0" w:type="auto"/>
            <w:tcBorders>
              <w:top w:val="nil"/>
              <w:left w:val="nil"/>
              <w:bottom w:val="nil"/>
              <w:right w:val="nil"/>
            </w:tcBorders>
            <w:tcMar>
              <w:top w:w="30" w:type="dxa"/>
              <w:left w:w="30" w:type="dxa"/>
              <w:bottom w:w="30" w:type="dxa"/>
              <w:right w:w="120" w:type="dxa"/>
            </w:tcMar>
            <w:vAlign w:val="center"/>
            <w:hideMark/>
          </w:tcPr>
          <w:p w14:paraId="2A19D77D"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3C6CADDA"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0.135</w:t>
            </w:r>
          </w:p>
        </w:tc>
        <w:tc>
          <w:tcPr>
            <w:tcW w:w="0" w:type="auto"/>
            <w:tcBorders>
              <w:top w:val="nil"/>
              <w:left w:val="nil"/>
              <w:bottom w:val="nil"/>
              <w:right w:val="nil"/>
            </w:tcBorders>
            <w:tcMar>
              <w:top w:w="30" w:type="dxa"/>
              <w:left w:w="30" w:type="dxa"/>
              <w:bottom w:w="30" w:type="dxa"/>
              <w:right w:w="120" w:type="dxa"/>
            </w:tcMar>
            <w:vAlign w:val="center"/>
            <w:hideMark/>
          </w:tcPr>
          <w:p w14:paraId="30565D10"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7C3CF29F"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0.934</w:t>
            </w:r>
          </w:p>
        </w:tc>
        <w:tc>
          <w:tcPr>
            <w:tcW w:w="0" w:type="auto"/>
            <w:tcBorders>
              <w:top w:val="nil"/>
              <w:left w:val="nil"/>
              <w:bottom w:val="nil"/>
              <w:right w:val="nil"/>
            </w:tcBorders>
            <w:tcMar>
              <w:top w:w="30" w:type="dxa"/>
              <w:left w:w="30" w:type="dxa"/>
              <w:bottom w:w="30" w:type="dxa"/>
              <w:right w:w="120" w:type="dxa"/>
            </w:tcMar>
            <w:vAlign w:val="center"/>
            <w:hideMark/>
          </w:tcPr>
          <w:p w14:paraId="4934A65D"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03DF0725"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w:t>
            </w:r>
          </w:p>
        </w:tc>
        <w:tc>
          <w:tcPr>
            <w:tcW w:w="0" w:type="auto"/>
            <w:tcBorders>
              <w:top w:val="nil"/>
              <w:left w:val="nil"/>
              <w:bottom w:val="nil"/>
              <w:right w:val="nil"/>
            </w:tcBorders>
            <w:tcMar>
              <w:top w:w="30" w:type="dxa"/>
              <w:left w:w="30" w:type="dxa"/>
              <w:bottom w:w="30" w:type="dxa"/>
              <w:right w:w="120" w:type="dxa"/>
            </w:tcMar>
            <w:vAlign w:val="center"/>
            <w:hideMark/>
          </w:tcPr>
          <w:p w14:paraId="1E21C340"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104C398E"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5748C51E"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1DBEE325"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3F1CD4B7"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r>
      <w:tr w:rsidR="00E35FE8" w:rsidRPr="00E35FE8" w14:paraId="252BCB84" w14:textId="77777777" w:rsidTr="00E35FE8">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720EE272" w14:textId="77777777" w:rsidR="00E35FE8" w:rsidRPr="00E35FE8" w:rsidRDefault="00E35FE8" w:rsidP="00E35FE8">
            <w:pPr>
              <w:spacing w:before="100" w:beforeAutospacing="1" w:after="100" w:afterAutospacing="1" w:line="300" w:lineRule="auto"/>
              <w:rPr>
                <w:rFonts w:eastAsia="等线"/>
                <w:b/>
                <w:bCs/>
                <w:color w:val="333333"/>
                <w:kern w:val="2"/>
                <w:sz w:val="18"/>
                <w:szCs w:val="18"/>
                <w:lang w:eastAsia="zh-CN"/>
                <w14:ligatures w14:val="standardContextual"/>
              </w:rPr>
            </w:pPr>
            <w:r w:rsidRPr="00E35FE8">
              <w:rPr>
                <w:rFonts w:eastAsia="等线"/>
                <w:b/>
                <w:bCs/>
                <w:color w:val="333333"/>
                <w:kern w:val="2"/>
                <w:sz w:val="18"/>
                <w:szCs w:val="18"/>
                <w:lang w:eastAsia="zh-CN"/>
                <w14:ligatures w14:val="standardContextual"/>
              </w:rPr>
              <w:t>DT(s)</w:t>
            </w:r>
          </w:p>
        </w:tc>
        <w:tc>
          <w:tcPr>
            <w:tcW w:w="0" w:type="auto"/>
            <w:tcBorders>
              <w:top w:val="nil"/>
              <w:left w:val="nil"/>
              <w:bottom w:val="nil"/>
              <w:right w:val="nil"/>
            </w:tcBorders>
            <w:tcMar>
              <w:top w:w="30" w:type="dxa"/>
              <w:left w:w="30" w:type="dxa"/>
              <w:bottom w:w="30" w:type="dxa"/>
              <w:right w:w="120" w:type="dxa"/>
            </w:tcMar>
            <w:vAlign w:val="center"/>
            <w:hideMark/>
          </w:tcPr>
          <w:p w14:paraId="40122487"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1310254A"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Pearson's r</w:t>
            </w:r>
          </w:p>
        </w:tc>
        <w:tc>
          <w:tcPr>
            <w:tcW w:w="0" w:type="auto"/>
            <w:tcBorders>
              <w:top w:val="nil"/>
              <w:left w:val="nil"/>
              <w:bottom w:val="nil"/>
              <w:right w:val="nil"/>
            </w:tcBorders>
            <w:tcMar>
              <w:top w:w="30" w:type="dxa"/>
              <w:left w:w="30" w:type="dxa"/>
              <w:bottom w:w="30" w:type="dxa"/>
              <w:right w:w="120" w:type="dxa"/>
            </w:tcMar>
            <w:vAlign w:val="center"/>
            <w:hideMark/>
          </w:tcPr>
          <w:p w14:paraId="6D733DFB"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791DA590"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-0.633</w:t>
            </w:r>
          </w:p>
        </w:tc>
        <w:tc>
          <w:tcPr>
            <w:tcW w:w="0" w:type="auto"/>
            <w:tcBorders>
              <w:top w:val="nil"/>
              <w:left w:val="nil"/>
              <w:bottom w:val="nil"/>
              <w:right w:val="nil"/>
            </w:tcBorders>
            <w:tcMar>
              <w:top w:w="30" w:type="dxa"/>
              <w:left w:w="30" w:type="dxa"/>
              <w:bottom w:w="30" w:type="dxa"/>
              <w:right w:w="120" w:type="dxa"/>
            </w:tcMar>
            <w:vAlign w:val="center"/>
            <w:hideMark/>
          </w:tcPr>
          <w:p w14:paraId="01658E5C"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30131B71"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-0.113</w:t>
            </w:r>
          </w:p>
        </w:tc>
        <w:tc>
          <w:tcPr>
            <w:tcW w:w="0" w:type="auto"/>
            <w:tcBorders>
              <w:top w:val="nil"/>
              <w:left w:val="nil"/>
              <w:bottom w:val="nil"/>
              <w:right w:val="nil"/>
            </w:tcBorders>
            <w:tcMar>
              <w:top w:w="30" w:type="dxa"/>
              <w:left w:w="30" w:type="dxa"/>
              <w:bottom w:w="30" w:type="dxa"/>
              <w:right w:w="120" w:type="dxa"/>
            </w:tcMar>
            <w:vAlign w:val="center"/>
            <w:hideMark/>
          </w:tcPr>
          <w:p w14:paraId="6810847C"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5CB7647F"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-0.729</w:t>
            </w:r>
          </w:p>
        </w:tc>
        <w:tc>
          <w:tcPr>
            <w:tcW w:w="0" w:type="auto"/>
            <w:tcBorders>
              <w:top w:val="nil"/>
              <w:left w:val="nil"/>
              <w:bottom w:val="nil"/>
              <w:right w:val="nil"/>
            </w:tcBorders>
            <w:tcMar>
              <w:top w:w="30" w:type="dxa"/>
              <w:left w:w="30" w:type="dxa"/>
              <w:bottom w:w="30" w:type="dxa"/>
              <w:right w:w="120" w:type="dxa"/>
            </w:tcMar>
            <w:vAlign w:val="center"/>
            <w:hideMark/>
          </w:tcPr>
          <w:p w14:paraId="02973D66"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7F1B1CAF"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w:t>
            </w:r>
          </w:p>
        </w:tc>
        <w:tc>
          <w:tcPr>
            <w:tcW w:w="0" w:type="auto"/>
            <w:tcBorders>
              <w:top w:val="nil"/>
              <w:left w:val="nil"/>
              <w:bottom w:val="nil"/>
              <w:right w:val="nil"/>
            </w:tcBorders>
            <w:tcMar>
              <w:top w:w="30" w:type="dxa"/>
              <w:left w:w="30" w:type="dxa"/>
              <w:bottom w:w="30" w:type="dxa"/>
              <w:right w:w="120" w:type="dxa"/>
            </w:tcMar>
            <w:vAlign w:val="center"/>
            <w:hideMark/>
          </w:tcPr>
          <w:p w14:paraId="4E287357"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00DDB4A4"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5467977F"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r>
      <w:tr w:rsidR="00E35FE8" w:rsidRPr="00E35FE8" w14:paraId="29DA159D" w14:textId="77777777" w:rsidTr="00E35FE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C2B46DF"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434A8A2A"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1DA34D18"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roofErr w:type="spellStart"/>
            <w:r w:rsidRPr="00E35FE8">
              <w:rPr>
                <w:rFonts w:eastAsia="等线"/>
                <w:color w:val="333333"/>
                <w:kern w:val="2"/>
                <w:sz w:val="18"/>
                <w:szCs w:val="18"/>
                <w:lang w:eastAsia="zh-CN"/>
                <w14:ligatures w14:val="standardContextual"/>
              </w:rPr>
              <w:t>df</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CD15169"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252CEBC2"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6</w:t>
            </w:r>
          </w:p>
        </w:tc>
        <w:tc>
          <w:tcPr>
            <w:tcW w:w="0" w:type="auto"/>
            <w:tcBorders>
              <w:top w:val="nil"/>
              <w:left w:val="nil"/>
              <w:bottom w:val="nil"/>
              <w:right w:val="nil"/>
            </w:tcBorders>
            <w:tcMar>
              <w:top w:w="30" w:type="dxa"/>
              <w:left w:w="30" w:type="dxa"/>
              <w:bottom w:w="30" w:type="dxa"/>
              <w:right w:w="120" w:type="dxa"/>
            </w:tcMar>
            <w:vAlign w:val="center"/>
            <w:hideMark/>
          </w:tcPr>
          <w:p w14:paraId="475D374F"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5E1FB6A0"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6</w:t>
            </w:r>
          </w:p>
        </w:tc>
        <w:tc>
          <w:tcPr>
            <w:tcW w:w="0" w:type="auto"/>
            <w:tcBorders>
              <w:top w:val="nil"/>
              <w:left w:val="nil"/>
              <w:bottom w:val="nil"/>
              <w:right w:val="nil"/>
            </w:tcBorders>
            <w:tcMar>
              <w:top w:w="30" w:type="dxa"/>
              <w:left w:w="30" w:type="dxa"/>
              <w:bottom w:w="30" w:type="dxa"/>
              <w:right w:w="120" w:type="dxa"/>
            </w:tcMar>
            <w:vAlign w:val="center"/>
            <w:hideMark/>
          </w:tcPr>
          <w:p w14:paraId="01AE0BAB"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0D02560C"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6</w:t>
            </w:r>
          </w:p>
        </w:tc>
        <w:tc>
          <w:tcPr>
            <w:tcW w:w="0" w:type="auto"/>
            <w:tcBorders>
              <w:top w:val="nil"/>
              <w:left w:val="nil"/>
              <w:bottom w:val="nil"/>
              <w:right w:val="nil"/>
            </w:tcBorders>
            <w:tcMar>
              <w:top w:w="30" w:type="dxa"/>
              <w:left w:w="30" w:type="dxa"/>
              <w:bottom w:w="30" w:type="dxa"/>
              <w:right w:w="120" w:type="dxa"/>
            </w:tcMar>
            <w:vAlign w:val="center"/>
            <w:hideMark/>
          </w:tcPr>
          <w:p w14:paraId="2DABC34F"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317079F8"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w:t>
            </w:r>
          </w:p>
        </w:tc>
        <w:tc>
          <w:tcPr>
            <w:tcW w:w="0" w:type="auto"/>
            <w:tcBorders>
              <w:top w:val="nil"/>
              <w:left w:val="nil"/>
              <w:bottom w:val="nil"/>
              <w:right w:val="nil"/>
            </w:tcBorders>
            <w:tcMar>
              <w:top w:w="30" w:type="dxa"/>
              <w:left w:w="30" w:type="dxa"/>
              <w:bottom w:w="30" w:type="dxa"/>
              <w:right w:w="120" w:type="dxa"/>
            </w:tcMar>
            <w:vAlign w:val="center"/>
            <w:hideMark/>
          </w:tcPr>
          <w:p w14:paraId="4303E63D"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07A48AC4"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4E6C3FD8"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r>
      <w:tr w:rsidR="00E35FE8" w:rsidRPr="00E35FE8" w14:paraId="59BECDB7" w14:textId="77777777" w:rsidTr="00E35FE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E7C0134"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6646E135"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483AACBC"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p</w:t>
            </w:r>
            <w:r w:rsidRPr="00E35FE8">
              <w:rPr>
                <w:rFonts w:eastAsia="等线"/>
                <w:color w:val="333333"/>
                <w:kern w:val="2"/>
                <w:sz w:val="18"/>
                <w:szCs w:val="18"/>
                <w:lang w:eastAsia="zh-CN"/>
                <w14:ligatures w14:val="standardContextual"/>
              </w:rPr>
              <w:t>值</w:t>
            </w:r>
            <w:r w:rsidRPr="00E35FE8">
              <w:rPr>
                <w:rFonts w:eastAsia="等线"/>
                <w:color w:val="333333"/>
                <w:kern w:val="2"/>
                <w:sz w:val="18"/>
                <w:szCs w:val="18"/>
                <w:lang w:eastAsia="zh-CN"/>
                <w14:ligatures w14:val="standardContextual"/>
              </w:rPr>
              <w:t>\</w:t>
            </w:r>
          </w:p>
        </w:tc>
        <w:tc>
          <w:tcPr>
            <w:tcW w:w="0" w:type="auto"/>
            <w:tcBorders>
              <w:top w:val="nil"/>
              <w:left w:val="nil"/>
              <w:bottom w:val="nil"/>
              <w:right w:val="nil"/>
            </w:tcBorders>
            <w:tcMar>
              <w:top w:w="30" w:type="dxa"/>
              <w:left w:w="30" w:type="dxa"/>
              <w:bottom w:w="30" w:type="dxa"/>
              <w:right w:w="120" w:type="dxa"/>
            </w:tcMar>
            <w:vAlign w:val="center"/>
            <w:hideMark/>
          </w:tcPr>
          <w:p w14:paraId="0E017327"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68AB6440"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0.092</w:t>
            </w:r>
          </w:p>
        </w:tc>
        <w:tc>
          <w:tcPr>
            <w:tcW w:w="0" w:type="auto"/>
            <w:tcBorders>
              <w:top w:val="nil"/>
              <w:left w:val="nil"/>
              <w:bottom w:val="nil"/>
              <w:right w:val="nil"/>
            </w:tcBorders>
            <w:tcMar>
              <w:top w:w="30" w:type="dxa"/>
              <w:left w:w="30" w:type="dxa"/>
              <w:bottom w:w="30" w:type="dxa"/>
              <w:right w:w="120" w:type="dxa"/>
            </w:tcMar>
            <w:vAlign w:val="center"/>
            <w:hideMark/>
          </w:tcPr>
          <w:p w14:paraId="1231D73A"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1D1A75BC"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0.790</w:t>
            </w:r>
          </w:p>
        </w:tc>
        <w:tc>
          <w:tcPr>
            <w:tcW w:w="0" w:type="auto"/>
            <w:tcBorders>
              <w:top w:val="nil"/>
              <w:left w:val="nil"/>
              <w:bottom w:val="nil"/>
              <w:right w:val="nil"/>
            </w:tcBorders>
            <w:tcMar>
              <w:top w:w="30" w:type="dxa"/>
              <w:left w:w="30" w:type="dxa"/>
              <w:bottom w:w="30" w:type="dxa"/>
              <w:right w:w="120" w:type="dxa"/>
            </w:tcMar>
            <w:vAlign w:val="center"/>
            <w:hideMark/>
          </w:tcPr>
          <w:p w14:paraId="1B23607A"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3738DE1F"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0.040*</w:t>
            </w:r>
          </w:p>
        </w:tc>
        <w:tc>
          <w:tcPr>
            <w:tcW w:w="0" w:type="auto"/>
            <w:tcBorders>
              <w:top w:val="nil"/>
              <w:left w:val="nil"/>
              <w:bottom w:val="nil"/>
              <w:right w:val="nil"/>
            </w:tcBorders>
            <w:tcMar>
              <w:top w:w="30" w:type="dxa"/>
              <w:left w:w="30" w:type="dxa"/>
              <w:bottom w:w="30" w:type="dxa"/>
              <w:right w:w="120" w:type="dxa"/>
            </w:tcMar>
            <w:vAlign w:val="center"/>
            <w:hideMark/>
          </w:tcPr>
          <w:p w14:paraId="1BAE0EC6"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7F798EA7"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w:t>
            </w:r>
          </w:p>
        </w:tc>
        <w:tc>
          <w:tcPr>
            <w:tcW w:w="0" w:type="auto"/>
            <w:tcBorders>
              <w:top w:val="nil"/>
              <w:left w:val="nil"/>
              <w:bottom w:val="nil"/>
              <w:right w:val="nil"/>
            </w:tcBorders>
            <w:tcMar>
              <w:top w:w="30" w:type="dxa"/>
              <w:left w:w="30" w:type="dxa"/>
              <w:bottom w:w="30" w:type="dxa"/>
              <w:right w:w="120" w:type="dxa"/>
            </w:tcMar>
            <w:vAlign w:val="center"/>
            <w:hideMark/>
          </w:tcPr>
          <w:p w14:paraId="75629CDE"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6328E8C2"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nil"/>
              <w:right w:val="nil"/>
            </w:tcBorders>
            <w:tcMar>
              <w:top w:w="30" w:type="dxa"/>
              <w:left w:w="30" w:type="dxa"/>
              <w:bottom w:w="30" w:type="dxa"/>
              <w:right w:w="120" w:type="dxa"/>
            </w:tcMar>
            <w:vAlign w:val="center"/>
            <w:hideMark/>
          </w:tcPr>
          <w:p w14:paraId="33763AE9"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r>
      <w:tr w:rsidR="00E35FE8" w:rsidRPr="00E35FE8" w14:paraId="56BA4A3C" w14:textId="77777777" w:rsidTr="00E35FE8">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07E6D3DB" w14:textId="77777777" w:rsidR="00E35FE8" w:rsidRPr="00E35FE8" w:rsidRDefault="00E35FE8" w:rsidP="00E35FE8">
            <w:pPr>
              <w:spacing w:before="100" w:beforeAutospacing="1" w:after="100" w:afterAutospacing="1" w:line="300" w:lineRule="auto"/>
              <w:rPr>
                <w:rFonts w:eastAsia="等线"/>
                <w:b/>
                <w:bCs/>
                <w:color w:val="333333"/>
                <w:kern w:val="2"/>
                <w:sz w:val="18"/>
                <w:szCs w:val="18"/>
                <w:lang w:eastAsia="zh-CN"/>
                <w14:ligatures w14:val="standardContextual"/>
              </w:rPr>
            </w:pPr>
            <w:r w:rsidRPr="00E35FE8">
              <w:rPr>
                <w:rFonts w:eastAsia="等线"/>
                <w:b/>
                <w:bCs/>
                <w:color w:val="333333"/>
                <w:kern w:val="2"/>
                <w:sz w:val="18"/>
                <w:szCs w:val="18"/>
                <w:lang w:eastAsia="zh-CN"/>
                <w14:ligatures w14:val="standardContextual"/>
              </w:rPr>
              <w:t>PSQI (total)</w:t>
            </w:r>
          </w:p>
        </w:tc>
        <w:tc>
          <w:tcPr>
            <w:tcW w:w="0" w:type="auto"/>
            <w:tcBorders>
              <w:top w:val="nil"/>
              <w:left w:val="nil"/>
              <w:bottom w:val="nil"/>
              <w:right w:val="nil"/>
            </w:tcBorders>
            <w:tcMar>
              <w:top w:w="30" w:type="dxa"/>
              <w:left w:w="30" w:type="dxa"/>
              <w:bottom w:w="30" w:type="dxa"/>
              <w:right w:w="120" w:type="dxa"/>
            </w:tcMar>
            <w:vAlign w:val="center"/>
            <w:hideMark/>
          </w:tcPr>
          <w:p w14:paraId="3D5A1B07"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44CBA44C"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Pearson's r</w:t>
            </w:r>
          </w:p>
        </w:tc>
        <w:tc>
          <w:tcPr>
            <w:tcW w:w="0" w:type="auto"/>
            <w:tcBorders>
              <w:top w:val="nil"/>
              <w:left w:val="nil"/>
              <w:bottom w:val="nil"/>
              <w:right w:val="nil"/>
            </w:tcBorders>
            <w:tcMar>
              <w:top w:w="30" w:type="dxa"/>
              <w:left w:w="30" w:type="dxa"/>
              <w:bottom w:w="30" w:type="dxa"/>
              <w:right w:w="120" w:type="dxa"/>
            </w:tcMar>
            <w:vAlign w:val="center"/>
            <w:hideMark/>
          </w:tcPr>
          <w:p w14:paraId="536ADFC2"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461701BF"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-0.140</w:t>
            </w:r>
          </w:p>
        </w:tc>
        <w:tc>
          <w:tcPr>
            <w:tcW w:w="0" w:type="auto"/>
            <w:tcBorders>
              <w:top w:val="nil"/>
              <w:left w:val="nil"/>
              <w:bottom w:val="nil"/>
              <w:right w:val="nil"/>
            </w:tcBorders>
            <w:tcMar>
              <w:top w:w="30" w:type="dxa"/>
              <w:left w:w="30" w:type="dxa"/>
              <w:bottom w:w="30" w:type="dxa"/>
              <w:right w:w="120" w:type="dxa"/>
            </w:tcMar>
            <w:vAlign w:val="center"/>
            <w:hideMark/>
          </w:tcPr>
          <w:p w14:paraId="7BAAE848"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669E0193"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-0.007</w:t>
            </w:r>
          </w:p>
        </w:tc>
        <w:tc>
          <w:tcPr>
            <w:tcW w:w="0" w:type="auto"/>
            <w:tcBorders>
              <w:top w:val="nil"/>
              <w:left w:val="nil"/>
              <w:bottom w:val="nil"/>
              <w:right w:val="nil"/>
            </w:tcBorders>
            <w:tcMar>
              <w:top w:w="30" w:type="dxa"/>
              <w:left w:w="30" w:type="dxa"/>
              <w:bottom w:w="30" w:type="dxa"/>
              <w:right w:w="120" w:type="dxa"/>
            </w:tcMar>
            <w:vAlign w:val="center"/>
            <w:hideMark/>
          </w:tcPr>
          <w:p w14:paraId="56AF4223"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1C891B79"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0.013</w:t>
            </w:r>
          </w:p>
        </w:tc>
        <w:tc>
          <w:tcPr>
            <w:tcW w:w="0" w:type="auto"/>
            <w:tcBorders>
              <w:top w:val="nil"/>
              <w:left w:val="nil"/>
              <w:bottom w:val="nil"/>
              <w:right w:val="nil"/>
            </w:tcBorders>
            <w:tcMar>
              <w:top w:w="30" w:type="dxa"/>
              <w:left w:w="30" w:type="dxa"/>
              <w:bottom w:w="30" w:type="dxa"/>
              <w:right w:w="120" w:type="dxa"/>
            </w:tcMar>
            <w:vAlign w:val="center"/>
            <w:hideMark/>
          </w:tcPr>
          <w:p w14:paraId="52EFB3DE"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50D42D5B"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0.270</w:t>
            </w:r>
          </w:p>
        </w:tc>
        <w:tc>
          <w:tcPr>
            <w:tcW w:w="0" w:type="auto"/>
            <w:tcBorders>
              <w:top w:val="nil"/>
              <w:left w:val="nil"/>
              <w:bottom w:val="nil"/>
              <w:right w:val="nil"/>
            </w:tcBorders>
            <w:tcMar>
              <w:top w:w="30" w:type="dxa"/>
              <w:left w:w="30" w:type="dxa"/>
              <w:bottom w:w="30" w:type="dxa"/>
              <w:right w:w="120" w:type="dxa"/>
            </w:tcMar>
            <w:vAlign w:val="center"/>
            <w:hideMark/>
          </w:tcPr>
          <w:p w14:paraId="76DCD080"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120" w:type="dxa"/>
              <w:left w:w="120" w:type="dxa"/>
              <w:bottom w:w="30" w:type="dxa"/>
              <w:right w:w="0" w:type="dxa"/>
            </w:tcMar>
            <w:vAlign w:val="center"/>
            <w:hideMark/>
          </w:tcPr>
          <w:p w14:paraId="1037B38B"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w:t>
            </w:r>
          </w:p>
        </w:tc>
        <w:tc>
          <w:tcPr>
            <w:tcW w:w="0" w:type="auto"/>
            <w:tcBorders>
              <w:top w:val="nil"/>
              <w:left w:val="nil"/>
              <w:bottom w:val="nil"/>
              <w:right w:val="nil"/>
            </w:tcBorders>
            <w:tcMar>
              <w:top w:w="30" w:type="dxa"/>
              <w:left w:w="30" w:type="dxa"/>
              <w:bottom w:w="30" w:type="dxa"/>
              <w:right w:w="120" w:type="dxa"/>
            </w:tcMar>
            <w:vAlign w:val="center"/>
            <w:hideMark/>
          </w:tcPr>
          <w:p w14:paraId="43EF847B"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r>
      <w:tr w:rsidR="00E35FE8" w:rsidRPr="00E35FE8" w14:paraId="26EE0A93" w14:textId="77777777" w:rsidTr="00E35FE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3BEBAAF"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lastRenderedPageBreak/>
              <w:t> </w:t>
            </w:r>
          </w:p>
        </w:tc>
        <w:tc>
          <w:tcPr>
            <w:tcW w:w="0" w:type="auto"/>
            <w:tcBorders>
              <w:top w:val="nil"/>
              <w:left w:val="nil"/>
              <w:bottom w:val="nil"/>
              <w:right w:val="nil"/>
            </w:tcBorders>
            <w:tcMar>
              <w:top w:w="30" w:type="dxa"/>
              <w:left w:w="30" w:type="dxa"/>
              <w:bottom w:w="30" w:type="dxa"/>
              <w:right w:w="120" w:type="dxa"/>
            </w:tcMar>
            <w:vAlign w:val="center"/>
            <w:hideMark/>
          </w:tcPr>
          <w:p w14:paraId="070CB214"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0D186F54"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roofErr w:type="spellStart"/>
            <w:r w:rsidRPr="00E35FE8">
              <w:rPr>
                <w:rFonts w:eastAsia="等线"/>
                <w:color w:val="333333"/>
                <w:kern w:val="2"/>
                <w:sz w:val="18"/>
                <w:szCs w:val="18"/>
                <w:lang w:eastAsia="zh-CN"/>
                <w14:ligatures w14:val="standardContextual"/>
              </w:rPr>
              <w:t>df</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D73969E"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566638F0"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6</w:t>
            </w:r>
          </w:p>
        </w:tc>
        <w:tc>
          <w:tcPr>
            <w:tcW w:w="0" w:type="auto"/>
            <w:tcBorders>
              <w:top w:val="nil"/>
              <w:left w:val="nil"/>
              <w:bottom w:val="nil"/>
              <w:right w:val="nil"/>
            </w:tcBorders>
            <w:tcMar>
              <w:top w:w="30" w:type="dxa"/>
              <w:left w:w="30" w:type="dxa"/>
              <w:bottom w:w="30" w:type="dxa"/>
              <w:right w:w="120" w:type="dxa"/>
            </w:tcMar>
            <w:vAlign w:val="center"/>
            <w:hideMark/>
          </w:tcPr>
          <w:p w14:paraId="2AA32DAC"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511BFB32"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6</w:t>
            </w:r>
          </w:p>
        </w:tc>
        <w:tc>
          <w:tcPr>
            <w:tcW w:w="0" w:type="auto"/>
            <w:tcBorders>
              <w:top w:val="nil"/>
              <w:left w:val="nil"/>
              <w:bottom w:val="nil"/>
              <w:right w:val="nil"/>
            </w:tcBorders>
            <w:tcMar>
              <w:top w:w="30" w:type="dxa"/>
              <w:left w:w="30" w:type="dxa"/>
              <w:bottom w:w="30" w:type="dxa"/>
              <w:right w:w="120" w:type="dxa"/>
            </w:tcMar>
            <w:vAlign w:val="center"/>
            <w:hideMark/>
          </w:tcPr>
          <w:p w14:paraId="39809397"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14AAED50"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6</w:t>
            </w:r>
          </w:p>
        </w:tc>
        <w:tc>
          <w:tcPr>
            <w:tcW w:w="0" w:type="auto"/>
            <w:tcBorders>
              <w:top w:val="nil"/>
              <w:left w:val="nil"/>
              <w:bottom w:val="nil"/>
              <w:right w:val="nil"/>
            </w:tcBorders>
            <w:tcMar>
              <w:top w:w="30" w:type="dxa"/>
              <w:left w:w="30" w:type="dxa"/>
              <w:bottom w:w="30" w:type="dxa"/>
              <w:right w:w="120" w:type="dxa"/>
            </w:tcMar>
            <w:vAlign w:val="center"/>
            <w:hideMark/>
          </w:tcPr>
          <w:p w14:paraId="7C5EC749"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5B1048AF"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6</w:t>
            </w:r>
          </w:p>
        </w:tc>
        <w:tc>
          <w:tcPr>
            <w:tcW w:w="0" w:type="auto"/>
            <w:tcBorders>
              <w:top w:val="nil"/>
              <w:left w:val="nil"/>
              <w:bottom w:val="nil"/>
              <w:right w:val="nil"/>
            </w:tcBorders>
            <w:tcMar>
              <w:top w:w="30" w:type="dxa"/>
              <w:left w:w="30" w:type="dxa"/>
              <w:bottom w:w="30" w:type="dxa"/>
              <w:right w:w="120" w:type="dxa"/>
            </w:tcMar>
            <w:vAlign w:val="center"/>
            <w:hideMark/>
          </w:tcPr>
          <w:p w14:paraId="1AC14382"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nil"/>
              <w:right w:val="nil"/>
            </w:tcBorders>
            <w:tcMar>
              <w:top w:w="30" w:type="dxa"/>
              <w:left w:w="120" w:type="dxa"/>
              <w:bottom w:w="30" w:type="dxa"/>
              <w:right w:w="0" w:type="dxa"/>
            </w:tcMar>
            <w:vAlign w:val="center"/>
            <w:hideMark/>
          </w:tcPr>
          <w:p w14:paraId="03479537"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w:t>
            </w:r>
          </w:p>
        </w:tc>
        <w:tc>
          <w:tcPr>
            <w:tcW w:w="0" w:type="auto"/>
            <w:tcBorders>
              <w:top w:val="nil"/>
              <w:left w:val="nil"/>
              <w:bottom w:val="nil"/>
              <w:right w:val="nil"/>
            </w:tcBorders>
            <w:tcMar>
              <w:top w:w="30" w:type="dxa"/>
              <w:left w:w="30" w:type="dxa"/>
              <w:bottom w:w="30" w:type="dxa"/>
              <w:right w:w="120" w:type="dxa"/>
            </w:tcMar>
            <w:vAlign w:val="center"/>
            <w:hideMark/>
          </w:tcPr>
          <w:p w14:paraId="6C34214A"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r>
      <w:tr w:rsidR="00E35FE8" w:rsidRPr="00E35FE8" w14:paraId="4A9CF892" w14:textId="77777777" w:rsidTr="00E35FE8">
        <w:trPr>
          <w:cantSplit/>
          <w:trHeight w:val="282"/>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518692B"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4876033"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8826C9B"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p</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E8D353F" w14:textId="77777777" w:rsidR="00E35FE8" w:rsidRPr="00E35FE8" w:rsidRDefault="00E35FE8" w:rsidP="00E35FE8">
            <w:pPr>
              <w:spacing w:before="100" w:beforeAutospacing="1" w:after="100" w:afterAutospacing="1" w:line="300" w:lineRule="auto"/>
              <w:rPr>
                <w:rFonts w:eastAsia="等线"/>
                <w:color w:val="333333"/>
                <w:kern w:val="2"/>
                <w:sz w:val="18"/>
                <w:szCs w:val="18"/>
                <w:lang w:eastAsia="zh-CN"/>
                <w14:ligatures w14:val="standardContextual"/>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A40A1E8"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0.740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C900A09"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CDDE36B"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0.986</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76A6C4C"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8C94CCA"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0.975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D93CF88"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A8D4854"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0.519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91CBA00"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E1852A9"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r w:rsidRPr="00E35FE8">
              <w:rPr>
                <w:rFonts w:eastAsia="等线"/>
                <w:color w:val="333333"/>
                <w:kern w:val="2"/>
                <w:sz w:val="18"/>
                <w:szCs w:val="18"/>
                <w:lang w:eastAsia="zh-CN"/>
                <w14:ligatures w14:val="standardContextual"/>
              </w:rPr>
              <w:t>—</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628143C" w14:textId="77777777" w:rsidR="00E35FE8" w:rsidRPr="00E35FE8" w:rsidRDefault="00E35FE8" w:rsidP="00E35FE8">
            <w:pPr>
              <w:spacing w:before="100" w:beforeAutospacing="1" w:after="100" w:afterAutospacing="1" w:line="300" w:lineRule="auto"/>
              <w:jc w:val="right"/>
              <w:rPr>
                <w:rFonts w:eastAsia="等线"/>
                <w:color w:val="333333"/>
                <w:kern w:val="2"/>
                <w:sz w:val="18"/>
                <w:szCs w:val="18"/>
                <w:lang w:eastAsia="zh-CN"/>
                <w14:ligatures w14:val="standardContextual"/>
              </w:rPr>
            </w:pPr>
          </w:p>
        </w:tc>
      </w:tr>
      <w:tr w:rsidR="00E35FE8" w:rsidRPr="00E35FE8" w14:paraId="1D7A0207" w14:textId="77777777" w:rsidTr="00E35FE8">
        <w:trPr>
          <w:cantSplit/>
          <w:tblCellSpacing w:w="15" w:type="dxa"/>
        </w:trPr>
        <w:tc>
          <w:tcPr>
            <w:tcW w:w="0" w:type="auto"/>
            <w:gridSpan w:val="14"/>
            <w:tcBorders>
              <w:top w:val="nil"/>
              <w:left w:val="nil"/>
              <w:bottom w:val="nil"/>
              <w:right w:val="nil"/>
            </w:tcBorders>
            <w:tcMar>
              <w:top w:w="90" w:type="dxa"/>
              <w:left w:w="120" w:type="dxa"/>
              <w:bottom w:w="30" w:type="dxa"/>
              <w:right w:w="120" w:type="dxa"/>
            </w:tcMar>
            <w:vAlign w:val="center"/>
            <w:hideMark/>
          </w:tcPr>
          <w:p w14:paraId="02F8CA6A" w14:textId="77777777" w:rsidR="00E35FE8" w:rsidRPr="00E35FE8" w:rsidRDefault="00E35FE8" w:rsidP="00E35FE8">
            <w:pPr>
              <w:spacing w:before="100" w:beforeAutospacing="1" w:after="100" w:afterAutospacing="1" w:line="300" w:lineRule="auto"/>
              <w:rPr>
                <w:rFonts w:eastAsia="Times New Roman"/>
                <w:kern w:val="2"/>
                <w:sz w:val="20"/>
                <w:szCs w:val="20"/>
                <w:lang w:eastAsia="zh-CN"/>
                <w14:ligatures w14:val="standardContextual"/>
              </w:rPr>
            </w:pPr>
          </w:p>
        </w:tc>
      </w:tr>
    </w:tbl>
    <w:p w14:paraId="308CD216" w14:textId="77777777" w:rsidR="00E35FE8" w:rsidRDefault="00E35FE8" w:rsidP="005D5506">
      <w:pPr>
        <w:contextualSpacing/>
        <w:rPr>
          <w:rFonts w:hint="eastAsia"/>
          <w:b/>
          <w:bCs/>
          <w:lang w:eastAsia="zh-CN"/>
        </w:rPr>
      </w:pPr>
    </w:p>
    <w:p w14:paraId="25646724" w14:textId="77777777" w:rsidR="005D5506" w:rsidRPr="0006289D" w:rsidRDefault="005D5506" w:rsidP="0006289D">
      <w:pPr>
        <w:pStyle w:val="3"/>
        <w:rPr>
          <w:sz w:val="28"/>
          <w:szCs w:val="28"/>
        </w:rPr>
      </w:pPr>
      <w:r w:rsidRPr="0006289D">
        <w:rPr>
          <w:sz w:val="28"/>
          <w:szCs w:val="28"/>
        </w:rPr>
        <w:t xml:space="preserve">Regression analysis </w:t>
      </w:r>
    </w:p>
    <w:p w14:paraId="17D59F0E" w14:textId="77777777" w:rsidR="00DA72E4" w:rsidRPr="00DA72E4" w:rsidRDefault="00DA72E4" w:rsidP="00DA72E4">
      <w:pPr>
        <w:contextualSpacing/>
      </w:pPr>
      <w:r w:rsidRPr="00DA72E4">
        <w:t>According to previous studies, Pittsburgh scale scores can be converted into continuous variables</w:t>
      </w:r>
      <w:r w:rsidRPr="00DA72E4">
        <w:rPr>
          <w:rFonts w:hint="eastAsia"/>
        </w:rPr>
        <w:t xml:space="preserve"> </w:t>
      </w:r>
      <w:r w:rsidRPr="00DA72E4">
        <w:t>(Liu et al, 2021), so we also calculated the correlation between the PSQI scores of the eight subjects and their performance in the CGT decision indicator. Th</w:t>
      </w:r>
      <w:r w:rsidRPr="00DA72E4">
        <w:rPr>
          <w:rFonts w:hint="eastAsia"/>
        </w:rPr>
        <w:t>e 5*5 correlations we all report through Tab.3 correlation matrix</w:t>
      </w:r>
      <w:r w:rsidRPr="00DA72E4">
        <w:rPr>
          <w:rFonts w:hint="eastAsia"/>
        </w:rPr>
        <w:t>。</w:t>
      </w:r>
    </w:p>
    <w:p w14:paraId="7943A0CB" w14:textId="77777777" w:rsidR="00DA72E4" w:rsidRPr="00DA72E4" w:rsidRDefault="00DA72E4" w:rsidP="00DA72E4">
      <w:pPr>
        <w:contextualSpacing/>
      </w:pPr>
      <w:r w:rsidRPr="00DA72E4">
        <w:rPr>
          <w:rFonts w:hint="eastAsia"/>
        </w:rPr>
        <w:t>The relationships within the four decision-making indicators are discussed first. As for the significant positive correlation between RT and RT-ratio</w:t>
      </w:r>
      <w:r w:rsidRPr="00DA72E4">
        <w:rPr>
          <w:rFonts w:hint="eastAsia"/>
        </w:rPr>
        <w:t>（</w:t>
      </w:r>
      <w:r w:rsidRPr="00DA72E4">
        <w:rPr>
          <w:rFonts w:hint="eastAsia"/>
        </w:rPr>
        <w:t>r=0.</w:t>
      </w:r>
      <w:r w:rsidRPr="00DA72E4">
        <w:t>731, p</w:t>
      </w:r>
      <w:r w:rsidRPr="00DA72E4">
        <w:rPr>
          <w:rFonts w:hint="eastAsia"/>
        </w:rPr>
        <w:t>&lt;0.05*</w:t>
      </w:r>
      <w:r w:rsidRPr="00DA72E4">
        <w:rPr>
          <w:rFonts w:hint="eastAsia"/>
        </w:rPr>
        <w:t>）</w:t>
      </w:r>
      <w:r w:rsidRPr="00DA72E4">
        <w:rPr>
          <w:rFonts w:hint="eastAsia"/>
        </w:rPr>
        <w:t>, it is reasonable because RT is the absolute value and RT-ratio is the value of the ratio to the principal when the subject bets. The other group is that DT shows a significant negative correlation with QDM</w:t>
      </w:r>
      <w:r w:rsidRPr="00DA72E4">
        <w:rPr>
          <w:rFonts w:hint="eastAsia"/>
        </w:rPr>
        <w:t>（</w:t>
      </w:r>
      <w:r w:rsidRPr="00DA72E4">
        <w:rPr>
          <w:rFonts w:hint="eastAsia"/>
        </w:rPr>
        <w:t>r=0.-</w:t>
      </w:r>
      <w:r w:rsidRPr="00DA72E4">
        <w:t>729, p</w:t>
      </w:r>
      <w:r w:rsidRPr="00DA72E4">
        <w:rPr>
          <w:rFonts w:hint="eastAsia"/>
        </w:rPr>
        <w:t>&lt;0.05*</w:t>
      </w:r>
      <w:r w:rsidRPr="00DA72E4">
        <w:rPr>
          <w:rFonts w:hint="eastAsia"/>
        </w:rPr>
        <w:t>）</w:t>
      </w:r>
      <w:r w:rsidRPr="00DA72E4">
        <w:rPr>
          <w:rFonts w:hint="eastAsia"/>
        </w:rPr>
        <w:t>, indicating that the longer the time, the lower the quality of the decision. Fig</w:t>
      </w:r>
      <w:r w:rsidR="00063E63">
        <w:t>3</w:t>
      </w:r>
      <w:r w:rsidRPr="00DA72E4">
        <w:rPr>
          <w:rFonts w:hint="eastAsia"/>
        </w:rPr>
        <w:t>.b Shows a scatter plot of the data for</w:t>
      </w:r>
      <w:r w:rsidRPr="00DA72E4">
        <w:t xml:space="preserve"> the 8 participant DT vs. QDM. While this is not consistent with the inference that the longer the decision time, the higher the quality of the decision, there may be other mediating effects, such as higher arousal and alertness</w:t>
      </w:r>
      <w:r w:rsidRPr="00DA72E4">
        <w:rPr>
          <w:rFonts w:hint="eastAsia"/>
        </w:rPr>
        <w:t xml:space="preserve"> </w:t>
      </w:r>
      <w:r w:rsidRPr="00DA72E4">
        <w:t>(Shahid et al, 2011).</w:t>
      </w:r>
    </w:p>
    <w:p w14:paraId="327C7B3E" w14:textId="77777777" w:rsidR="00DA72E4" w:rsidRPr="00DA72E4" w:rsidRDefault="00DA72E4" w:rsidP="00DA72E4">
      <w:pPr>
        <w:contextualSpacing/>
      </w:pPr>
      <w:r w:rsidRPr="00DA72E4">
        <w:t xml:space="preserve">As for the relationship between PSQI score and decision index, we did not find significant in the direct correlation analysis, but for the PSQI sub-scale score mining at a higher level, we found that sleeping time was close significantly correlated with DT (r=0.59, p=0.10). As Fig </w:t>
      </w:r>
      <w:r w:rsidR="00063E63">
        <w:t>3</w:t>
      </w:r>
      <w:r w:rsidRPr="00DA72E4">
        <w:t xml:space="preserve">.b, with </w:t>
      </w:r>
      <w:r w:rsidRPr="00DA72E4">
        <w:lastRenderedPageBreak/>
        <w:t>the delay in falling asleep, the reaction time will be longer the next day. This suggests that the busy time state of the final week, combined with the special group of our subjects as graduate students, the delayed sleep time led to the delayed daytime response.</w:t>
      </w:r>
    </w:p>
    <w:p w14:paraId="6C90B7C9" w14:textId="77777777" w:rsidR="005D5506" w:rsidRDefault="005D5506" w:rsidP="005D5506">
      <w:pPr>
        <w:contextualSpacing/>
        <w:rPr>
          <w:b/>
          <w:bCs/>
        </w:rPr>
      </w:pPr>
    </w:p>
    <w:p w14:paraId="06E7980E" w14:textId="77777777" w:rsidR="005D5506" w:rsidRDefault="005D5506" w:rsidP="0006289D">
      <w:pPr>
        <w:pStyle w:val="2"/>
      </w:pPr>
      <w:r>
        <w:t>Discussion</w:t>
      </w:r>
    </w:p>
    <w:p w14:paraId="7DC0F247" w14:textId="77777777" w:rsidR="00DA72E4" w:rsidRPr="00DA72E4" w:rsidRDefault="00DA72E4" w:rsidP="00DA72E4">
      <w:pPr>
        <w:contextualSpacing/>
      </w:pPr>
      <w:r w:rsidRPr="00DA72E4">
        <w:t>The findings from this study provide valuable insights into the relationship between insomnia and decision-making in adolescents. Our results indicate that individuals with insomnia demonstrate a distinct pattern in their</w:t>
      </w:r>
      <w:r w:rsidRPr="00DA72E4">
        <w:rPr>
          <w:rFonts w:hint="eastAsia"/>
        </w:rPr>
        <w:t xml:space="preserve"> </w:t>
      </w:r>
      <w:r w:rsidRPr="00DA72E4">
        <w:t xml:space="preserve">decision-making processes, particularly when it comes to risky choices. </w:t>
      </w:r>
      <w:r w:rsidRPr="00DA72E4">
        <w:rPr>
          <w:rFonts w:hint="eastAsia"/>
        </w:rPr>
        <w:t>T</w:t>
      </w:r>
      <w:r w:rsidRPr="00DA72E4">
        <w:t xml:space="preserve">he insomnia group exhibited longer deliberation times during the CGT may suggest a slower cognitive processing speed or a heightened need for caution when making decisions (Wu et al., 2020). </w:t>
      </w:r>
      <w:r w:rsidRPr="00DA72E4">
        <w:rPr>
          <w:rFonts w:hint="eastAsia"/>
        </w:rPr>
        <w:t>T</w:t>
      </w:r>
      <w:r w:rsidRPr="00DA72E4">
        <w:t>he lack of significant difference in the quality of decision-making between the insomnia and control groups was expected</w:t>
      </w:r>
      <w:r w:rsidRPr="00DA72E4">
        <w:rPr>
          <w:rFonts w:hint="eastAsia"/>
        </w:rPr>
        <w:t>, because CGT</w:t>
      </w:r>
      <w:r w:rsidRPr="00DA72E4">
        <w:t>’</w:t>
      </w:r>
      <w:r w:rsidRPr="00DA72E4">
        <w:rPr>
          <w:rFonts w:hint="eastAsia"/>
        </w:rPr>
        <w:t xml:space="preserve">s reward probability is directly </w:t>
      </w:r>
      <w:r w:rsidRPr="00DA72E4">
        <w:t>demonstrated</w:t>
      </w:r>
      <w:r w:rsidRPr="00DA72E4">
        <w:rPr>
          <w:rFonts w:hint="eastAsia"/>
        </w:rPr>
        <w:t xml:space="preserve"> in each trial, no need for further complex cognitive processing to detect.  </w:t>
      </w:r>
    </w:p>
    <w:p w14:paraId="6E1B798A" w14:textId="77777777" w:rsidR="00DA72E4" w:rsidRPr="00DA72E4" w:rsidRDefault="00DA72E4" w:rsidP="00DA72E4">
      <w:pPr>
        <w:contextualSpacing/>
      </w:pPr>
      <w:r w:rsidRPr="00DA72E4">
        <w:rPr>
          <w:rFonts w:hint="eastAsia"/>
        </w:rPr>
        <w:t>The</w:t>
      </w:r>
      <w:r w:rsidRPr="00DA72E4">
        <w:t xml:space="preserve"> response times and risk-taking ratios between the groups</w:t>
      </w:r>
      <w:r w:rsidRPr="00DA72E4">
        <w:rPr>
          <w:rFonts w:hint="eastAsia"/>
        </w:rPr>
        <w:t xml:space="preserve"> shows no significance, this result is predictable because of the sample size</w:t>
      </w:r>
      <w:r w:rsidRPr="00DA72E4">
        <w:t>. It is possible that the adolescents with insomnia in our sample were more aware of their cognitive vulnerabilities and adjusted their decision-making strategies accordingly (Delazer et al., 2012). This self-awareness and adaptation could be a factor that mitigates the impact of insomnia on risk-taking behavior.</w:t>
      </w:r>
      <w:r w:rsidRPr="00DA72E4">
        <w:rPr>
          <w:rFonts w:hint="eastAsia"/>
        </w:rPr>
        <w:t xml:space="preserve"> </w:t>
      </w:r>
      <w:r w:rsidRPr="00DA72E4">
        <w:t xml:space="preserve">Interestingly, our correlation analysis revealed a significant positive correlation between deliberation times and quality of decision-making, contradicting the common assumption that longer deliberation times result in higher quality decisions (Dewald et al., 2010). </w:t>
      </w:r>
      <w:r w:rsidRPr="00DA72E4">
        <w:rPr>
          <w:rFonts w:hint="eastAsia"/>
        </w:rPr>
        <w:t xml:space="preserve">Finally. </w:t>
      </w:r>
      <w:r w:rsidRPr="00DA72E4">
        <w:t xml:space="preserve">The </w:t>
      </w:r>
      <w:r w:rsidRPr="00DA72E4">
        <w:rPr>
          <w:rFonts w:hint="eastAsia"/>
        </w:rPr>
        <w:t>close significant</w:t>
      </w:r>
      <w:r w:rsidRPr="00DA72E4">
        <w:t xml:space="preserve"> correlation between PSQI scores and decision-making indicators suggests that the subjective experience of sleep </w:t>
      </w:r>
      <w:r w:rsidRPr="00DA72E4">
        <w:lastRenderedPageBreak/>
        <w:t xml:space="preserve">quality might directly </w:t>
      </w:r>
      <w:r w:rsidRPr="00DA72E4">
        <w:rPr>
          <w:rFonts w:hint="eastAsia"/>
        </w:rPr>
        <w:t>affect</w:t>
      </w:r>
      <w:r w:rsidRPr="00DA72E4">
        <w:t xml:space="preserve"> to observable cognitive impairments in the context of decision-making.</w:t>
      </w:r>
    </w:p>
    <w:p w14:paraId="2F1284C4" w14:textId="77777777" w:rsidR="00DA72E4" w:rsidRPr="00DA72E4" w:rsidRDefault="00DA72E4" w:rsidP="00DA72E4">
      <w:pPr>
        <w:contextualSpacing/>
      </w:pPr>
      <w:r w:rsidRPr="00DA72E4">
        <w:t>The results underscore the need for a comprehensive understanding of the mechanisms underlying the link between insomnia and decision-making. Future research should aim to explore the longitudinal effects of insomnia on decision-making and risk-taking behavior, as well as the potential interventions that could improve cognitive outcomes in this population.</w:t>
      </w:r>
    </w:p>
    <w:p w14:paraId="747C20C0" w14:textId="77777777" w:rsidR="009A7C56" w:rsidRPr="003421A6" w:rsidRDefault="009A7C56" w:rsidP="009A7C56">
      <w:pPr>
        <w:contextualSpacing/>
        <w:rPr>
          <w:b/>
          <w:bCs/>
        </w:rPr>
      </w:pPr>
    </w:p>
    <w:p w14:paraId="590165E0" w14:textId="77777777" w:rsidR="001978D9" w:rsidRDefault="001978D9" w:rsidP="000771AE">
      <w:pPr>
        <w:contextualSpacing/>
      </w:pPr>
    </w:p>
    <w:p w14:paraId="25AE3398" w14:textId="77777777" w:rsidR="00011112" w:rsidRDefault="00011112" w:rsidP="0006289D">
      <w:pPr>
        <w:pStyle w:val="2"/>
      </w:pPr>
      <w:r>
        <w:t>Conclusion</w:t>
      </w:r>
    </w:p>
    <w:p w14:paraId="26FE134E" w14:textId="77777777" w:rsidR="00F32069" w:rsidRPr="00DA72E4" w:rsidRDefault="00DA72E4" w:rsidP="00F32069">
      <w:pPr>
        <w:contextualSpacing/>
      </w:pPr>
      <w:r w:rsidRPr="00DA72E4">
        <w:t>This study used the CGT to examine how insomnia impacts risky decision-making in graduate students. The main finding was the insomnia group took longer to think before deciding, indicating impaired thinking ability. But there were no significant group differences in decision quality, risk-taking, or risk adjustment. Longer thinking times related to poorer decisions. Sleep quality was close to significantly predicting longer thinking. This suggests insomnia may slow decisions but not increase risks, as participants may adjust strategies due to self-awareness of deficits. Future long-term studies should explore insomnia's effects on risky decisions and potential interventions to improve cognition for insomniacs.</w:t>
      </w:r>
    </w:p>
    <w:p w14:paraId="7C375CF1" w14:textId="77777777" w:rsidR="00301C9A" w:rsidRPr="001B182D" w:rsidRDefault="00F90936" w:rsidP="0006289D">
      <w:pPr>
        <w:pStyle w:val="2"/>
      </w:pPr>
      <w:r>
        <w:br w:type="page"/>
      </w:r>
      <w:r w:rsidR="00301C9A" w:rsidRPr="001B182D">
        <w:lastRenderedPageBreak/>
        <w:t>References</w:t>
      </w:r>
    </w:p>
    <w:p w14:paraId="72F57FEF" w14:textId="77777777" w:rsidR="005D5506" w:rsidRPr="005D5506" w:rsidRDefault="005D5506" w:rsidP="005D5506">
      <w:pPr>
        <w:ind w:left="720"/>
      </w:pPr>
      <w:r w:rsidRPr="005D5506">
        <w:t xml:space="preserve">Alvaro, P. K., Roberts, R., Harris, J., &amp; Bruni, O. (2016). The direction of the relationship between symptoms of insomnia and psychiatric disorders in adolescents. </w:t>
      </w:r>
      <w:r w:rsidRPr="005D5506">
        <w:rPr>
          <w:i/>
          <w:iCs/>
        </w:rPr>
        <w:t>Journal of Affective Disorders</w:t>
      </w:r>
      <w:r w:rsidRPr="005D5506">
        <w:t xml:space="preserve">, 207, 167-174. </w:t>
      </w:r>
    </w:p>
    <w:p w14:paraId="4F39F3BA" w14:textId="77777777" w:rsidR="005D5506" w:rsidRPr="005D5506" w:rsidRDefault="005D5506" w:rsidP="005D5506">
      <w:pPr>
        <w:ind w:left="720"/>
      </w:pPr>
      <w:r w:rsidRPr="005D5506">
        <w:t xml:space="preserve">American Psychiatric Association. (2013). Diagnostic and statistical manual of mental disorders (5th ed.). </w:t>
      </w:r>
      <w:r w:rsidRPr="005D5506">
        <w:rPr>
          <w:i/>
          <w:iCs/>
        </w:rPr>
        <w:t>Washington, DC: Author</w:t>
      </w:r>
      <w:r w:rsidRPr="005D5506">
        <w:t>.</w:t>
      </w:r>
    </w:p>
    <w:p w14:paraId="7D4802CE" w14:textId="77777777" w:rsidR="005D5506" w:rsidRPr="005D5506" w:rsidRDefault="005D5506" w:rsidP="005D5506">
      <w:pPr>
        <w:ind w:left="720"/>
      </w:pPr>
      <w:r w:rsidRPr="005D5506">
        <w:t>American Psychiatric Association. (2013). Diagnostic and statistical manual of mental disorders (5th ed.). Washington, DC: Author.</w:t>
      </w:r>
    </w:p>
    <w:p w14:paraId="4EA089AD" w14:textId="77777777" w:rsidR="005D5506" w:rsidRPr="005D5506" w:rsidRDefault="005D5506" w:rsidP="005D5506">
      <w:pPr>
        <w:ind w:left="720"/>
      </w:pPr>
      <w:r w:rsidRPr="005D5506">
        <w:t xml:space="preserve">Brownlow, J. A., Miller, K. E., &amp; Gehrman, P. R. (2020). Insomnia and Cognitive Performance. </w:t>
      </w:r>
      <w:r w:rsidRPr="005D5506">
        <w:rPr>
          <w:i/>
          <w:iCs/>
        </w:rPr>
        <w:t>Sleep Medicine Clinics</w:t>
      </w:r>
      <w:r w:rsidRPr="005D5506">
        <w:t xml:space="preserve">, 15(1), 71–76. </w:t>
      </w:r>
    </w:p>
    <w:p w14:paraId="7FCEA0F6" w14:textId="77777777" w:rsidR="005D5506" w:rsidRPr="005D5506" w:rsidRDefault="005D5506" w:rsidP="005D5506">
      <w:pPr>
        <w:ind w:left="720"/>
      </w:pPr>
      <w:r w:rsidRPr="005D5506">
        <w:t xml:space="preserve">Casement, M. D., Keenan, K. E., Hipwell, A. E., Guyer, A. E., &amp; Forbes, E. E. (2016). Neural reward processing mediates the relationship between insomnia symptoms and depression in adolescence. </w:t>
      </w:r>
      <w:r w:rsidRPr="005D5506">
        <w:rPr>
          <w:i/>
          <w:iCs/>
        </w:rPr>
        <w:t>Sleep</w:t>
      </w:r>
      <w:r w:rsidRPr="005D5506">
        <w:t>, 39(2), 439–447.</w:t>
      </w:r>
    </w:p>
    <w:p w14:paraId="35020BE2" w14:textId="77777777" w:rsidR="005D5506" w:rsidRPr="005D5506" w:rsidRDefault="005D5506" w:rsidP="005D5506">
      <w:pPr>
        <w:ind w:left="720"/>
      </w:pPr>
      <w:r w:rsidRPr="005D5506">
        <w:t xml:space="preserve">de Zambotti, M., Goldstone, A., Colrain, I. M., Baker, F. C., &amp; (2018). Insomnia disorder in adolescence: Diagnosis, impact, and treatment. </w:t>
      </w:r>
      <w:r w:rsidRPr="005D5506">
        <w:rPr>
          <w:i/>
          <w:iCs/>
        </w:rPr>
        <w:t>Sleep Medicine Reviews</w:t>
      </w:r>
      <w:r w:rsidRPr="005D5506">
        <w:t>, 39, 12-24.</w:t>
      </w:r>
    </w:p>
    <w:p w14:paraId="2A8EA329" w14:textId="77777777" w:rsidR="005D5506" w:rsidRPr="005D5506" w:rsidRDefault="005D5506" w:rsidP="005D5506">
      <w:pPr>
        <w:ind w:left="720"/>
        <w:rPr>
          <w:lang w:val="de-DE"/>
        </w:rPr>
      </w:pPr>
      <w:r w:rsidRPr="005D5506">
        <w:rPr>
          <w:lang w:val="de-DE"/>
        </w:rPr>
        <w:t xml:space="preserve">Delazer, M., Högl, B., Zamarian, L., Wenter, J., Ehrmann, L., Gschliesser, V., Brandauer, E., Poewe, W., &amp; Frauscher, B. (2012). </w:t>
      </w:r>
      <w:r w:rsidRPr="005D5506">
        <w:t xml:space="preserve">Decision Making and Executive Functions in REM Sleep Behavior Disorder. </w:t>
      </w:r>
      <w:r w:rsidRPr="005D5506">
        <w:rPr>
          <w:i/>
          <w:iCs/>
          <w:lang w:val="de-DE"/>
        </w:rPr>
        <w:t>Sleep</w:t>
      </w:r>
      <w:r w:rsidRPr="005D5506">
        <w:rPr>
          <w:lang w:val="de-DE"/>
        </w:rPr>
        <w:t xml:space="preserve">, 35(5), 667–673. </w:t>
      </w:r>
    </w:p>
    <w:p w14:paraId="3D162F5D" w14:textId="77777777" w:rsidR="005D5506" w:rsidRPr="005D5506" w:rsidRDefault="005D5506" w:rsidP="005D5506">
      <w:pPr>
        <w:ind w:left="720"/>
      </w:pPr>
      <w:r w:rsidRPr="005D5506">
        <w:rPr>
          <w:lang w:val="de-DE"/>
        </w:rPr>
        <w:t xml:space="preserve">Dewald, J. F., Meijer, A. M., Oort, F. J., Kerkhof, G. A., &amp; Bogels, S. M. (2010). </w:t>
      </w:r>
      <w:r w:rsidRPr="005D5506">
        <w:t xml:space="preserve">The influence of sleep quality, sleep duration and sleepiness on school performance in children and adolescents: A meta-analytic review. </w:t>
      </w:r>
      <w:r w:rsidRPr="005D5506">
        <w:rPr>
          <w:i/>
          <w:iCs/>
        </w:rPr>
        <w:t>Sleep Medicine Reviews</w:t>
      </w:r>
      <w:r w:rsidRPr="005D5506">
        <w:t>, 14(3), 179-189.</w:t>
      </w:r>
    </w:p>
    <w:p w14:paraId="1723E9F7" w14:textId="77777777" w:rsidR="005D5506" w:rsidRPr="005D5506" w:rsidRDefault="005D5506" w:rsidP="005D5506">
      <w:pPr>
        <w:ind w:left="720"/>
        <w:rPr>
          <w:lang w:val="de-DE"/>
        </w:rPr>
      </w:pPr>
      <w:r w:rsidRPr="005D5506">
        <w:lastRenderedPageBreak/>
        <w:t xml:space="preserve">Johnson, E., Roth, T., Schultz, L., &amp; Breslau, N. (2006). Epidemiology of DSM-IV insomnia in adolescence: Lifetime prevalence, chronicity, and an emergent gender difference. </w:t>
      </w:r>
      <w:r w:rsidRPr="005D5506">
        <w:rPr>
          <w:i/>
          <w:iCs/>
          <w:lang w:val="de-DE"/>
        </w:rPr>
        <w:t>Pediatrics</w:t>
      </w:r>
      <w:r w:rsidRPr="005D5506">
        <w:rPr>
          <w:lang w:val="de-DE"/>
        </w:rPr>
        <w:t>, 117(2), e247-e256.</w:t>
      </w:r>
    </w:p>
    <w:p w14:paraId="57D360C7" w14:textId="77777777" w:rsidR="005D5506" w:rsidRPr="005D5506" w:rsidRDefault="005D5506" w:rsidP="005D5506">
      <w:pPr>
        <w:ind w:left="720"/>
      </w:pPr>
      <w:r w:rsidRPr="005D5506">
        <w:rPr>
          <w:lang w:val="de-DE"/>
        </w:rPr>
        <w:t xml:space="preserve">Kurosch, Yazdi, Theodor Rumetshofer, Michaela Gnauer, Doris Csillag, Jan Rosenleitner, Raimund Kleiser. </w:t>
      </w:r>
      <w:r w:rsidRPr="005D5506">
        <w:t xml:space="preserve">(2018). Neurobiological processes during the Cambridge gambling task. </w:t>
      </w:r>
      <w:r w:rsidRPr="005D5506">
        <w:rPr>
          <w:i/>
          <w:iCs/>
        </w:rPr>
        <w:t>Behavioral Brain Research</w:t>
      </w:r>
      <w:r w:rsidRPr="005D5506">
        <w:t>, 356, 295–304.</w:t>
      </w:r>
    </w:p>
    <w:p w14:paraId="63348709" w14:textId="77777777" w:rsidR="005D5506" w:rsidRPr="005D5506" w:rsidRDefault="005D5506" w:rsidP="005D5506">
      <w:pPr>
        <w:ind w:left="720"/>
      </w:pPr>
      <w:r w:rsidRPr="005D5506">
        <w:rPr>
          <w:lang w:val="de-DE"/>
        </w:rPr>
        <w:t xml:space="preserve">Kuula, L., Pesonen, A. K., Martikainen, S., Kajantie, E., Lahti, J., &amp; Strandberg, T. (2015). </w:t>
      </w:r>
      <w:r w:rsidRPr="005D5506">
        <w:t xml:space="preserve">Poor sleep and neurocognitive function in early adolescence. </w:t>
      </w:r>
      <w:r w:rsidRPr="005D5506">
        <w:rPr>
          <w:i/>
          <w:iCs/>
        </w:rPr>
        <w:t>Sleep Medicin</w:t>
      </w:r>
      <w:r w:rsidRPr="005D5506">
        <w:t>e, 16(10), 1207-1212.</w:t>
      </w:r>
    </w:p>
    <w:p w14:paraId="712D4ED1" w14:textId="77777777" w:rsidR="005D5506" w:rsidRPr="005D5506" w:rsidRDefault="005D5506" w:rsidP="005D5506">
      <w:pPr>
        <w:ind w:left="720"/>
      </w:pPr>
      <w:r w:rsidRPr="005D5506">
        <w:t xml:space="preserve">Liu, D., </w:t>
      </w:r>
      <w:proofErr w:type="spellStart"/>
      <w:r w:rsidRPr="005D5506">
        <w:t>Kahathuduwa</w:t>
      </w:r>
      <w:proofErr w:type="spellEnd"/>
      <w:r w:rsidRPr="005D5506">
        <w:t xml:space="preserve">, C., &amp; </w:t>
      </w:r>
      <w:proofErr w:type="spellStart"/>
      <w:r w:rsidRPr="005D5506">
        <w:t>Vazsonyi</w:t>
      </w:r>
      <w:proofErr w:type="spellEnd"/>
      <w:r w:rsidRPr="005D5506">
        <w:t xml:space="preserve">, A. T. (2021). The Pittsburgh Sleep Quality Index (PSQI): Psychometric and clinical risk score applications among college students. </w:t>
      </w:r>
      <w:r w:rsidRPr="005D5506">
        <w:rPr>
          <w:i/>
          <w:iCs/>
        </w:rPr>
        <w:t>Psychological Assessment</w:t>
      </w:r>
      <w:r w:rsidRPr="005D5506">
        <w:t xml:space="preserve">, 33(9), 816–826. </w:t>
      </w:r>
    </w:p>
    <w:p w14:paraId="72358D00" w14:textId="77777777" w:rsidR="005D5506" w:rsidRPr="005D5506" w:rsidRDefault="005D5506" w:rsidP="005D5506">
      <w:pPr>
        <w:ind w:left="720"/>
      </w:pPr>
      <w:r w:rsidRPr="005D5506">
        <w:t>Roberts, R. E., Roberts, C. R., &amp; Duong, H. T. (2008). Chronic insomnia and its negative consequences for health and functioning of adolescents: A 12-month prospective study.</w:t>
      </w:r>
      <w:r w:rsidRPr="005D5506">
        <w:rPr>
          <w:i/>
          <w:iCs/>
        </w:rPr>
        <w:t xml:space="preserve"> Journal of Adolescent Health</w:t>
      </w:r>
      <w:r w:rsidRPr="005D5506">
        <w:t>, 42(3), 294-302.</w:t>
      </w:r>
    </w:p>
    <w:p w14:paraId="0B6F3A8E" w14:textId="77777777" w:rsidR="005D5506" w:rsidRPr="005D5506" w:rsidRDefault="005D5506" w:rsidP="005D5506">
      <w:pPr>
        <w:ind w:left="720"/>
      </w:pPr>
      <w:r w:rsidRPr="005D5506">
        <w:t xml:space="preserve">Shahid, A., Wilkinson, K., Marcu, S., &amp; Shapiro, C. M. (2011). Karolinska Sleepiness Scale (KSS). A. Shahid, K. Wilkinson, S. Marcu, &amp; C. M. Shapiro, STOP, THAT and One Hundred Other Sleep Scales (209–210). </w:t>
      </w:r>
      <w:r w:rsidRPr="005D5506">
        <w:rPr>
          <w:i/>
          <w:iCs/>
        </w:rPr>
        <w:t>Springer New York</w:t>
      </w:r>
      <w:r w:rsidRPr="005D5506">
        <w:t xml:space="preserve">. </w:t>
      </w:r>
    </w:p>
    <w:p w14:paraId="45260F4F" w14:textId="77777777" w:rsidR="005D5506" w:rsidRPr="005D5506" w:rsidRDefault="005D5506" w:rsidP="005D5506">
      <w:pPr>
        <w:ind w:left="720"/>
      </w:pPr>
      <w:r w:rsidRPr="005D5506">
        <w:t xml:space="preserve">Telzer, E. H., </w:t>
      </w:r>
      <w:proofErr w:type="spellStart"/>
      <w:r w:rsidRPr="005D5506">
        <w:t>Fuligni</w:t>
      </w:r>
      <w:proofErr w:type="spellEnd"/>
      <w:r w:rsidRPr="005D5506">
        <w:t xml:space="preserve">, A. J., Lieberman, M. D., &amp; Galvan, A. (2013). The effects of poor-quality sleep on brain function and risk taking in adolescence. </w:t>
      </w:r>
      <w:proofErr w:type="spellStart"/>
      <w:r w:rsidRPr="005D5506">
        <w:rPr>
          <w:i/>
          <w:iCs/>
        </w:rPr>
        <w:t>NeuroImage</w:t>
      </w:r>
      <w:proofErr w:type="spellEnd"/>
      <w:r w:rsidRPr="005D5506">
        <w:t>, 71, 275-283.</w:t>
      </w:r>
    </w:p>
    <w:p w14:paraId="60262C9A" w14:textId="77777777" w:rsidR="005D5506" w:rsidRPr="005D5506" w:rsidRDefault="005D5506" w:rsidP="005D5506">
      <w:pPr>
        <w:ind w:left="720"/>
      </w:pPr>
      <w:r w:rsidRPr="005D5506">
        <w:t xml:space="preserve">Wu et al_2020_Explore structural and functional brain changes in insomnia disorder. </w:t>
      </w:r>
    </w:p>
    <w:p w14:paraId="338A0728" w14:textId="77777777" w:rsidR="005D5506" w:rsidRPr="005D5506" w:rsidRDefault="005D5506" w:rsidP="005D5506">
      <w:pPr>
        <w:ind w:left="720"/>
        <w:rPr>
          <w:lang w:val="de-DE"/>
        </w:rPr>
      </w:pPr>
      <w:r w:rsidRPr="005D5506">
        <w:rPr>
          <w:lang w:val="de-DE"/>
        </w:rPr>
        <w:t xml:space="preserve">Xi, C., Ding, J., Li, X., Wang, K., &amp; (2019). </w:t>
      </w:r>
      <w:r w:rsidRPr="005D5506">
        <w:t xml:space="preserve">Impaired emotional memory and decision-making following primary insomnia. </w:t>
      </w:r>
      <w:r w:rsidRPr="005D5506">
        <w:rPr>
          <w:i/>
          <w:iCs/>
          <w:lang w:val="de-DE"/>
        </w:rPr>
        <w:t>Medicine</w:t>
      </w:r>
      <w:r w:rsidRPr="005D5506">
        <w:rPr>
          <w:lang w:val="de-DE"/>
        </w:rPr>
        <w:t>, 98(29), e16512.</w:t>
      </w:r>
    </w:p>
    <w:p w14:paraId="514162FF" w14:textId="77777777" w:rsidR="005D5506" w:rsidRPr="005D5506" w:rsidRDefault="005D5506" w:rsidP="005D5506">
      <w:pPr>
        <w:ind w:left="720"/>
      </w:pPr>
      <w:r w:rsidRPr="005D5506">
        <w:rPr>
          <w:lang w:val="de-DE"/>
        </w:rPr>
        <w:lastRenderedPageBreak/>
        <w:t xml:space="preserve">Zois, E., Kortlang, N., Vollstädt-Klein, S., Lemenager, T., Beutel, M., Mann, K., &amp; Fauth-Bühler, M. (2014). </w:t>
      </w:r>
      <w:r w:rsidRPr="005D5506">
        <w:t xml:space="preserve">Decision-making deficits in patients diagnosed with disordered gambling using the Cambridge Gambling task: The effects of substance use disorder comorbidity. </w:t>
      </w:r>
      <w:r w:rsidRPr="005D5506">
        <w:rPr>
          <w:i/>
          <w:iCs/>
          <w:lang w:val="de-DE"/>
        </w:rPr>
        <w:t>Brain and Behavior,</w:t>
      </w:r>
      <w:r w:rsidRPr="005D5506">
        <w:rPr>
          <w:lang w:val="de-DE"/>
        </w:rPr>
        <w:t xml:space="preserve"> 4(4), 484–494.</w:t>
      </w:r>
      <w:r w:rsidRPr="005D5506">
        <w:t xml:space="preserve"> </w:t>
      </w:r>
    </w:p>
    <w:p w14:paraId="547FA5D4" w14:textId="77777777" w:rsidR="00B659F9" w:rsidRDefault="00B659F9" w:rsidP="00D64153">
      <w:pPr>
        <w:ind w:left="720"/>
      </w:pPr>
    </w:p>
    <w:p w14:paraId="4009A403" w14:textId="77777777" w:rsidR="00B659F9" w:rsidRDefault="00B659F9" w:rsidP="00D64153">
      <w:pPr>
        <w:ind w:left="720"/>
      </w:pPr>
    </w:p>
    <w:p w14:paraId="4CE5D371" w14:textId="77777777" w:rsidR="00B659F9" w:rsidRDefault="00B659F9" w:rsidP="00D64153">
      <w:pPr>
        <w:ind w:left="720"/>
      </w:pPr>
    </w:p>
    <w:sectPr w:rsidR="00B659F9" w:rsidSect="00B5103C">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B1C42" w14:textId="77777777" w:rsidR="00F0348E" w:rsidRDefault="00F0348E" w:rsidP="00301C9A">
      <w:pPr>
        <w:spacing w:line="240" w:lineRule="auto"/>
      </w:pPr>
      <w:r>
        <w:separator/>
      </w:r>
    </w:p>
  </w:endnote>
  <w:endnote w:type="continuationSeparator" w:id="0">
    <w:p w14:paraId="04DCEAEA" w14:textId="77777777" w:rsidR="00F0348E" w:rsidRDefault="00F0348E" w:rsidP="00301C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A3E159" w14:textId="77777777" w:rsidR="00F0348E" w:rsidRDefault="00F0348E" w:rsidP="00301C9A">
      <w:pPr>
        <w:spacing w:line="240" w:lineRule="auto"/>
      </w:pPr>
      <w:r>
        <w:separator/>
      </w:r>
    </w:p>
  </w:footnote>
  <w:footnote w:type="continuationSeparator" w:id="0">
    <w:p w14:paraId="3E515937" w14:textId="77777777" w:rsidR="00F0348E" w:rsidRDefault="00F0348E" w:rsidP="00301C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8555638"/>
      <w:docPartObj>
        <w:docPartGallery w:val="Page Numbers (Top of Page)"/>
        <w:docPartUnique/>
      </w:docPartObj>
    </w:sdtPr>
    <w:sdtEndPr>
      <w:rPr>
        <w:noProof/>
      </w:rPr>
    </w:sdtEndPr>
    <w:sdtContent>
      <w:p w14:paraId="11576547" w14:textId="77777777" w:rsidR="00305C5F" w:rsidRDefault="00305C5F">
        <w:pPr>
          <w:pStyle w:val="a3"/>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9E211" w14:textId="77777777" w:rsidR="00A61BB5" w:rsidRDefault="007257D4">
    <w:pPr>
      <w:pStyle w:val="a3"/>
    </w:pPr>
    <w:r>
      <w:ptab w:relativeTo="margin" w:alignment="right" w:leader="none"/>
    </w:r>
    <w:r w:rsidR="00A61BB5">
      <w:fldChar w:fldCharType="begin"/>
    </w:r>
    <w:r w:rsidR="00A61BB5">
      <w:instrText xml:space="preserve"> PAGE   \* MERGEFORMAT </w:instrText>
    </w:r>
    <w:r w:rsidR="00A61BB5">
      <w:fldChar w:fldCharType="separate"/>
    </w:r>
    <w:r>
      <w:rPr>
        <w:noProof/>
      </w:rPr>
      <w:t>1</w:t>
    </w:r>
    <w:r w:rsidR="00A61BB5">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attachedTemplate r:id="rId1"/>
  <w:defaultTabStop w:val="720"/>
  <w:doNotShadeFormData/>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48E"/>
    <w:rsid w:val="000016AF"/>
    <w:rsid w:val="000105C2"/>
    <w:rsid w:val="00011112"/>
    <w:rsid w:val="00012280"/>
    <w:rsid w:val="00025920"/>
    <w:rsid w:val="000512AF"/>
    <w:rsid w:val="0006289D"/>
    <w:rsid w:val="00063E63"/>
    <w:rsid w:val="000771AE"/>
    <w:rsid w:val="00081B33"/>
    <w:rsid w:val="0008778C"/>
    <w:rsid w:val="000B00ED"/>
    <w:rsid w:val="000B3BFC"/>
    <w:rsid w:val="000B5821"/>
    <w:rsid w:val="000F4B26"/>
    <w:rsid w:val="00110C0E"/>
    <w:rsid w:val="00120C24"/>
    <w:rsid w:val="00132618"/>
    <w:rsid w:val="00135793"/>
    <w:rsid w:val="001637DA"/>
    <w:rsid w:val="00182195"/>
    <w:rsid w:val="00187CD9"/>
    <w:rsid w:val="001959AE"/>
    <w:rsid w:val="001978D9"/>
    <w:rsid w:val="001A2E56"/>
    <w:rsid w:val="001B182D"/>
    <w:rsid w:val="0027465A"/>
    <w:rsid w:val="00280DFE"/>
    <w:rsid w:val="00292C53"/>
    <w:rsid w:val="00300BDD"/>
    <w:rsid w:val="00301C9A"/>
    <w:rsid w:val="00305C5F"/>
    <w:rsid w:val="00337147"/>
    <w:rsid w:val="003421A6"/>
    <w:rsid w:val="003B5209"/>
    <w:rsid w:val="003D1898"/>
    <w:rsid w:val="00407220"/>
    <w:rsid w:val="00453102"/>
    <w:rsid w:val="00461718"/>
    <w:rsid w:val="0046463E"/>
    <w:rsid w:val="004840C8"/>
    <w:rsid w:val="004930B3"/>
    <w:rsid w:val="004972B8"/>
    <w:rsid w:val="004C1C4E"/>
    <w:rsid w:val="005806D3"/>
    <w:rsid w:val="005B2106"/>
    <w:rsid w:val="005D5506"/>
    <w:rsid w:val="005F68F4"/>
    <w:rsid w:val="0061169E"/>
    <w:rsid w:val="00624577"/>
    <w:rsid w:val="006742BF"/>
    <w:rsid w:val="006B4892"/>
    <w:rsid w:val="006E2084"/>
    <w:rsid w:val="007138A1"/>
    <w:rsid w:val="007257D4"/>
    <w:rsid w:val="007271F7"/>
    <w:rsid w:val="00762798"/>
    <w:rsid w:val="00796D8B"/>
    <w:rsid w:val="007A1559"/>
    <w:rsid w:val="007E1213"/>
    <w:rsid w:val="007E45ED"/>
    <w:rsid w:val="007E6B61"/>
    <w:rsid w:val="0083579D"/>
    <w:rsid w:val="00852BF1"/>
    <w:rsid w:val="00871357"/>
    <w:rsid w:val="008B2B3E"/>
    <w:rsid w:val="008C19CB"/>
    <w:rsid w:val="009041AF"/>
    <w:rsid w:val="00915BEA"/>
    <w:rsid w:val="009212A9"/>
    <w:rsid w:val="00922B1E"/>
    <w:rsid w:val="009A7C56"/>
    <w:rsid w:val="009C33AA"/>
    <w:rsid w:val="009F0988"/>
    <w:rsid w:val="00A04CA3"/>
    <w:rsid w:val="00A12ED1"/>
    <w:rsid w:val="00A14F84"/>
    <w:rsid w:val="00A373A5"/>
    <w:rsid w:val="00A61BB5"/>
    <w:rsid w:val="00A659DD"/>
    <w:rsid w:val="00AF410B"/>
    <w:rsid w:val="00B16CEF"/>
    <w:rsid w:val="00B201E4"/>
    <w:rsid w:val="00B5103C"/>
    <w:rsid w:val="00B55370"/>
    <w:rsid w:val="00B659F9"/>
    <w:rsid w:val="00B83591"/>
    <w:rsid w:val="00BE0C93"/>
    <w:rsid w:val="00C7795E"/>
    <w:rsid w:val="00C83015"/>
    <w:rsid w:val="00C90DEC"/>
    <w:rsid w:val="00CF25ED"/>
    <w:rsid w:val="00CF3B71"/>
    <w:rsid w:val="00D03CD1"/>
    <w:rsid w:val="00D23411"/>
    <w:rsid w:val="00D572B2"/>
    <w:rsid w:val="00D64153"/>
    <w:rsid w:val="00D80D1C"/>
    <w:rsid w:val="00D95EE3"/>
    <w:rsid w:val="00DA72E4"/>
    <w:rsid w:val="00DC26B9"/>
    <w:rsid w:val="00DE2F7A"/>
    <w:rsid w:val="00E14AE9"/>
    <w:rsid w:val="00E35FE8"/>
    <w:rsid w:val="00E860E7"/>
    <w:rsid w:val="00EA0950"/>
    <w:rsid w:val="00EB329A"/>
    <w:rsid w:val="00EF48F9"/>
    <w:rsid w:val="00F0348E"/>
    <w:rsid w:val="00F174AB"/>
    <w:rsid w:val="00F32069"/>
    <w:rsid w:val="00F3380B"/>
    <w:rsid w:val="00F7292D"/>
    <w:rsid w:val="00F90936"/>
    <w:rsid w:val="00FE3F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E9E5EE"/>
  <w15:docId w15:val="{AD228E41-84D0-4577-92D3-9914B76C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480" w:lineRule="auto"/>
    </w:pPr>
    <w:rPr>
      <w:sz w:val="24"/>
      <w:szCs w:val="22"/>
    </w:rPr>
  </w:style>
  <w:style w:type="paragraph" w:styleId="1">
    <w:name w:val="heading 1"/>
    <w:basedOn w:val="a"/>
    <w:next w:val="a"/>
    <w:link w:val="10"/>
    <w:uiPriority w:val="9"/>
    <w:qFormat/>
    <w:rsid w:val="005F68F4"/>
    <w:pPr>
      <w:keepNext/>
      <w:keepLines/>
      <w:spacing w:before="340" w:after="330" w:line="578" w:lineRule="auto"/>
      <w:ind w:firstLineChars="200" w:firstLine="200"/>
      <w:jc w:val="both"/>
      <w:outlineLvl w:val="0"/>
    </w:pPr>
    <w:rPr>
      <w:rFonts w:eastAsia="微软雅黑 Light"/>
      <w:b/>
      <w:bCs/>
      <w:kern w:val="44"/>
      <w:sz w:val="44"/>
      <w:szCs w:val="44"/>
      <w:lang w:eastAsia="zh-CN"/>
      <w14:ligatures w14:val="standardContextual"/>
    </w:rPr>
  </w:style>
  <w:style w:type="paragraph" w:styleId="2">
    <w:name w:val="heading 2"/>
    <w:basedOn w:val="a"/>
    <w:next w:val="a"/>
    <w:link w:val="20"/>
    <w:uiPriority w:val="9"/>
    <w:unhideWhenUsed/>
    <w:qFormat/>
    <w:rsid w:val="00081B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1B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1C9A"/>
    <w:pPr>
      <w:tabs>
        <w:tab w:val="center" w:pos="4680"/>
        <w:tab w:val="right" w:pos="9360"/>
      </w:tabs>
      <w:spacing w:line="240" w:lineRule="auto"/>
    </w:pPr>
  </w:style>
  <w:style w:type="character" w:customStyle="1" w:styleId="a4">
    <w:name w:val="页眉 字符"/>
    <w:basedOn w:val="a0"/>
    <w:link w:val="a3"/>
    <w:uiPriority w:val="99"/>
    <w:rsid w:val="00301C9A"/>
  </w:style>
  <w:style w:type="paragraph" w:styleId="a5">
    <w:name w:val="footer"/>
    <w:basedOn w:val="a"/>
    <w:link w:val="a6"/>
    <w:uiPriority w:val="99"/>
    <w:unhideWhenUsed/>
    <w:rsid w:val="00301C9A"/>
    <w:pPr>
      <w:tabs>
        <w:tab w:val="center" w:pos="4680"/>
        <w:tab w:val="right" w:pos="9360"/>
      </w:tabs>
      <w:spacing w:line="240" w:lineRule="auto"/>
    </w:pPr>
  </w:style>
  <w:style w:type="character" w:customStyle="1" w:styleId="a6">
    <w:name w:val="页脚 字符"/>
    <w:basedOn w:val="a0"/>
    <w:link w:val="a5"/>
    <w:uiPriority w:val="99"/>
    <w:rsid w:val="00301C9A"/>
  </w:style>
  <w:style w:type="paragraph" w:styleId="a7">
    <w:name w:val="Balloon Text"/>
    <w:basedOn w:val="a"/>
    <w:link w:val="a8"/>
    <w:uiPriority w:val="99"/>
    <w:semiHidden/>
    <w:unhideWhenUsed/>
    <w:rsid w:val="00301C9A"/>
    <w:pPr>
      <w:spacing w:line="240" w:lineRule="auto"/>
    </w:pPr>
    <w:rPr>
      <w:rFonts w:ascii="Tahoma" w:hAnsi="Tahoma" w:cs="Tahoma"/>
      <w:sz w:val="16"/>
      <w:szCs w:val="16"/>
    </w:rPr>
  </w:style>
  <w:style w:type="character" w:customStyle="1" w:styleId="a8">
    <w:name w:val="批注框文本 字符"/>
    <w:link w:val="a7"/>
    <w:uiPriority w:val="99"/>
    <w:semiHidden/>
    <w:rsid w:val="00301C9A"/>
    <w:rPr>
      <w:rFonts w:ascii="Tahoma" w:hAnsi="Tahoma" w:cs="Tahoma"/>
      <w:sz w:val="16"/>
      <w:szCs w:val="16"/>
    </w:rPr>
  </w:style>
  <w:style w:type="character" w:styleId="a9">
    <w:name w:val="Hyperlink"/>
    <w:uiPriority w:val="99"/>
    <w:unhideWhenUsed/>
    <w:rsid w:val="00CF25ED"/>
    <w:rPr>
      <w:color w:val="0000FF"/>
      <w:u w:val="single"/>
    </w:rPr>
  </w:style>
  <w:style w:type="character" w:styleId="aa">
    <w:name w:val="FollowedHyperlink"/>
    <w:uiPriority w:val="99"/>
    <w:semiHidden/>
    <w:unhideWhenUsed/>
    <w:rsid w:val="000B3BFC"/>
    <w:rPr>
      <w:color w:val="800080"/>
      <w:u w:val="single"/>
    </w:rPr>
  </w:style>
  <w:style w:type="character" w:styleId="ab">
    <w:name w:val="page number"/>
    <w:basedOn w:val="a0"/>
    <w:uiPriority w:val="99"/>
    <w:semiHidden/>
    <w:unhideWhenUsed/>
    <w:rsid w:val="009041AF"/>
  </w:style>
  <w:style w:type="character" w:styleId="ac">
    <w:name w:val="Placeholder Text"/>
    <w:basedOn w:val="a0"/>
    <w:uiPriority w:val="99"/>
    <w:semiHidden/>
    <w:rsid w:val="004930B3"/>
    <w:rPr>
      <w:color w:val="808080"/>
    </w:rPr>
  </w:style>
  <w:style w:type="character" w:customStyle="1" w:styleId="10">
    <w:name w:val="标题 1 字符"/>
    <w:basedOn w:val="a0"/>
    <w:link w:val="1"/>
    <w:uiPriority w:val="9"/>
    <w:rsid w:val="005F68F4"/>
    <w:rPr>
      <w:rFonts w:eastAsia="微软雅黑 Light"/>
      <w:b/>
      <w:bCs/>
      <w:kern w:val="44"/>
      <w:sz w:val="44"/>
      <w:szCs w:val="44"/>
      <w:lang w:eastAsia="zh-CN"/>
      <w14:ligatures w14:val="standardContextual"/>
    </w:rPr>
  </w:style>
  <w:style w:type="paragraph" w:styleId="ad">
    <w:name w:val="caption"/>
    <w:basedOn w:val="a"/>
    <w:next w:val="a"/>
    <w:uiPriority w:val="35"/>
    <w:unhideWhenUsed/>
    <w:qFormat/>
    <w:rsid w:val="00E35FE8"/>
    <w:rPr>
      <w:rFonts w:asciiTheme="majorHAnsi" w:eastAsia="黑体" w:hAnsiTheme="majorHAnsi" w:cstheme="majorBidi"/>
      <w:sz w:val="20"/>
      <w:szCs w:val="20"/>
    </w:rPr>
  </w:style>
  <w:style w:type="character" w:customStyle="1" w:styleId="20">
    <w:name w:val="标题 2 字符"/>
    <w:basedOn w:val="a0"/>
    <w:link w:val="2"/>
    <w:uiPriority w:val="9"/>
    <w:rsid w:val="00081B3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1B3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650080">
      <w:bodyDiv w:val="1"/>
      <w:marLeft w:val="0"/>
      <w:marRight w:val="0"/>
      <w:marTop w:val="0"/>
      <w:marBottom w:val="0"/>
      <w:divBdr>
        <w:top w:val="none" w:sz="0" w:space="0" w:color="auto"/>
        <w:left w:val="none" w:sz="0" w:space="0" w:color="auto"/>
        <w:bottom w:val="none" w:sz="0" w:space="0" w:color="auto"/>
        <w:right w:val="none" w:sz="0" w:space="0" w:color="auto"/>
      </w:divBdr>
      <w:divsChild>
        <w:div w:id="1794135593">
          <w:marLeft w:val="0"/>
          <w:marRight w:val="0"/>
          <w:marTop w:val="0"/>
          <w:marBottom w:val="0"/>
          <w:divBdr>
            <w:top w:val="none" w:sz="0" w:space="0" w:color="auto"/>
            <w:left w:val="none" w:sz="0" w:space="0" w:color="auto"/>
            <w:bottom w:val="none" w:sz="0" w:space="0" w:color="auto"/>
            <w:right w:val="none" w:sz="0" w:space="0" w:color="auto"/>
          </w:divBdr>
          <w:divsChild>
            <w:div w:id="1514147770">
              <w:marLeft w:val="0"/>
              <w:marRight w:val="0"/>
              <w:marTop w:val="0"/>
              <w:marBottom w:val="0"/>
              <w:divBdr>
                <w:top w:val="none" w:sz="0" w:space="0" w:color="auto"/>
                <w:left w:val="none" w:sz="0" w:space="0" w:color="auto"/>
                <w:bottom w:val="none" w:sz="0" w:space="0" w:color="auto"/>
                <w:right w:val="none" w:sz="0" w:space="0" w:color="auto"/>
              </w:divBdr>
              <w:divsChild>
                <w:div w:id="1669014483">
                  <w:marLeft w:val="0"/>
                  <w:marRight w:val="0"/>
                  <w:marTop w:val="0"/>
                  <w:marBottom w:val="0"/>
                  <w:divBdr>
                    <w:top w:val="none" w:sz="0" w:space="0" w:color="auto"/>
                    <w:left w:val="none" w:sz="0" w:space="0" w:color="auto"/>
                    <w:bottom w:val="none" w:sz="0" w:space="0" w:color="auto"/>
                    <w:right w:val="none" w:sz="0" w:space="0" w:color="auto"/>
                  </w:divBdr>
                  <w:divsChild>
                    <w:div w:id="14350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8596">
      <w:bodyDiv w:val="1"/>
      <w:marLeft w:val="0"/>
      <w:marRight w:val="0"/>
      <w:marTop w:val="0"/>
      <w:marBottom w:val="0"/>
      <w:divBdr>
        <w:top w:val="none" w:sz="0" w:space="0" w:color="auto"/>
        <w:left w:val="none" w:sz="0" w:space="0" w:color="auto"/>
        <w:bottom w:val="none" w:sz="0" w:space="0" w:color="auto"/>
        <w:right w:val="none" w:sz="0" w:space="0" w:color="auto"/>
      </w:divBdr>
      <w:divsChild>
        <w:div w:id="1024675709">
          <w:marLeft w:val="0"/>
          <w:marRight w:val="0"/>
          <w:marTop w:val="0"/>
          <w:marBottom w:val="0"/>
          <w:divBdr>
            <w:top w:val="none" w:sz="0" w:space="0" w:color="auto"/>
            <w:left w:val="none" w:sz="0" w:space="0" w:color="auto"/>
            <w:bottom w:val="none" w:sz="0" w:space="0" w:color="auto"/>
            <w:right w:val="none" w:sz="0" w:space="0" w:color="auto"/>
          </w:divBdr>
          <w:divsChild>
            <w:div w:id="1702897398">
              <w:marLeft w:val="0"/>
              <w:marRight w:val="0"/>
              <w:marTop w:val="0"/>
              <w:marBottom w:val="0"/>
              <w:divBdr>
                <w:top w:val="none" w:sz="0" w:space="0" w:color="auto"/>
                <w:left w:val="none" w:sz="0" w:space="0" w:color="auto"/>
                <w:bottom w:val="none" w:sz="0" w:space="0" w:color="auto"/>
                <w:right w:val="none" w:sz="0" w:space="0" w:color="auto"/>
              </w:divBdr>
              <w:divsChild>
                <w:div w:id="1054620162">
                  <w:marLeft w:val="0"/>
                  <w:marRight w:val="0"/>
                  <w:marTop w:val="0"/>
                  <w:marBottom w:val="0"/>
                  <w:divBdr>
                    <w:top w:val="none" w:sz="0" w:space="0" w:color="auto"/>
                    <w:left w:val="none" w:sz="0" w:space="0" w:color="auto"/>
                    <w:bottom w:val="none" w:sz="0" w:space="0" w:color="auto"/>
                    <w:right w:val="none" w:sz="0" w:space="0" w:color="auto"/>
                  </w:divBdr>
                  <w:divsChild>
                    <w:div w:id="15772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046728">
      <w:bodyDiv w:val="1"/>
      <w:marLeft w:val="0"/>
      <w:marRight w:val="0"/>
      <w:marTop w:val="0"/>
      <w:marBottom w:val="0"/>
      <w:divBdr>
        <w:top w:val="none" w:sz="0" w:space="0" w:color="auto"/>
        <w:left w:val="none" w:sz="0" w:space="0" w:color="auto"/>
        <w:bottom w:val="none" w:sz="0" w:space="0" w:color="auto"/>
        <w:right w:val="none" w:sz="0" w:space="0" w:color="auto"/>
      </w:divBdr>
      <w:divsChild>
        <w:div w:id="862787599">
          <w:marLeft w:val="0"/>
          <w:marRight w:val="0"/>
          <w:marTop w:val="0"/>
          <w:marBottom w:val="0"/>
          <w:divBdr>
            <w:top w:val="none" w:sz="0" w:space="0" w:color="auto"/>
            <w:left w:val="none" w:sz="0" w:space="0" w:color="auto"/>
            <w:bottom w:val="none" w:sz="0" w:space="0" w:color="auto"/>
            <w:right w:val="none" w:sz="0" w:space="0" w:color="auto"/>
          </w:divBdr>
          <w:divsChild>
            <w:div w:id="1131943925">
              <w:marLeft w:val="0"/>
              <w:marRight w:val="0"/>
              <w:marTop w:val="0"/>
              <w:marBottom w:val="0"/>
              <w:divBdr>
                <w:top w:val="none" w:sz="0" w:space="0" w:color="auto"/>
                <w:left w:val="none" w:sz="0" w:space="0" w:color="auto"/>
                <w:bottom w:val="none" w:sz="0" w:space="0" w:color="auto"/>
                <w:right w:val="none" w:sz="0" w:space="0" w:color="auto"/>
              </w:divBdr>
              <w:divsChild>
                <w:div w:id="444887700">
                  <w:marLeft w:val="0"/>
                  <w:marRight w:val="0"/>
                  <w:marTop w:val="0"/>
                  <w:marBottom w:val="0"/>
                  <w:divBdr>
                    <w:top w:val="none" w:sz="0" w:space="0" w:color="auto"/>
                    <w:left w:val="none" w:sz="0" w:space="0" w:color="auto"/>
                    <w:bottom w:val="none" w:sz="0" w:space="0" w:color="auto"/>
                    <w:right w:val="none" w:sz="0" w:space="0" w:color="auto"/>
                  </w:divBdr>
                  <w:divsChild>
                    <w:div w:id="4278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56717">
      <w:bodyDiv w:val="1"/>
      <w:marLeft w:val="0"/>
      <w:marRight w:val="0"/>
      <w:marTop w:val="0"/>
      <w:marBottom w:val="0"/>
      <w:divBdr>
        <w:top w:val="none" w:sz="0" w:space="0" w:color="auto"/>
        <w:left w:val="none" w:sz="0" w:space="0" w:color="auto"/>
        <w:bottom w:val="none" w:sz="0" w:space="0" w:color="auto"/>
        <w:right w:val="none" w:sz="0" w:space="0" w:color="auto"/>
      </w:divBdr>
      <w:divsChild>
        <w:div w:id="702101131">
          <w:marLeft w:val="0"/>
          <w:marRight w:val="0"/>
          <w:marTop w:val="0"/>
          <w:marBottom w:val="0"/>
          <w:divBdr>
            <w:top w:val="none" w:sz="0" w:space="0" w:color="auto"/>
            <w:left w:val="none" w:sz="0" w:space="0" w:color="auto"/>
            <w:bottom w:val="none" w:sz="0" w:space="0" w:color="auto"/>
            <w:right w:val="none" w:sz="0" w:space="0" w:color="auto"/>
          </w:divBdr>
          <w:divsChild>
            <w:div w:id="855848988">
              <w:marLeft w:val="0"/>
              <w:marRight w:val="0"/>
              <w:marTop w:val="0"/>
              <w:marBottom w:val="0"/>
              <w:divBdr>
                <w:top w:val="none" w:sz="0" w:space="0" w:color="auto"/>
                <w:left w:val="none" w:sz="0" w:space="0" w:color="auto"/>
                <w:bottom w:val="none" w:sz="0" w:space="0" w:color="auto"/>
                <w:right w:val="none" w:sz="0" w:space="0" w:color="auto"/>
              </w:divBdr>
              <w:divsChild>
                <w:div w:id="718938409">
                  <w:marLeft w:val="0"/>
                  <w:marRight w:val="0"/>
                  <w:marTop w:val="0"/>
                  <w:marBottom w:val="0"/>
                  <w:divBdr>
                    <w:top w:val="none" w:sz="0" w:space="0" w:color="auto"/>
                    <w:left w:val="none" w:sz="0" w:space="0" w:color="auto"/>
                    <w:bottom w:val="none" w:sz="0" w:space="0" w:color="auto"/>
                    <w:right w:val="none" w:sz="0" w:space="0" w:color="auto"/>
                  </w:divBdr>
                  <w:divsChild>
                    <w:div w:id="213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75366">
      <w:bodyDiv w:val="1"/>
      <w:marLeft w:val="0"/>
      <w:marRight w:val="0"/>
      <w:marTop w:val="0"/>
      <w:marBottom w:val="0"/>
      <w:divBdr>
        <w:top w:val="none" w:sz="0" w:space="0" w:color="auto"/>
        <w:left w:val="none" w:sz="0" w:space="0" w:color="auto"/>
        <w:bottom w:val="none" w:sz="0" w:space="0" w:color="auto"/>
        <w:right w:val="none" w:sz="0" w:space="0" w:color="auto"/>
      </w:divBdr>
      <w:divsChild>
        <w:div w:id="664095307">
          <w:marLeft w:val="0"/>
          <w:marRight w:val="0"/>
          <w:marTop w:val="0"/>
          <w:marBottom w:val="0"/>
          <w:divBdr>
            <w:top w:val="none" w:sz="0" w:space="0" w:color="auto"/>
            <w:left w:val="none" w:sz="0" w:space="0" w:color="auto"/>
            <w:bottom w:val="none" w:sz="0" w:space="0" w:color="auto"/>
            <w:right w:val="none" w:sz="0" w:space="0" w:color="auto"/>
          </w:divBdr>
          <w:divsChild>
            <w:div w:id="2036270905">
              <w:marLeft w:val="0"/>
              <w:marRight w:val="0"/>
              <w:marTop w:val="0"/>
              <w:marBottom w:val="0"/>
              <w:divBdr>
                <w:top w:val="none" w:sz="0" w:space="0" w:color="auto"/>
                <w:left w:val="none" w:sz="0" w:space="0" w:color="auto"/>
                <w:bottom w:val="none" w:sz="0" w:space="0" w:color="auto"/>
                <w:right w:val="none" w:sz="0" w:space="0" w:color="auto"/>
              </w:divBdr>
              <w:divsChild>
                <w:div w:id="226307278">
                  <w:marLeft w:val="0"/>
                  <w:marRight w:val="0"/>
                  <w:marTop w:val="0"/>
                  <w:marBottom w:val="0"/>
                  <w:divBdr>
                    <w:top w:val="none" w:sz="0" w:space="0" w:color="auto"/>
                    <w:left w:val="none" w:sz="0" w:space="0" w:color="auto"/>
                    <w:bottom w:val="none" w:sz="0" w:space="0" w:color="auto"/>
                    <w:right w:val="none" w:sz="0" w:space="0" w:color="auto"/>
                  </w:divBdr>
                  <w:divsChild>
                    <w:div w:id="4015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773572">
      <w:bodyDiv w:val="1"/>
      <w:marLeft w:val="0"/>
      <w:marRight w:val="0"/>
      <w:marTop w:val="0"/>
      <w:marBottom w:val="0"/>
      <w:divBdr>
        <w:top w:val="none" w:sz="0" w:space="0" w:color="auto"/>
        <w:left w:val="none" w:sz="0" w:space="0" w:color="auto"/>
        <w:bottom w:val="none" w:sz="0" w:space="0" w:color="auto"/>
        <w:right w:val="none" w:sz="0" w:space="0" w:color="auto"/>
      </w:divBdr>
      <w:divsChild>
        <w:div w:id="1812483496">
          <w:marLeft w:val="0"/>
          <w:marRight w:val="0"/>
          <w:marTop w:val="0"/>
          <w:marBottom w:val="0"/>
          <w:divBdr>
            <w:top w:val="none" w:sz="0" w:space="0" w:color="auto"/>
            <w:left w:val="none" w:sz="0" w:space="0" w:color="auto"/>
            <w:bottom w:val="none" w:sz="0" w:space="0" w:color="auto"/>
            <w:right w:val="none" w:sz="0" w:space="0" w:color="auto"/>
          </w:divBdr>
          <w:divsChild>
            <w:div w:id="783379803">
              <w:marLeft w:val="0"/>
              <w:marRight w:val="0"/>
              <w:marTop w:val="0"/>
              <w:marBottom w:val="0"/>
              <w:divBdr>
                <w:top w:val="none" w:sz="0" w:space="0" w:color="auto"/>
                <w:left w:val="none" w:sz="0" w:space="0" w:color="auto"/>
                <w:bottom w:val="none" w:sz="0" w:space="0" w:color="auto"/>
                <w:right w:val="none" w:sz="0" w:space="0" w:color="auto"/>
              </w:divBdr>
              <w:divsChild>
                <w:div w:id="774135676">
                  <w:marLeft w:val="0"/>
                  <w:marRight w:val="0"/>
                  <w:marTop w:val="0"/>
                  <w:marBottom w:val="0"/>
                  <w:divBdr>
                    <w:top w:val="none" w:sz="0" w:space="0" w:color="auto"/>
                    <w:left w:val="none" w:sz="0" w:space="0" w:color="auto"/>
                    <w:bottom w:val="none" w:sz="0" w:space="0" w:color="auto"/>
                    <w:right w:val="none" w:sz="0" w:space="0" w:color="auto"/>
                  </w:divBdr>
                  <w:divsChild>
                    <w:div w:id="2038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55647">
      <w:bodyDiv w:val="1"/>
      <w:marLeft w:val="0"/>
      <w:marRight w:val="0"/>
      <w:marTop w:val="0"/>
      <w:marBottom w:val="0"/>
      <w:divBdr>
        <w:top w:val="none" w:sz="0" w:space="0" w:color="auto"/>
        <w:left w:val="none" w:sz="0" w:space="0" w:color="auto"/>
        <w:bottom w:val="none" w:sz="0" w:space="0" w:color="auto"/>
        <w:right w:val="none" w:sz="0" w:space="0" w:color="auto"/>
      </w:divBdr>
      <w:divsChild>
        <w:div w:id="1717973568">
          <w:marLeft w:val="0"/>
          <w:marRight w:val="0"/>
          <w:marTop w:val="0"/>
          <w:marBottom w:val="0"/>
          <w:divBdr>
            <w:top w:val="none" w:sz="0" w:space="0" w:color="auto"/>
            <w:left w:val="none" w:sz="0" w:space="0" w:color="auto"/>
            <w:bottom w:val="none" w:sz="0" w:space="0" w:color="auto"/>
            <w:right w:val="none" w:sz="0" w:space="0" w:color="auto"/>
          </w:divBdr>
          <w:divsChild>
            <w:div w:id="1731421968">
              <w:marLeft w:val="0"/>
              <w:marRight w:val="0"/>
              <w:marTop w:val="0"/>
              <w:marBottom w:val="0"/>
              <w:divBdr>
                <w:top w:val="none" w:sz="0" w:space="0" w:color="auto"/>
                <w:left w:val="none" w:sz="0" w:space="0" w:color="auto"/>
                <w:bottom w:val="none" w:sz="0" w:space="0" w:color="auto"/>
                <w:right w:val="none" w:sz="0" w:space="0" w:color="auto"/>
              </w:divBdr>
              <w:divsChild>
                <w:div w:id="693649245">
                  <w:marLeft w:val="0"/>
                  <w:marRight w:val="0"/>
                  <w:marTop w:val="0"/>
                  <w:marBottom w:val="0"/>
                  <w:divBdr>
                    <w:top w:val="none" w:sz="0" w:space="0" w:color="auto"/>
                    <w:left w:val="none" w:sz="0" w:space="0" w:color="auto"/>
                    <w:bottom w:val="none" w:sz="0" w:space="0" w:color="auto"/>
                    <w:right w:val="none" w:sz="0" w:space="0" w:color="auto"/>
                  </w:divBdr>
                  <w:divsChild>
                    <w:div w:id="5428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72677">
      <w:bodyDiv w:val="1"/>
      <w:marLeft w:val="0"/>
      <w:marRight w:val="0"/>
      <w:marTop w:val="0"/>
      <w:marBottom w:val="0"/>
      <w:divBdr>
        <w:top w:val="none" w:sz="0" w:space="0" w:color="auto"/>
        <w:left w:val="none" w:sz="0" w:space="0" w:color="auto"/>
        <w:bottom w:val="none" w:sz="0" w:space="0" w:color="auto"/>
        <w:right w:val="none" w:sz="0" w:space="0" w:color="auto"/>
      </w:divBdr>
      <w:divsChild>
        <w:div w:id="2110614087">
          <w:marLeft w:val="0"/>
          <w:marRight w:val="0"/>
          <w:marTop w:val="0"/>
          <w:marBottom w:val="0"/>
          <w:divBdr>
            <w:top w:val="none" w:sz="0" w:space="0" w:color="auto"/>
            <w:left w:val="none" w:sz="0" w:space="0" w:color="auto"/>
            <w:bottom w:val="none" w:sz="0" w:space="0" w:color="auto"/>
            <w:right w:val="none" w:sz="0" w:space="0" w:color="auto"/>
          </w:divBdr>
          <w:divsChild>
            <w:div w:id="588539474">
              <w:marLeft w:val="0"/>
              <w:marRight w:val="0"/>
              <w:marTop w:val="0"/>
              <w:marBottom w:val="0"/>
              <w:divBdr>
                <w:top w:val="none" w:sz="0" w:space="0" w:color="auto"/>
                <w:left w:val="none" w:sz="0" w:space="0" w:color="auto"/>
                <w:bottom w:val="none" w:sz="0" w:space="0" w:color="auto"/>
                <w:right w:val="none" w:sz="0" w:space="0" w:color="auto"/>
              </w:divBdr>
              <w:divsChild>
                <w:div w:id="1618678970">
                  <w:marLeft w:val="0"/>
                  <w:marRight w:val="0"/>
                  <w:marTop w:val="0"/>
                  <w:marBottom w:val="0"/>
                  <w:divBdr>
                    <w:top w:val="none" w:sz="0" w:space="0" w:color="auto"/>
                    <w:left w:val="none" w:sz="0" w:space="0" w:color="auto"/>
                    <w:bottom w:val="none" w:sz="0" w:space="0" w:color="auto"/>
                    <w:right w:val="none" w:sz="0" w:space="0" w:color="auto"/>
                  </w:divBdr>
                  <w:divsChild>
                    <w:div w:id="255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81813">
      <w:bodyDiv w:val="1"/>
      <w:marLeft w:val="0"/>
      <w:marRight w:val="0"/>
      <w:marTop w:val="0"/>
      <w:marBottom w:val="0"/>
      <w:divBdr>
        <w:top w:val="none" w:sz="0" w:space="0" w:color="auto"/>
        <w:left w:val="none" w:sz="0" w:space="0" w:color="auto"/>
        <w:bottom w:val="none" w:sz="0" w:space="0" w:color="auto"/>
        <w:right w:val="none" w:sz="0" w:space="0" w:color="auto"/>
      </w:divBdr>
      <w:divsChild>
        <w:div w:id="2101413361">
          <w:marLeft w:val="0"/>
          <w:marRight w:val="0"/>
          <w:marTop w:val="0"/>
          <w:marBottom w:val="0"/>
          <w:divBdr>
            <w:top w:val="none" w:sz="0" w:space="0" w:color="auto"/>
            <w:left w:val="none" w:sz="0" w:space="0" w:color="auto"/>
            <w:bottom w:val="none" w:sz="0" w:space="0" w:color="auto"/>
            <w:right w:val="none" w:sz="0" w:space="0" w:color="auto"/>
          </w:divBdr>
          <w:divsChild>
            <w:div w:id="594048402">
              <w:marLeft w:val="0"/>
              <w:marRight w:val="0"/>
              <w:marTop w:val="0"/>
              <w:marBottom w:val="0"/>
              <w:divBdr>
                <w:top w:val="none" w:sz="0" w:space="0" w:color="auto"/>
                <w:left w:val="none" w:sz="0" w:space="0" w:color="auto"/>
                <w:bottom w:val="none" w:sz="0" w:space="0" w:color="auto"/>
                <w:right w:val="none" w:sz="0" w:space="0" w:color="auto"/>
              </w:divBdr>
              <w:divsChild>
                <w:div w:id="918716022">
                  <w:marLeft w:val="0"/>
                  <w:marRight w:val="0"/>
                  <w:marTop w:val="0"/>
                  <w:marBottom w:val="0"/>
                  <w:divBdr>
                    <w:top w:val="none" w:sz="0" w:space="0" w:color="auto"/>
                    <w:left w:val="none" w:sz="0" w:space="0" w:color="auto"/>
                    <w:bottom w:val="none" w:sz="0" w:space="0" w:color="auto"/>
                    <w:right w:val="none" w:sz="0" w:space="0" w:color="auto"/>
                  </w:divBdr>
                  <w:divsChild>
                    <w:div w:id="16002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Study\Year5%202nd\CCBS7002\CCBS7002group10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BAC67-DC91-4FF0-B84C-BCF3A13D7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CCBS7002group10final</Template>
  <TotalTime>0</TotalTime>
  <Pages>18</Pages>
  <Words>3497</Words>
  <Characters>19935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Globeuniversity</Company>
  <LinksUpToDate>false</LinksUpToDate>
  <CharactersWithSpaces>23386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 miao</dc:creator>
  <cp:lastModifiedBy>he miao</cp:lastModifiedBy>
  <cp:revision>2</cp:revision>
  <cp:lastPrinted>2024-05-08T07:17:00Z</cp:lastPrinted>
  <dcterms:created xsi:type="dcterms:W3CDTF">2024-05-08T11:10:00Z</dcterms:created>
  <dcterms:modified xsi:type="dcterms:W3CDTF">2024-05-08T11:10:00Z</dcterms:modified>
</cp:coreProperties>
</file>