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20" w:after="160" w:line="240" w:lineRule="auto"/>
        <w:jc w:val="left"/>
      </w:pPr>
      <w:r>
        <w:rPr>
          <w:rFonts w:ascii="Microsoft YaHei" w:hAnsi="Microsoft YaHei" w:eastAsia="Microsoft YaHei"/>
          <w:b/>
          <w:color w:val="2E74B5"/>
          <w:sz w:val="22"/>
        </w:rPr>
        <w:t>需求评审稿</w:t>
      </w:r>
    </w:p>
    <w:p>
      <w:pPr>
        <w:spacing w:before="0" w:after="200" w:line="240" w:lineRule="auto"/>
      </w:pPr>
      <w:r>
        <w:rPr>
          <w:rFonts w:ascii="Microsoft YaHei" w:hAnsi="Microsoft YaHei" w:eastAsia="Microsoft YaHei"/>
          <w:b/>
          <w:color w:val="0B2545"/>
          <w:sz w:val="52"/>
        </w:rPr>
        <w:t>计划链条系统：</w:t>
        <w:br/>
        <w:t>部门流程图与功能需求</w:t>
      </w:r>
    </w:p>
    <w:p>
      <w:pPr>
        <w:spacing w:before="0" w:after="440" w:line="269" w:lineRule="auto"/>
      </w:pPr>
      <w:r>
        <w:rPr>
          <w:rFonts w:ascii="Microsoft YaHei" w:hAnsi="Microsoft YaHei" w:eastAsia="Microsoft YaHei"/>
          <w:color w:val="667085"/>
          <w:sz w:val="26"/>
        </w:rPr>
        <w:t>覆盖商品贴标、销售预测、采购计划、调拨计划与每月货权归属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80"/>
        <w:gridCol w:w="7580"/>
      </w:tblGrid>
      <w:tr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适用对象</w:t>
            </w:r>
          </w:p>
        </w:tc>
        <w:tc>
          <w:tcPr>
            <w:tcW w:type="dxa" w:w="7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9"/>
              </w:rPr>
              <w:t>IT 产品、销售、PMC、采购及相关数据接口团队</w:t>
            </w:r>
          </w:p>
        </w:tc>
      </w:tr>
      <w:tr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编制依据</w:t>
            </w:r>
          </w:p>
        </w:tc>
        <w:tc>
          <w:tcPr>
            <w:tcW w:type="dxa" w:w="7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9"/>
              </w:rPr>
              <w:t>《计划链条数据底座20260828.xlsx》全部 Sheet 及业务澄清</w:t>
            </w:r>
          </w:p>
        </w:tc>
      </w:tr>
      <w:tr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文档日期</w:t>
            </w:r>
          </w:p>
        </w:tc>
        <w:tc>
          <w:tcPr>
            <w:tcW w:type="dxa" w:w="7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9"/>
              </w:rPr>
              <w:t>2026-08-31</w:t>
            </w:r>
          </w:p>
        </w:tc>
      </w:tr>
    </w:tbl>
    <w:p>
      <w:pPr>
        <w:spacing w:after="2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  <w:insideH w:val="single" w:sz="8" w:space="0" w:color="B8C7D9"/>
              <w:insideV w:val="single" w:sz="8" w:space="0" w:color="B8C7D9"/>
            </w:tcBorders>
            <w:vAlign w:val="center"/>
            <w:shd w:fill="E8EEF5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核心设计原则</w:t>
            </w:r>
          </w:p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color w:val="1D2939"/>
                <w:sz w:val="20"/>
              </w:rPr>
              <w:t>系统后台是规则计算与流程编排主体：采购缺口、采购预归属、调拨接驳预演、缺口确认和物流建议均由系统自动预算。销售和 PMC 负责维护输入、处理异常、调整并确认结果；采购负责反馈 MOQ、产能、交期与可执行量。</w:t>
            </w:r>
          </w:p>
        </w:tc>
      </w:tr>
    </w:tbl>
    <w:p>
      <w:pPr>
        <w:spacing w:after="40"/>
      </w:pPr>
    </w:p>
    <w:p>
      <w:pPr>
        <w:spacing w:before="440" w:after="0" w:line="240" w:lineRule="auto"/>
      </w:pPr>
      <w:r>
        <w:rPr>
          <w:rFonts w:ascii="Microsoft YaHei" w:hAnsi="Microsoft YaHei" w:eastAsia="Microsoft YaHei"/>
          <w:i/>
          <w:color w:val="667085"/>
          <w:sz w:val="19"/>
        </w:rPr>
        <w:t>内部使用 · 需求待评审</w:t>
      </w:r>
    </w:p>
    <w:p>
      <w:r>
        <w:br w:type="page"/>
      </w:r>
    </w:p>
    <w:p>
      <w:pPr>
        <w:pStyle w:val="Heading1"/>
        <w:keepNext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1. 需求范围与系统定位</w:t>
      </w:r>
    </w:p>
    <w:p>
      <w:pPr>
        <w:spacing w:before="0" w:after="120" w:line="269" w:lineRule="auto"/>
      </w:pPr>
      <w:r>
        <w:rPr>
          <w:rFonts w:ascii="Microsoft YaHei" w:hAnsi="Microsoft YaHei" w:eastAsia="Microsoft YaHei"/>
          <w:i w:val="0"/>
          <w:color w:val="1D2939"/>
          <w:sz w:val="21"/>
        </w:rPr>
        <w:t>本需求面向计划链条 0-1 系统建设，将现行以多来源数据、人工清洗、Excel 规则计算和线下确认组成的作业，收敛为可追溯的系统闭环。覆盖五个模块：商品贴标、销售预测、采购计划、调拨计划、每月货权归属。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  <w:insideH w:val="single" w:sz="8" w:space="0" w:color="B8C7D9"/>
              <w:insideV w:val="single" w:sz="8" w:space="0" w:color="B8C7D9"/>
            </w:tcBorders>
            <w:vAlign w:val="center"/>
            <w:shd w:fill="F4F6F9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角色划分（必须遵循）</w:t>
            </w:r>
          </w:p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color w:val="1D2939"/>
                <w:sz w:val="20"/>
              </w:rPr>
              <w:t>系统负责计算、校验、版本化、任务编排、预警和结果发布；销售负责渠道标签及预测维护，商品中台负责商品标签维护/确认，PMC、采购分别处理计划参数/PR与供应约束反馈。各部门均不手工计算缺口或货权。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1.1 系统边界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color w:val="1D2939"/>
          <w:sz w:val="20"/>
        </w:rPr>
        <w:t>商品基础资料、商品层级/版本映射、渠道与 Listing 映射以商品主数据/PLM 为权威来源；本需求仅消费和校验，不包含 PLM 改造。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color w:val="1D2939"/>
          <w:sz w:val="20"/>
        </w:rPr>
        <w:t>库存、在途、货件、销量等经营数据通过领星、仓储/WMS、渠道平台及人工模板接入；系统需保留来源、取数时点和清洗记录。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color w:val="1D2939"/>
          <w:sz w:val="20"/>
        </w:rPr>
        <w:t>系统以版本化计划运行：同一计划批次的参数、输入快照、人工覆盖、预算结果、采购反馈和确认记录均应可追溯、可回放。</w:t>
      </w:r>
    </w:p>
    <w:p>
      <w:pPr>
        <w:pStyle w:val="Heading2"/>
        <w:keepNext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1.2 端到端部门流程图</w:t>
      </w:r>
    </w:p>
    <w:p>
      <w:r>
        <w:drawing>
          <wp:inline xmlns:a="http://schemas.openxmlformats.org/drawingml/2006/main" xmlns:pic="http://schemas.openxmlformats.org/drawingml/2006/picture">
            <wp:extent cx="5870448" cy="3466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端到端采购计划链路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0448" cy="3466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 w:line="240" w:lineRule="auto"/>
      </w:pPr>
      <w:r>
        <w:rPr>
          <w:rFonts w:ascii="Microsoft YaHei" w:hAnsi="Microsoft YaHei" w:eastAsia="Microsoft YaHei"/>
          <w:i/>
          <w:color w:val="667085"/>
          <w:sz w:val="17"/>
        </w:rPr>
        <w:t>图 1：跨部门流程。系统后台承担数据清洗、规则预算、任务流转和版本留痕。</w:t>
      </w:r>
    </w:p>
    <w:p>
      <w:pPr>
        <w:pStyle w:val="Heading1"/>
        <w:keepNext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2. 模块流程图与业务规则</w:t>
      </w:r>
    </w:p>
    <w:p>
      <w:pPr>
        <w:pStyle w:val="Heading2"/>
        <w:keepNext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2.1 商品贴标</w:t>
      </w:r>
    </w:p>
    <w:p>
      <w:r>
        <w:drawing>
          <wp:inline xmlns:a="http://schemas.openxmlformats.org/drawingml/2006/main" xmlns:pic="http://schemas.openxmlformats.org/drawingml/2006/picture">
            <wp:extent cx="5870448" cy="3466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商品贴标流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0448" cy="3466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color w:val="1D2939"/>
          <w:sz w:val="20"/>
        </w:rPr>
        <w:t>输入：商品主数据、渠道 Listing、开售时间、近 60 天去季节化日销、近两月利润率、季节属性及人工诊断。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color w:val="1D2939"/>
          <w:sz w:val="20"/>
        </w:rPr>
        <w:t>运行频率：每月/每季度独立发起一次商品盘点；本期最终标签作为后续预测与采购计划的有效输入。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color w:val="1D2939"/>
          <w:sz w:val="20"/>
        </w:rPr>
        <w:t>系统规则：归档不可逆渠道，并输出生命周期、季节、价值分档和近期趋势等首轮标签；依据人工修正后结果汇总形成最终商品采购标签（正常/暂停/停采）。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color w:val="1D2939"/>
          <w:sz w:val="20"/>
        </w:rPr>
        <w:t>人工动作：销售查看首轮标签后修正渠道标签并留存原因；商品中台修正并确认商品标签；PMC 使用系统发布的最终标签进行本期计划。</w:t>
      </w:r>
    </w:p>
    <w:p>
      <w:pPr>
        <w:pStyle w:val="Heading2"/>
        <w:keepNext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2.2 销售预测</w:t>
      </w:r>
    </w:p>
    <w:p>
      <w:r>
        <w:drawing>
          <wp:inline xmlns:a="http://schemas.openxmlformats.org/drawingml/2006/main" xmlns:pic="http://schemas.openxmlformats.org/drawingml/2006/picture">
            <wp:extent cx="5870448" cy="3466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销售预测流程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0448" cy="3466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color w:val="1D2939"/>
          <w:sz w:val="20"/>
        </w:rPr>
        <w:t>输入：子体日销量、父子体映射、历史异常标记、季节指数、Listing 适配系数和人工活动提报。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color w:val="1D2939"/>
          <w:sz w:val="20"/>
        </w:rPr>
        <w:t>系统规则：异常清洗后以 Clean ADU、动态 α、季节修正与 Listing 适配计算基线预测；父体预测再拆分到子体。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color w:val="1D2939"/>
          <w:sz w:val="20"/>
        </w:rPr>
        <w:t>人工动作：销售维护人工基准预测、活动预测及审批状态；系统按“已批活动 &gt; 已批人工 &gt; 系统基线”发布最终日级预测。</w:t>
      </w:r>
    </w:p>
    <w:p>
      <w:pPr>
        <w:pStyle w:val="Heading2"/>
        <w:keepNext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2.3 采购计划</w:t>
      </w:r>
    </w:p>
    <w:p>
      <w:r>
        <w:drawing>
          <wp:inline xmlns:a="http://schemas.openxmlformats.org/drawingml/2006/main" xmlns:pic="http://schemas.openxmlformats.org/drawingml/2006/picture">
            <wp:extent cx="5870448" cy="3466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采购计划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0448" cy="3466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color w:val="1D2939"/>
          <w:sz w:val="20"/>
        </w:rPr>
        <w:t>输入：最终预测、商品版本映射、大仓/渠道/FBA 库存与在途、时效、备货周期、安全水位、管道安全垫及 MOQ/产能反馈。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color w:val="1D2939"/>
          <w:sz w:val="20"/>
        </w:rPr>
        <w:t>系统规则：预算覆盖需求，按规则扣减库存与在途，输出渠道/全渠道采购缺口、预下单、采购预归属和下单后 DOI 对照。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color w:val="1D2939"/>
          <w:sz w:val="20"/>
        </w:rPr>
        <w:t>人工动作：PMC 维护参数、审核计划并提交正式 PR；销售确认 MOQ 凑单/组合异常；采购反馈 MOQ、产能、交期和可执行数量。</w:t>
      </w:r>
    </w:p>
    <w:p>
      <w:pPr>
        <w:pStyle w:val="Heading2"/>
        <w:keepNext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2.4 调拨计划</w:t>
      </w:r>
    </w:p>
    <w:p>
      <w:r>
        <w:drawing>
          <wp:inline xmlns:a="http://schemas.openxmlformats.org/drawingml/2006/main" xmlns:pic="http://schemas.openxmlformats.org/drawingml/2006/picture">
            <wp:extent cx="5870448" cy="3466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调拨接驳流程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70448" cy="3466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color w:val="1D2939"/>
          <w:sz w:val="20"/>
        </w:rPr>
        <w:t>输入：广州仓可用/待入仓/预占库存、FBA 库存与在途、未接收货件、周度接驳时效、销量份额和日级预测。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color w:val="1D2939"/>
          <w:sz w:val="20"/>
        </w:rPr>
        <w:t>系统规则：预演各周入库与供货，预算调拨接驳缺口，推荐物流方案，并校验发货件数、重量、倍数和起运量约束。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color w:val="1D2939"/>
          <w:sz w:val="20"/>
        </w:rPr>
        <w:t>人工动作：销售维护异常说明、确认接驳数量与物流选项；PMC 维护参数/版本并确认可执行调拨计划。</w:t>
      </w:r>
    </w:p>
    <w:p>
      <w:pPr>
        <w:pStyle w:val="Heading2"/>
        <w:keepNext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2.5 每月货权归属</w:t>
      </w:r>
    </w:p>
    <w:p>
      <w:r>
        <w:drawing>
          <wp:inline xmlns:a="http://schemas.openxmlformats.org/drawingml/2006/main" xmlns:pic="http://schemas.openxmlformats.org/drawingml/2006/picture">
            <wp:extent cx="5870448" cy="34663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货权归属流程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70448" cy="3466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color w:val="1D2939"/>
          <w:sz w:val="20"/>
        </w:rPr>
        <w:t>月初：系统初始化货权余额和归属版本。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color w:val="1D2939"/>
          <w:sz w:val="20"/>
        </w:rPr>
        <w:t>过程：系统按渠道缺口占比对采购订单预归属；同时逐笔记录调拨计划发货，识别“货权属于 A、实际发给 B”的流转差异。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color w:val="1D2939"/>
          <w:sz w:val="20"/>
        </w:rPr>
        <w:t>月末：系统合并采购预归属与调拨流转两类数据，重算并生成最新货权；PMC 作为中台最终确认人完成关账。</w:t>
      </w:r>
    </w:p>
    <w:p>
      <w:r>
        <w:br w:type="page"/>
      </w:r>
    </w:p>
    <w:p>
      <w:pPr>
        <w:pStyle w:val="Heading1"/>
        <w:keepNext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3. 各角色系统功能需求</w:t>
      </w:r>
    </w:p>
    <w:p>
      <w:pPr>
        <w:spacing w:before="0" w:after="120" w:line="269" w:lineRule="auto"/>
      </w:pPr>
      <w:r>
        <w:rPr>
          <w:rFonts w:ascii="Microsoft YaHei" w:hAnsi="Microsoft YaHei" w:eastAsia="Microsoft YaHei"/>
          <w:i w:val="0"/>
          <w:color w:val="1D2939"/>
          <w:sz w:val="21"/>
        </w:rPr>
        <w:t>下表按“系统自动、部门维护、部门确认/反馈”界定权限，以确保计算口径唯一、人工操作可审计。</w:t>
      </w:r>
    </w:p>
    <w:p>
      <w:pPr>
        <w:pStyle w:val="Heading2"/>
        <w:keepNext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3.1 系统后台（规则引擎与流程编排）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480"/>
        <w:gridCol w:w="318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能力域</w:t>
            </w:r>
          </w:p>
        </w:tc>
        <w:tc>
          <w:tcPr>
            <w:tcW w:type="dxa" w:w="4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系统自动功能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关键控制/输出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数据底座</w:t>
            </w:r>
          </w:p>
        </w:tc>
        <w:tc>
          <w:tcPr>
            <w:tcW w:type="dxa" w:w="44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接入商品主数据、销量、库存、在途、货件、财务利润和人工模板；完成字段标准化、版本映射、异常校验。</w:t>
            </w:r>
          </w:p>
        </w:tc>
        <w:tc>
          <w:tcPr>
            <w:tcW w:type="dxa" w:w="31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记录来源系统、取数时间、清洗规则、质量异常和可重跑批次。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商品贴标</w:t>
            </w:r>
          </w:p>
        </w:tc>
        <w:tc>
          <w:tcPr>
            <w:tcW w:type="dxa" w:w="44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按月度/季度盘点批次，基于生命周期、季节、销量、利润、趋势及归集规则输出首轮渠道/商品/采购标签；按人工修正重算最终标签。</w:t>
            </w:r>
          </w:p>
        </w:tc>
        <w:tc>
          <w:tcPr>
            <w:tcW w:type="dxa" w:w="31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首轮标签、人工修正前后差异、最终确认标签、标签依据与适用计划批次。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销售预测</w:t>
            </w:r>
          </w:p>
        </w:tc>
        <w:tc>
          <w:tcPr>
            <w:tcW w:type="dxa" w:w="44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清洗销量、计算 Clean ADU、动态 α、季节/适配修正、父子体拆分和三线预测合并。</w:t>
            </w:r>
          </w:p>
        </w:tc>
        <w:tc>
          <w:tcPr>
            <w:tcW w:type="dxa" w:w="31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发布最终日级预测；待审批预测不参与计划；保留预测来源与版本。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采购预算</w:t>
            </w:r>
          </w:p>
        </w:tc>
        <w:tc>
          <w:tcPr>
            <w:tcW w:type="dxa" w:w="44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按时效、周期、水位、库存/在途扣减和渠道需求计算缺口；预算预下单、取整、DOI 与采购预归属。</w:t>
            </w:r>
          </w:p>
        </w:tc>
        <w:tc>
          <w:tcPr>
            <w:tcW w:type="dxa" w:w="31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缺口明细、预下单、异常清单、DOI 对照、计划版本。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调拨预算</w:t>
            </w:r>
          </w:p>
        </w:tc>
        <w:tc>
          <w:tcPr>
            <w:tcW w:type="dxa" w:w="44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计算可用/预占库存、周度接驳预演、缺口、物流建议和发货约束校验。</w:t>
            </w:r>
          </w:p>
        </w:tc>
        <w:tc>
          <w:tcPr>
            <w:tcW w:type="dxa" w:w="31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分周发货建议、断货风险、约束不满足原因与建议调整方案。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货权归属</w:t>
            </w:r>
          </w:p>
        </w:tc>
        <w:tc>
          <w:tcPr>
            <w:tcW w:type="dxa" w:w="44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执行月初初始化、采购预归属、调拨流转登记、月末重算与关账。</w:t>
            </w:r>
          </w:p>
        </w:tc>
        <w:tc>
          <w:tcPr>
            <w:tcW w:type="dxa" w:w="31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货权台账、实物/货权差异、变动流水、月末确认版本。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流程与审计</w:t>
            </w:r>
          </w:p>
        </w:tc>
        <w:tc>
          <w:tcPr>
            <w:tcW w:type="dxa" w:w="44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根据规则触发任务、审批/确认、超时提醒、重算与结果发布。</w:t>
            </w:r>
          </w:p>
        </w:tc>
        <w:tc>
          <w:tcPr>
            <w:tcW w:type="dxa" w:w="31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角色权限、调整原因、操作人、时间戳、输入/结果快照、版本差异。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3.2 商品中台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100"/>
        <w:gridCol w:w="35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使用场景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可维护/提交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查看/确认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商品贴标</w:t>
            </w:r>
          </w:p>
        </w:tc>
        <w:tc>
          <w:tcPr>
            <w:tcW w:type="dxa" w:w="4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查看系统首轮商品标签后，维护商品层级标签、采购属性及调整原因。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确认最终商品标签；查看标签对渠道汇总、采购属性和后续计划的影响。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商品基础资料</w:t>
            </w:r>
          </w:p>
        </w:tc>
        <w:tc>
          <w:tcPr>
            <w:tcW w:type="dxa" w:w="4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维护商品分类、季节、版本/聚合关系等职责内主数据；提交主数据异常修复。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查看数据质量、标签计算依据和渠道标签对商品归集的影响。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3.3 销售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100"/>
        <w:gridCol w:w="35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使用场景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可维护/提交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查看/确认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渠道标签</w:t>
            </w:r>
          </w:p>
        </w:tc>
        <w:tc>
          <w:tcPr>
            <w:tcW w:type="dxa" w:w="4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查看系统首轮渠道标签后，维护渠道标签及调整原因；补充生命周期/业务异常说明。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查看首轮与最终渠道标签，以及商品中台确认的商品/采购标签及其影响。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销售预测</w:t>
            </w:r>
          </w:p>
        </w:tc>
        <w:tc>
          <w:tcPr>
            <w:tcW w:type="dxa" w:w="4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维护人工基准预测、活动预测、异常标记及相关说明；发起/完成权限内审批。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查看系统基线与最终预测、实际 vs 预测趋势、预测版本和待确认事项。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采购协同</w:t>
            </w:r>
          </w:p>
        </w:tc>
        <w:tc>
          <w:tcPr>
            <w:tcW w:type="dxa" w:w="4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对 MOQ 凑单、组合/拆分、业务异常提出或确认方案。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查看系统预算的采购缺口、预下单、正式 PR 状态及本次采购单货权归属。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调拨协同</w:t>
            </w:r>
          </w:p>
        </w:tc>
        <w:tc>
          <w:tcPr>
            <w:tcW w:type="dxa" w:w="4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维护异常备注；确认接驳数量、优先周次与物流选项。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查看基础信息、货件接驳预演、调拨缺口、断货风险和系统物流建议。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货权</w:t>
            </w:r>
          </w:p>
        </w:tc>
        <w:tc>
          <w:tcPr>
            <w:tcW w:type="dxa" w:w="4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提交货权异常说明或调拨归属争议。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按月/渠道/商品查看预归属、实际流转、月末货权及差异。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3.4 PMC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100"/>
        <w:gridCol w:w="35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使用场景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可维护/提交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查看/确认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基础与规则</w:t>
            </w:r>
          </w:p>
        </w:tc>
        <w:tc>
          <w:tcPr>
            <w:tcW w:type="dxa" w:w="4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维护商品/版本映射的补充关系、备货参数、管道水位、计划批次及例外说明。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查看数据质量、标签/预测版本及参数变动对计划的影响。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采购计划</w:t>
            </w:r>
          </w:p>
        </w:tc>
        <w:tc>
          <w:tcPr>
            <w:tcW w:type="dxa" w:w="4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确认系统缺口与预下单；组织异常处理；基于采购反馈提交/调整正式 PR。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查看渠道/全渠道缺口、库存扣减逻辑、DOI、MOQ/产能/交期异常和重算版本。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调拨计划</w:t>
            </w:r>
          </w:p>
        </w:tc>
        <w:tc>
          <w:tcPr>
            <w:tcW w:type="dxa" w:w="4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维护执行参数、发货 SKU 版本调整和 PMC 备注；确认可执行计划。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查看可用库存、预占、周度接驳预演、物流约束和输出发货建议。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货权月结</w:t>
            </w:r>
          </w:p>
        </w:tc>
        <w:tc>
          <w:tcPr>
            <w:tcW w:type="dxa" w:w="4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组织货权差异核对、发起并最终确认月末货权、处理异常。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查看采购预归属、调拨流转、月末重算结果及差异流水。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3.5 采购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100"/>
        <w:gridCol w:w="35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使用场景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可维护/反馈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查看/确认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预下单/PR</w:t>
            </w:r>
          </w:p>
        </w:tc>
        <w:tc>
          <w:tcPr>
            <w:tcW w:type="dxa" w:w="4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针对预下单或 PR 回填 MOQ、供应商产能、交期、可执行数量、拆分/合并建议及备注。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查看系统预算缺口、取整依据、需求覆盖期、计划版本与销售确认结果。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订单闭环</w:t>
            </w:r>
          </w:p>
        </w:tc>
        <w:tc>
          <w:tcPr>
            <w:tcW w:type="dxa" w:w="4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更新采购答复状态；接收 PMC 调整后的正式 PR 并进入执行。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查看因采购反馈触发的重算差异，以及最终 PR 与预下单差异。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货权协同</w:t>
            </w:r>
          </w:p>
        </w:tc>
        <w:tc>
          <w:tcPr>
            <w:tcW w:type="dxa" w:w="4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按需要查看采购订单预归属及其渠道分摊。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查看预归属对采购订单及月末货权的影响，辅助异常核对。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4. 数据与配置需求</w:t>
      </w:r>
    </w:p>
    <w:p>
      <w:pPr>
        <w:spacing w:before="0" w:after="120" w:line="269" w:lineRule="auto"/>
      </w:pPr>
      <w:r>
        <w:rPr>
          <w:rFonts w:ascii="Microsoft YaHei" w:hAnsi="Microsoft YaHei" w:eastAsia="Microsoft YaHei"/>
          <w:i w:val="0"/>
          <w:color w:val="1D2939"/>
          <w:sz w:val="21"/>
        </w:rPr>
        <w:t>系统应以“数据接入 + 可维护配置 + 规则版本”组织数据底座，避免将口径和手工调整固化在离线表格中。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000"/>
        <w:gridCol w:w="2550"/>
        <w:gridCol w:w="231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数据域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主要内容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权威来源/维护方式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系统用途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商品主数据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SKP/SKC/SKU、首版/各版 SKU、尺寸/颜色、季节、工艺、下单单位、供应商集合、MOQ、重量等。</w:t>
            </w:r>
          </w:p>
        </w:tc>
        <w:tc>
          <w:tcPr>
            <w:tcW w:type="dxa" w:w="25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商品主数据/PLM；商品中台负责职责内维护，PMC 补充计划映射。</w:t>
            </w:r>
          </w:p>
        </w:tc>
        <w:tc>
          <w:tcPr>
            <w:tcW w:type="dxa" w:w="23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商品标签、库存归集、采购与调拨计划。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渠道与 Listing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平台-店铺-站点、父/子 ASIN、标准 SKU、开卖日期、负责人、仓储/透明计划等。</w:t>
            </w:r>
          </w:p>
        </w:tc>
        <w:tc>
          <w:tcPr>
            <w:tcW w:type="dxa" w:w="25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领星 + 人工维护 + 商品数据系统。</w:t>
            </w:r>
          </w:p>
        </w:tc>
        <w:tc>
          <w:tcPr>
            <w:tcW w:type="dxa" w:w="23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销售预测、渠道标签、调拨计划。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销量与预测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日销量、异常标记、活动提报、季节指数、预测三线及审批状态。</w:t>
            </w:r>
          </w:p>
        </w:tc>
        <w:tc>
          <w:tcPr>
            <w:tcW w:type="dxa" w:w="25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领星 + 销售维护 + 系统规则。</w:t>
            </w:r>
          </w:p>
        </w:tc>
        <w:tc>
          <w:tcPr>
            <w:tcW w:type="dxa" w:w="23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最终日级需求、趋势与预测版本。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库存与在途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大仓/FBA/渠道仓在库、待入仓、采购在途、货件在途、预占库存。</w:t>
            </w:r>
          </w:p>
        </w:tc>
        <w:tc>
          <w:tcPr>
            <w:tcW w:type="dxa" w:w="25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领星、WMS/仓储、渠道后台。</w:t>
            </w:r>
          </w:p>
        </w:tc>
        <w:tc>
          <w:tcPr>
            <w:tcW w:type="dxa" w:w="23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缺口预算、接驳预演和货权流转。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计划参数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采购/仓储/物流时效、周期、节假日前置、安全水位、管道水位、物流约束。</w:t>
            </w:r>
          </w:p>
        </w:tc>
        <w:tc>
          <w:tcPr>
            <w:tcW w:type="dxa" w:w="25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PMC 维护；需权限与生效日期。</w:t>
            </w:r>
          </w:p>
        </w:tc>
        <w:tc>
          <w:tcPr>
            <w:tcW w:type="dxa" w:w="23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采购覆盖天数、调拨周度预演和物流建议。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采购/调拨/货权流水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预下单、PR、采购反馈、调拨计划/实发、归属分摊、月末关账。</w:t>
            </w:r>
          </w:p>
        </w:tc>
        <w:tc>
          <w:tcPr>
            <w:tcW w:type="dxa" w:w="25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系统生成，部门在权限内维护和确认。</w:t>
            </w:r>
          </w:p>
        </w:tc>
        <w:tc>
          <w:tcPr>
            <w:tcW w:type="dxa" w:w="23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流程闭环、审计、货权重算与月报。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5. 异常、审批与审计要求</w:t>
      </w:r>
    </w:p>
    <w:p>
      <w:pPr>
        <w:pStyle w:val="ListNumber"/>
        <w:spacing w:before="0" w:after="80" w:line="276" w:lineRule="auto"/>
      </w:pPr>
      <w:r>
        <w:rPr>
          <w:rFonts w:ascii="Microsoft YaHei" w:hAnsi="Microsoft YaHei" w:eastAsia="Microsoft YaHei"/>
          <w:color w:val="1D2939"/>
          <w:sz w:val="20"/>
        </w:rPr>
        <w:t>所有人工调整必须填写调整类型、原因、影响对象、有效期和附件/说明；系统保留调整前后值与计算版本。</w:t>
      </w:r>
    </w:p>
    <w:p>
      <w:pPr>
        <w:pStyle w:val="ListNumber"/>
        <w:spacing w:before="0" w:after="80" w:line="276" w:lineRule="auto"/>
      </w:pPr>
      <w:r>
        <w:rPr>
          <w:rFonts w:ascii="Microsoft YaHei" w:hAnsi="Microsoft YaHei" w:eastAsia="Microsoft YaHei"/>
          <w:color w:val="1D2939"/>
          <w:sz w:val="20"/>
        </w:rPr>
        <w:t>每次月度/季度商品贴标盘点均应保留首轮、人工修正及最终确认标签；销售只修正渠道标签，商品中台确认商品标签；最终确认前的标签不得进入本期正式预算结果。系统需明确采用的预测线和标签版本。</w:t>
      </w:r>
    </w:p>
    <w:p>
      <w:pPr>
        <w:pStyle w:val="ListNumber"/>
        <w:spacing w:before="0" w:after="80" w:line="276" w:lineRule="auto"/>
      </w:pPr>
      <w:r>
        <w:rPr>
          <w:rFonts w:ascii="Microsoft YaHei" w:hAnsi="Microsoft YaHei" w:eastAsia="Microsoft YaHei"/>
          <w:color w:val="1D2939"/>
          <w:sz w:val="20"/>
        </w:rPr>
        <w:t>当 MOQ、供应商产能、交期、库存可用量、物流重量/件数/倍数等约束不满足时，系统生成异常任务并指定销售、PMC、采购的处理责任。</w:t>
      </w:r>
    </w:p>
    <w:p>
      <w:pPr>
        <w:pStyle w:val="ListNumber"/>
        <w:spacing w:before="0" w:after="80" w:line="276" w:lineRule="auto"/>
      </w:pPr>
      <w:r>
        <w:rPr>
          <w:rFonts w:ascii="Microsoft YaHei" w:hAnsi="Microsoft YaHei" w:eastAsia="Microsoft YaHei"/>
          <w:color w:val="1D2939"/>
          <w:sz w:val="20"/>
        </w:rPr>
        <w:t>每次重算应生成计划版本，允许比较输入、规则、结果与 PR/调拨/货权差异；已月结货权需防止无审计的直接改写。</w:t>
      </w:r>
    </w:p>
    <w:p>
      <w:pPr>
        <w:pStyle w:val="ListNumber"/>
        <w:spacing w:before="0" w:after="80" w:line="276" w:lineRule="auto"/>
      </w:pPr>
      <w:r>
        <w:rPr>
          <w:rFonts w:ascii="Microsoft YaHei" w:hAnsi="Microsoft YaHei" w:eastAsia="Microsoft YaHei"/>
          <w:color w:val="1D2939"/>
          <w:sz w:val="20"/>
        </w:rPr>
        <w:t>采购缺口、采购预归属、调拨接驳预演、调拨缺口与物流建议均为系统预算结果；页面需要明确数据截点、规则版本和结果状态。</w:t>
      </w:r>
    </w:p>
    <w:p>
      <w:pPr>
        <w:pStyle w:val="Heading1"/>
        <w:keepNext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6. 已确认事项与后续配置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  <w:insideH w:val="single" w:sz="8" w:space="0" w:color="B8C7D9"/>
              <w:insideV w:val="single" w:sz="8" w:space="0" w:color="B8C7D9"/>
            </w:tcBorders>
            <w:vAlign w:val="center"/>
            <w:shd w:fill="FFF7D6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7A5A00"/>
                <w:sz w:val="21"/>
              </w:rPr>
              <w:t>已确认的货权关账机制</w:t>
            </w:r>
          </w:p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color w:val="1D2939"/>
                <w:sz w:val="20"/>
              </w:rPr>
              <w:t>系统按渠道缺口占比、采购订单预归属和调拨实际流转重算月末货权；PMC 作为中台负责最终核对、确认并关账。一个产品可对应多个销售渠道，因此货权必须按渠道分账、按流转追溯。</w:t>
            </w:r>
          </w:p>
        </w:tc>
      </w:tr>
    </w:tbl>
    <w:p>
      <w:pPr>
        <w:spacing w:after="40"/>
      </w:pP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color w:val="1D2939"/>
          <w:sz w:val="20"/>
        </w:rPr>
        <w:t>各渠道、站点、仓储类型的默认时效/安全水位/物流约束参数，以及参数变更的审批人。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color w:val="1D2939"/>
          <w:sz w:val="20"/>
        </w:rPr>
        <w:t>人工预测、活动预测、标签人工覆盖的审批人及超时处理规则。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color w:val="1D2939"/>
          <w:sz w:val="20"/>
        </w:rPr>
        <w:t>采购 PR 与现有采购/ERP 系统的对接方式、字段范围和状态回写节奏。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color w:val="1D2939"/>
          <w:sz w:val="20"/>
        </w:rPr>
        <w:t>调拨发货“计划数量、实发数量、到货数量”的权威来源及差异处理机制。</w:t>
      </w:r>
    </w:p>
    <w:p>
      <w:pPr>
        <w:pStyle w:val="Heading1"/>
        <w:keepNext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7. 交付验收口径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color w:val="1D2939"/>
          <w:sz w:val="20"/>
        </w:rPr>
        <w:t>系统可基于同一份数据截点和参数版本，重复计算并得到可追溯的标签、预测、采购/调拨缺口和货权结果。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color w:val="1D2939"/>
          <w:sz w:val="20"/>
        </w:rPr>
        <w:t>商品中台、销售、PMC、采购各自只能维护/确认其权限内的数据，但都可查看与其职责有关的结果、异常和版本差异。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color w:val="1D2939"/>
          <w:sz w:val="20"/>
        </w:rPr>
        <w:t>从任何一笔正式 PR、调拨建议或月末货权结果，均可反查到所采用的标签、预测、库存/在途、参数、人工覆盖和采购反馈。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037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Microsoft YaHei" w:hAnsi="Microsoft YaHei" w:eastAsia="Microsoft YaHei"/>
        <w:color w:val="667085"/>
        <w:sz w:val="17"/>
      </w:rPr>
      <w:t xml:space="preserve">内部需求梳理  ·  第 </w:t>
    </w:r>
    <w: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Microsoft YaHei" w:hAnsi="Microsoft YaHei" w:eastAsia="Microsoft YaHei"/>
        <w:color w:val="667085"/>
        <w:sz w:val="17"/>
      </w:rPr>
      <w:t>计划链条系统｜需求评审稿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