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DED242">
      <w:pPr>
        <w:spacing w:before="0" w:after="80" w:line="300" w:lineRule="auto"/>
      </w:pPr>
      <w:r>
        <w:rPr>
          <w:rFonts w:ascii="Calibri" w:hAnsi="Calibri" w:eastAsia="微软雅黑"/>
          <w:b/>
          <w:i w:val="0"/>
          <w:color w:val="1F4D78"/>
          <w:sz w:val="48"/>
        </w:rPr>
        <w:t>PMC 非新款首单采购计划</w:t>
      </w:r>
    </w:p>
    <w:p w14:paraId="3BF39D85">
      <w:pPr>
        <w:spacing w:before="0" w:after="280" w:line="300" w:lineRule="auto"/>
      </w:pPr>
      <w:r>
        <w:rPr>
          <w:rFonts w:ascii="Calibri" w:hAnsi="Calibri" w:eastAsia="微软雅黑"/>
          <w:b/>
          <w:i w:val="0"/>
          <w:color w:val="2E74B5"/>
          <w:sz w:val="30"/>
        </w:rPr>
        <w:t>流程图与运算规则说明</w:t>
      </w:r>
    </w:p>
    <w:p w14:paraId="3AD2F11C">
      <w:pPr>
        <w:spacing w:before="0" w:after="280" w:line="300" w:lineRule="auto"/>
      </w:pPr>
      <w:r>
        <w:rPr>
          <w:rFonts w:ascii="Calibri" w:hAnsi="Calibri" w:eastAsia="微软雅黑"/>
          <w:b w:val="0"/>
          <w:i w:val="0"/>
          <w:color w:val="5B6670"/>
          <w:sz w:val="21"/>
        </w:rPr>
        <w:t>适用范围：已完成商品贴标、非新款首单、需要结合销售需求与供应商约束进行补货决策的成衣 SKU。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5DFDC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999CE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文档属性</w:t>
            </w:r>
          </w:p>
        </w:tc>
        <w:tc>
          <w:tcPr>
            <w:tcW w:w="6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09F26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说明</w:t>
            </w:r>
          </w:p>
        </w:tc>
      </w:tr>
      <w:tr w14:paraId="3A7C0B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B4EF5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9"/>
              </w:rPr>
              <w:t>目标读者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07DED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9"/>
              </w:rPr>
              <w:t>PMC、采购、运营、仓库、程序开发与测试人员</w:t>
            </w:r>
          </w:p>
        </w:tc>
      </w:tr>
      <w:tr w14:paraId="5E6AD8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10A30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9"/>
              </w:rPr>
              <w:t>核心输出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E6597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9"/>
              </w:rPr>
              <w:t>SKU 维度采购计划、MOQ 调整结果、异常原因与 PR 下单数据</w:t>
            </w:r>
          </w:p>
        </w:tc>
      </w:tr>
      <w:tr w14:paraId="47F874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44601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9"/>
              </w:rPr>
              <w:t>版本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E2FB6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9"/>
              </w:rPr>
              <w:t>V1.0（2026-08-31）</w:t>
            </w:r>
          </w:p>
        </w:tc>
      </w:tr>
      <w:tr w14:paraId="2BBCF5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9E9A8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9"/>
              </w:rPr>
              <w:t>不包含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EF284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9"/>
              </w:rPr>
              <w:t>新款开发、首单试单、面辅料及生产排程细节</w:t>
            </w:r>
          </w:p>
        </w:tc>
      </w:tr>
    </w:tbl>
    <w:p w14:paraId="717C342E">
      <w:pPr>
        <w:pStyle w:val="3"/>
      </w:pPr>
      <w:r>
        <w:t>一、主流程图</w:t>
      </w:r>
    </w:p>
    <w:p w14:paraId="51BBFB8E">
      <w:r>
        <w:drawing>
          <wp:inline distT="0" distB="0" distL="114300" distR="114300">
            <wp:extent cx="5943600" cy="3698240"/>
            <wp:effectExtent l="0" t="0" r="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BF25">
      <w:pPr>
        <w:spacing w:before="40" w:after="160" w:line="300" w:lineRule="auto"/>
        <w:jc w:val="center"/>
      </w:pPr>
      <w:r>
        <w:rPr>
          <w:rFonts w:ascii="Calibri" w:hAnsi="Calibri" w:eastAsia="微软雅黑"/>
          <w:b w:val="0"/>
          <w:i/>
          <w:color w:val="5B6670"/>
          <w:sz w:val="19"/>
        </w:rPr>
        <w:t>图 1  非新款首单 PMC 采购计划主流程</w:t>
      </w:r>
    </w:p>
    <w:p w14:paraId="18FF57E8">
      <w:pPr>
        <w:pStyle w:val="3"/>
      </w:pPr>
      <w:r>
        <w:t>二、业务边界与关键原则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46DBB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08B98">
            <w:pPr>
              <w:spacing w:after="0" w:line="288" w:lineRule="auto"/>
            </w:pPr>
            <w:r>
              <w:rPr>
                <w:rFonts w:ascii="Calibri" w:hAnsi="Calibri" w:eastAsia="微软雅黑"/>
                <w:b/>
                <w:color w:val="7A5A00"/>
                <w:sz w:val="21"/>
              </w:rPr>
              <w:t xml:space="preserve">适用边界  </w:t>
            </w:r>
            <w:r>
              <w:rPr>
                <w:rFonts w:ascii="Calibri" w:hAnsi="Calibri" w:eastAsia="微软雅黑"/>
                <w:color w:val="17212B"/>
                <w:sz w:val="21"/>
              </w:rPr>
              <w:t>本规则只处理非新款首单的补货/采购计划。系统必须在商品状态为“非新款首单”时才进入本流程；新款、首单或状态缺失的 SKU 应转人工复核，不得直接生成 PR。</w:t>
            </w:r>
          </w:p>
        </w:tc>
      </w:tr>
    </w:tbl>
    <w:p w14:paraId="314D6A3C">
      <w:pPr>
        <w:spacing w:after="20"/>
      </w:pPr>
    </w:p>
    <w:p w14:paraId="7E35AF2C">
      <w:p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7212B"/>
          <w:sz w:val="22"/>
        </w:rPr>
        <w:t>1. 最小计算粒度是 SKU，而不是 SPU。每个颜色、尺码或其他可销售变体分别计算需求、库存、在途和下单量。</w:t>
      </w:r>
    </w:p>
    <w:p w14:paraId="519AF987">
      <w:p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7212B"/>
          <w:sz w:val="22"/>
        </w:rPr>
        <w:t>2. 所有数量统一使用“件”作为基础单位；日期统一使用北京时间，供应商生产天数按自然日计算，除非供应商资料另有约定。</w:t>
      </w:r>
    </w:p>
    <w:p w14:paraId="4E11B49D">
      <w:p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7212B"/>
          <w:sz w:val="22"/>
        </w:rPr>
        <w:t>3. 系统运算给出建议值，人工可以修正预测和处理 MOQ 矛盾，但每次修正必须保留原因、操作者和时间。</w:t>
      </w:r>
    </w:p>
    <w:p w14:paraId="34E17CE3">
      <w:pPr>
        <w:pStyle w:val="3"/>
      </w:pPr>
      <w:r>
        <w:t>三、输入口径与字段定义</w:t>
      </w:r>
    </w:p>
    <w:p w14:paraId="2EF82252">
      <w:pPr>
        <w:pStyle w:val="4"/>
      </w:pPr>
      <w:r>
        <w:t>3.1 需求来源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300"/>
        <w:gridCol w:w="4260"/>
      </w:tblGrid>
      <w:tr w14:paraId="3DACF6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5A818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需求类型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3C4A2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渠道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29E22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系统处理建议</w:t>
            </w:r>
          </w:p>
        </w:tc>
      </w:tr>
      <w:tr w14:paraId="2179E4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568D1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有预测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99BE3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AMZ / 美客多 / 独立站 / 日本乐天 / 国内专款 / 国内同货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4ADDF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读取销售预测模型结果，可按人工修正后的最终需求进入计算</w:t>
            </w:r>
          </w:p>
        </w:tc>
      </w:tr>
      <w:tr w14:paraId="0505F3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06667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无预测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7C617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1688 / 阿里外贸 / TEMU / TK 直邮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F9778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采用人工提报、固定策略或基础销量规则形成需求；必须标记为无预测</w:t>
            </w:r>
          </w:p>
        </w:tc>
      </w:tr>
      <w:tr w14:paraId="55EF87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3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21D23">
            <w:pPr>
              <w:spacing w:after="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 xml:space="preserve">需求统一口径  </w:t>
            </w:r>
            <w:r>
              <w:rPr>
                <w:rFonts w:ascii="Calibri" w:hAnsi="Calibri" w:eastAsia="微软雅黑"/>
                <w:color w:val="17212B"/>
                <w:sz w:val="21"/>
              </w:rPr>
              <w:t>最终需求 = 系统预测需求 + 人工修正量（人工修正量可为正或负）。无预测渠道的需求由人工/策略直接形成，不得误标为 AI 预测。</w:t>
            </w:r>
          </w:p>
        </w:tc>
      </w:tr>
    </w:tbl>
    <w:p w14:paraId="0385CCD8">
      <w:pPr>
        <w:spacing w:after="20"/>
      </w:pPr>
    </w:p>
    <w:p w14:paraId="1D8BDF45">
      <w:pPr>
        <w:pStyle w:val="4"/>
      </w:pPr>
      <w:r>
        <w:t>3.2 库存口径（三仓）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900"/>
        <w:gridCol w:w="3660"/>
      </w:tblGrid>
      <w:tr w14:paraId="34E710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8CB0A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仓库</w:t>
            </w:r>
          </w:p>
        </w:tc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B339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库存字段组成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CC080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计算表达式</w:t>
            </w:r>
          </w:p>
        </w:tc>
      </w:tr>
      <w:tr w14:paraId="6DCAB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BEECC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南沙仓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A53A0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可用量、可用锁定量、FBA 申发差异量、良品量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F2772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南沙仓库存 = 可用量 +（可用锁定量 - FBA 申发差异量）+ 良品量</w:t>
            </w:r>
          </w:p>
        </w:tc>
      </w:tr>
      <w:tr w14:paraId="3B7E40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8F2E1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FBA 仓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D5B00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FBA 可售、待调仓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179F8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FBA 仓库库存 = FBA 在库 = FBA 可售 + 待调仓</w:t>
            </w:r>
          </w:p>
        </w:tc>
      </w:tr>
      <w:tr w14:paraId="48AB31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F3DC1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TEMU 仓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46653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仓内可用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FC1C2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TEMU 库存 = 仓内可用</w:t>
            </w:r>
          </w:p>
        </w:tc>
      </w:tr>
      <w:tr w14:paraId="06CBB8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3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5484F">
            <w:pPr>
              <w:spacing w:after="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 xml:space="preserve">库存合计  </w:t>
            </w:r>
            <w:r>
              <w:rPr>
                <w:rFonts w:ascii="Calibri" w:hAnsi="Calibri" w:eastAsia="微软雅黑"/>
                <w:color w:val="17212B"/>
                <w:sz w:val="21"/>
              </w:rPr>
              <w:t>可用于缺口计算的库存 = 南沙仓库存 + FBA 仓库库存 + TEMU 库存。接口接入时需保留仓库来源、更新时间和原始字段，便于追溯。</w:t>
            </w:r>
          </w:p>
        </w:tc>
      </w:tr>
    </w:tbl>
    <w:p w14:paraId="11986160">
      <w:pPr>
        <w:spacing w:after="20"/>
      </w:pPr>
    </w:p>
    <w:p w14:paraId="38B2B201">
      <w:pPr>
        <w:pStyle w:val="4"/>
      </w:pPr>
      <w:r>
        <w:t>3.3 在途口径（三部分）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900"/>
        <w:gridCol w:w="3660"/>
      </w:tblGrid>
      <w:tr w14:paraId="0F4E9C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C7F81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在途类别</w:t>
            </w:r>
          </w:p>
        </w:tc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8084F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字段组成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A5466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计算表达式</w:t>
            </w:r>
          </w:p>
        </w:tc>
      </w:tr>
      <w:tr w14:paraId="6BFD74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1EC16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采购在途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D0519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待到货量、次品量、待采购量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1B439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采购在途 = 待到货量 + 次品量 + 待采购量</w:t>
            </w:r>
          </w:p>
        </w:tc>
      </w:tr>
      <w:tr w14:paraId="0CEEB6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F0419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FBA 在途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2F750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标发在途、计划入库、入库中、FBA 货件新增 MSKU 发货量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04B5D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FBA 在途 = 标发在途 + 计划入库 + 入库中 + FBA 货件新增 MSKU 发货量</w:t>
            </w:r>
          </w:p>
        </w:tc>
      </w:tr>
      <w:tr w14:paraId="6871E7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08E5F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在途库存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37B51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仓内暂不可用、已发货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7F9A9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在途库存 = 仓内暂不可用 + 已发货</w:t>
            </w:r>
          </w:p>
        </w:tc>
      </w:tr>
      <w:tr w14:paraId="38945F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3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D61C7">
            <w:pPr>
              <w:spacing w:after="0" w:line="288" w:lineRule="auto"/>
            </w:pPr>
            <w:r>
              <w:rPr>
                <w:rFonts w:ascii="Calibri" w:hAnsi="Calibri" w:eastAsia="微软雅黑"/>
                <w:b/>
                <w:color w:val="7A5A00"/>
                <w:sz w:val="21"/>
              </w:rPr>
              <w:t xml:space="preserve">在途合计  </w:t>
            </w:r>
            <w:r>
              <w:rPr>
                <w:rFonts w:ascii="Calibri" w:hAnsi="Calibri" w:eastAsia="微软雅黑"/>
                <w:color w:val="17212B"/>
                <w:sz w:val="21"/>
              </w:rPr>
              <w:t>可抵扣需求的在途 = 采购在途 + FBA 在途 + 在途库存。不得把同一批货同时计入采购在途与 FBA 在途；接口需要提供业务单号或批次号用于去重。</w:t>
            </w:r>
          </w:p>
        </w:tc>
      </w:tr>
    </w:tbl>
    <w:p w14:paraId="73B3523F">
      <w:pPr>
        <w:spacing w:after="20"/>
      </w:pPr>
    </w:p>
    <w:p w14:paraId="6AC9F076">
      <w:pPr>
        <w:pStyle w:val="3"/>
      </w:pPr>
      <w:r>
        <w:t>四、核心运算逻辑</w:t>
      </w:r>
    </w:p>
    <w:p w14:paraId="4E3FD3E9">
      <w:pPr>
        <w:pStyle w:val="4"/>
      </w:pPr>
      <w:r>
        <w:t>4.1 缺口计算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E808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F2772">
            <w:pPr>
              <w:spacing w:after="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 xml:space="preserve">核心公式  </w:t>
            </w:r>
            <w:r>
              <w:rPr>
                <w:rFonts w:ascii="Calibri" w:hAnsi="Calibri" w:eastAsia="微软雅黑"/>
                <w:color w:val="17212B"/>
                <w:sz w:val="21"/>
              </w:rPr>
              <w:t>SKU 缺口 = 最终需求 - 可用库存 - 可抵扣在途。</w:t>
            </w:r>
            <w:r>
              <w:rPr>
                <w:rFonts w:ascii="Calibri" w:hAnsi="Calibri" w:eastAsia="微软雅黑"/>
                <w:color w:val="17212B"/>
                <w:sz w:val="21"/>
              </w:rPr>
              <w:br w:type="textWrapping"/>
            </w:r>
            <w:r>
              <w:rPr>
                <w:rFonts w:ascii="Calibri" w:hAnsi="Calibri" w:eastAsia="微软雅黑"/>
                <w:color w:val="17212B"/>
                <w:sz w:val="21"/>
              </w:rPr>
              <w:t>当缺口 &lt;= 0 时，系统默认建议下单量 = 0；当缺口 &gt; 0 时，进入 MOQ 约束计算。</w:t>
            </w:r>
          </w:p>
        </w:tc>
      </w:tr>
    </w:tbl>
    <w:p w14:paraId="54D6F8F4">
      <w:pPr>
        <w:spacing w:after="20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260"/>
        <w:gridCol w:w="3300"/>
      </w:tblGrid>
      <w:tr w14:paraId="18E554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45800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变量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A386B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定义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2E572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备注</w:t>
            </w:r>
          </w:p>
        </w:tc>
      </w:tr>
      <w:tr w14:paraId="010C1F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69D30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最终需求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25FB8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系统预测需求 + 人工修正量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78704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有预测与无预测均需形成最终需求</w:t>
            </w:r>
          </w:p>
        </w:tc>
      </w:tr>
      <w:tr w14:paraId="488B8D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0AD11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可用库存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97CB9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南沙仓 + FBA 仓 + TEMU 仓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A9E7A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按三仓口径先分别计算，再汇总</w:t>
            </w:r>
          </w:p>
        </w:tc>
      </w:tr>
      <w:tr w14:paraId="03884A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1E0F0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可抵扣在途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63CB2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采购在途 + FBA 在途 + 在途库存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6A5EC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按三类在途口径先分别计算，再汇总</w:t>
            </w:r>
          </w:p>
        </w:tc>
      </w:tr>
      <w:tr w14:paraId="232E77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C27FD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原始缺口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69EC6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最终需求 - 可用库存 - 可抵扣在途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B7F94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可为负数，负数表示库存/在途覆盖需求</w:t>
            </w:r>
          </w:p>
        </w:tc>
      </w:tr>
    </w:tbl>
    <w:p w14:paraId="59FAC025">
      <w:pPr>
        <w:pStyle w:val="4"/>
      </w:pPr>
      <w:r>
        <w:t>4.2 MOQ 约束与下单量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260"/>
        <w:gridCol w:w="3300"/>
      </w:tblGrid>
      <w:tr w14:paraId="4D2F98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15C9C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情形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F89F5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系统判定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B8F55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建议动作</w:t>
            </w:r>
          </w:p>
        </w:tc>
      </w:tr>
      <w:tr w14:paraId="030A80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C6533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缺口 &lt;= 0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F83B7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无需补货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29BC2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下单量 = 0；记录“不下单-库存/在途可覆盖”</w:t>
            </w:r>
          </w:p>
        </w:tc>
      </w:tr>
      <w:tr w14:paraId="55EE78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2BDD1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0 &lt; 缺口 &lt; MOQ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6B570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缺口不足一个 MOQ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46E20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默认向上取整至 MOQ；若超出资金/库存策略，转人工确认</w:t>
            </w:r>
          </w:p>
        </w:tc>
      </w:tr>
      <w:tr w14:paraId="3CBD0F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2F238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缺口 &gt;= MOQ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BA11A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按 MOQ 的整数倍取整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42125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下单量 = ceil(缺口 / MOQ) × MOQ</w:t>
            </w:r>
          </w:p>
        </w:tc>
      </w:tr>
      <w:tr w14:paraId="463E5E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661C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同供应商多 SKU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39DCB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供应商存在组 MOQ 或整单约束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4A259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先按 SKU 计算，再按供应商/款号组汇总校验；不足组 MOQ 的差额进入人工确认</w:t>
            </w:r>
          </w:p>
        </w:tc>
      </w:tr>
      <w:tr w14:paraId="72302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3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2752A">
            <w:pPr>
              <w:spacing w:after="0" w:line="288" w:lineRule="auto"/>
            </w:pPr>
            <w:r>
              <w:rPr>
                <w:rFonts w:ascii="Calibri" w:hAnsi="Calibri" w:eastAsia="微软雅黑"/>
                <w:b/>
                <w:color w:val="7A5A00"/>
                <w:sz w:val="21"/>
              </w:rPr>
              <w:t xml:space="preserve">推荐保留两列  </w:t>
            </w:r>
            <w:r>
              <w:rPr>
                <w:rFonts w:ascii="Calibri" w:hAnsi="Calibri" w:eastAsia="微软雅黑"/>
                <w:color w:val="17212B"/>
                <w:sz w:val="21"/>
              </w:rPr>
              <w:t>系统同时输出“原始缺口”和“MOQ 后建议下单量”，不能只输出最终值。这样可以解释差异、分析 MOQ 带来的额外备货，并支持采购人工调整。</w:t>
            </w:r>
          </w:p>
        </w:tc>
      </w:tr>
    </w:tbl>
    <w:p w14:paraId="2A784AB1">
      <w:pPr>
        <w:spacing w:after="20"/>
      </w:pPr>
    </w:p>
    <w:p w14:paraId="683C0391">
      <w:pPr>
        <w:pStyle w:val="4"/>
      </w:pPr>
      <w:r>
        <w:t>4.3 生产天数与下单时点</w:t>
      </w:r>
    </w:p>
    <w:p w14:paraId="148C0F5D">
      <w:p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7212B"/>
          <w:sz w:val="22"/>
        </w:rPr>
        <w:t>供应商生产天数用于判断采购是否来得及覆盖需求，不改变缺口本身。系统应根据需求覆盖日期或计划到货日期计算最晚下单日：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6B4F1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0E2CF">
            <w:pPr>
              <w:spacing w:after="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 xml:space="preserve">日期公式  </w:t>
            </w:r>
            <w:r>
              <w:rPr>
                <w:rFonts w:ascii="Calibri" w:hAnsi="Calibri" w:eastAsia="微软雅黑"/>
                <w:color w:val="17212B"/>
                <w:sz w:val="21"/>
              </w:rPr>
              <w:t>最晚下单日 = 目标到货日 - 供应商生产天数 - 运输/入仓缓冲天数。</w:t>
            </w:r>
            <w:r>
              <w:rPr>
                <w:rFonts w:ascii="Calibri" w:hAnsi="Calibri" w:eastAsia="微软雅黑"/>
                <w:color w:val="17212B"/>
                <w:sz w:val="21"/>
              </w:rPr>
              <w:br w:type="textWrapping"/>
            </w:r>
            <w:r>
              <w:rPr>
                <w:rFonts w:ascii="Calibri" w:hAnsi="Calibri" w:eastAsia="微软雅黑"/>
                <w:color w:val="17212B"/>
                <w:sz w:val="21"/>
              </w:rPr>
              <w:t>若当前日期 &gt; 最晚下单日，标记“交期风险”；若供应商生产天数缺失，标记“供应商资料异常”，不得静默按 0 天处理。</w:t>
            </w:r>
          </w:p>
        </w:tc>
      </w:tr>
    </w:tbl>
    <w:p w14:paraId="6D8A5CC8">
      <w:pPr>
        <w:spacing w:after="20"/>
      </w:pPr>
    </w:p>
    <w:p w14:paraId="6CA0852D">
      <w:pPr>
        <w:pStyle w:val="3"/>
      </w:pPr>
      <w:r>
        <w:t>五、主流程操作说明</w:t>
      </w:r>
    </w:p>
    <w:p w14:paraId="77BDC879">
      <w:pPr>
        <w:pStyle w:val="4"/>
      </w:pPr>
      <w:r>
        <w:t>01 商品贴标</w:t>
      </w:r>
    </w:p>
    <w:p w14:paraId="0C12B006">
      <w:pPr>
        <w:spacing w:before="0" w:after="100" w:line="300" w:lineRule="auto"/>
      </w:pPr>
      <w:r>
        <w:rPr>
          <w:rFonts w:ascii="Calibri" w:hAnsi="Calibri" w:eastAsia="微软雅黑"/>
          <w:b w:val="0"/>
          <w:i w:val="0"/>
          <w:color w:val="17212B"/>
          <w:sz w:val="22"/>
        </w:rPr>
        <w:t>每月或每季度独立执行一次盘点。为每个 SKU 维护渠道、SPU、SKU、商品状态、预测类型、供应商、MOQ、生产天数和仓库映射。盘点完成后冻结本期基础资料版本。</w:t>
      </w:r>
    </w:p>
    <w:p w14:paraId="1596F4B4">
      <w:pPr>
        <w:pStyle w:val="4"/>
      </w:pPr>
      <w:r>
        <w:t>02 销售预测（双轨）</w:t>
      </w:r>
    </w:p>
    <w:p w14:paraId="442390CE">
      <w:pPr>
        <w:spacing w:before="0" w:after="100" w:line="300" w:lineRule="auto"/>
      </w:pPr>
      <w:r>
        <w:rPr>
          <w:rFonts w:ascii="Calibri" w:hAnsi="Calibri" w:eastAsia="微软雅黑"/>
          <w:b w:val="0"/>
          <w:i w:val="0"/>
          <w:color w:val="17212B"/>
          <w:sz w:val="22"/>
        </w:rPr>
        <w:t>系统轨读取 AMZ、美客多、独立站、日本乐天、国内专款、国内同货等有预测渠道；无预测渠道读取 1688、阿里外贸、TEMU、TK 直邮的人工/策略提报。运营可修正系统预测，形成最终需求。</w:t>
      </w:r>
    </w:p>
    <w:p w14:paraId="50F96970">
      <w:pPr>
        <w:pStyle w:val="4"/>
      </w:pPr>
      <w:r>
        <w:t>03 PMC 计算缺口</w:t>
      </w:r>
    </w:p>
    <w:p w14:paraId="1BDF220B">
      <w:pPr>
        <w:spacing w:before="0" w:after="100" w:line="300" w:lineRule="auto"/>
      </w:pPr>
      <w:r>
        <w:rPr>
          <w:rFonts w:ascii="Calibri" w:hAnsi="Calibri" w:eastAsia="微软雅黑"/>
          <w:b w:val="0"/>
          <w:i w:val="0"/>
          <w:color w:val="17212B"/>
          <w:sz w:val="22"/>
        </w:rPr>
        <w:t>按 SKU 汇总最终需求、三仓库存、三类在途，生成原始缺口；同时保留每个组成字段，方便核对和差异分析。</w:t>
      </w:r>
    </w:p>
    <w:p w14:paraId="0DD998CB">
      <w:pPr>
        <w:pStyle w:val="4"/>
      </w:pPr>
      <w:r>
        <w:t>04 缺口与 MOQ 约束矛盾</w:t>
      </w:r>
    </w:p>
    <w:p w14:paraId="1DF68137">
      <w:pPr>
        <w:spacing w:before="0" w:after="100" w:line="300" w:lineRule="auto"/>
      </w:pPr>
      <w:r>
        <w:rPr>
          <w:rFonts w:ascii="Calibri" w:hAnsi="Calibri" w:eastAsia="微软雅黑"/>
          <w:b w:val="0"/>
          <w:i w:val="0"/>
          <w:color w:val="17212B"/>
          <w:sz w:val="22"/>
        </w:rPr>
        <w:t>系统先应用 MOQ 取整，再识别小缺口、组 MOQ、交期风险、库存上限等矛盾。对有风险的行要求人工确认，并填写处理意见。</w:t>
      </w:r>
    </w:p>
    <w:p w14:paraId="6068E461">
      <w:pPr>
        <w:pStyle w:val="4"/>
      </w:pPr>
      <w:r>
        <w:t>05 采购答复异常返回</w:t>
      </w:r>
    </w:p>
    <w:p w14:paraId="2520FD78">
      <w:pPr>
        <w:spacing w:before="0" w:after="100" w:line="300" w:lineRule="auto"/>
      </w:pPr>
      <w:r>
        <w:rPr>
          <w:rFonts w:ascii="Calibri" w:hAnsi="Calibri" w:eastAsia="微软雅黑"/>
          <w:b w:val="0"/>
          <w:i w:val="0"/>
          <w:color w:val="17212B"/>
          <w:sz w:val="22"/>
        </w:rPr>
        <w:t>采购反馈供应商不可接单、交期变化、MOQ 变化、拆单或替代供应商时，系统回写异常状态；重新计算受影响 SKU，并保留原建议、调整后建议和异常原因。</w:t>
      </w:r>
    </w:p>
    <w:p w14:paraId="506733C8">
      <w:pPr>
        <w:pStyle w:val="4"/>
      </w:pPr>
      <w:r>
        <w:t>06 下 PR 单</w:t>
      </w:r>
    </w:p>
    <w:p w14:paraId="03107D10">
      <w:pPr>
        <w:spacing w:before="0" w:after="100" w:line="300" w:lineRule="auto"/>
      </w:pPr>
      <w:r>
        <w:rPr>
          <w:rFonts w:ascii="Calibri" w:hAnsi="Calibri" w:eastAsia="微软雅黑"/>
          <w:b w:val="0"/>
          <w:i w:val="0"/>
          <w:color w:val="17212B"/>
          <w:sz w:val="22"/>
        </w:rPr>
        <w:t>仅对状态为“已确认/可下单”的 SKU 生成 PR。PR 明细至少包含供应商、SKU、计划下单量、MOQ、原始缺口、目标到货日、预计发货日、异常备注和审批状态。</w:t>
      </w:r>
    </w:p>
    <w:p w14:paraId="2B0EDBD8">
      <w:pPr>
        <w:pStyle w:val="3"/>
      </w:pPr>
      <w:r>
        <w:t>六、异常判定与人工确认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600"/>
        <w:gridCol w:w="2600"/>
        <w:gridCol w:w="2360"/>
      </w:tblGrid>
      <w:tr w14:paraId="507842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BD9ED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异常类型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43403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触发条件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4E71A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系统处理</w:t>
            </w:r>
          </w:p>
        </w:tc>
        <w:tc>
          <w:tcPr>
            <w:tcW w:w="2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F7348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人工必须填写</w:t>
            </w:r>
          </w:p>
        </w:tc>
      </w:tr>
      <w:tr w14:paraId="7B648D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93370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7"/>
              </w:rPr>
              <w:t>小缺口 MOQ 放大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37B36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7"/>
              </w:rPr>
              <w:t>0 &lt; 原始缺口 &lt; MOQ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9D938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7"/>
              </w:rPr>
              <w:t>按 MOQ 取整并标黄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B064C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7"/>
              </w:rPr>
              <w:t>是否接受额外备货、原因</w:t>
            </w:r>
          </w:p>
        </w:tc>
      </w:tr>
      <w:tr w14:paraId="4D0759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22C91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7"/>
              </w:rPr>
              <w:t>组 MOQ 不足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51809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7"/>
              </w:rPr>
              <w:t>多 SKU 汇总仍未满足供应商组 MOQ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0CC4C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7"/>
              </w:rPr>
              <w:t>生成差额提示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816B2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7"/>
              </w:rPr>
              <w:t>补足/延期/换供应商</w:t>
            </w:r>
          </w:p>
        </w:tc>
      </w:tr>
      <w:tr w14:paraId="70334E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8FE84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7"/>
              </w:rPr>
              <w:t>交期风险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9F91E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7"/>
              </w:rPr>
              <w:t>当前日期晚于最晚下单日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03CB2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7"/>
              </w:rPr>
              <w:t>标红并提高优先级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8028F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7"/>
              </w:rPr>
              <w:t>加急、拆单或调整目标到货日</w:t>
            </w:r>
          </w:p>
        </w:tc>
      </w:tr>
      <w:tr w14:paraId="12E9D6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8FACD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7"/>
              </w:rPr>
              <w:t>资料缺失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581AF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7"/>
              </w:rPr>
              <w:t>SKU、MOQ、生产天数、仓库字段缺失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3FD8A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7"/>
              </w:rPr>
              <w:t>阻断 PR 生成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1F8FC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7"/>
              </w:rPr>
              <w:t>补齐字段或确认例外</w:t>
            </w:r>
          </w:p>
        </w:tc>
      </w:tr>
      <w:tr w14:paraId="5C96C3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690CF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7"/>
              </w:rPr>
              <w:t>库存重复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63DC2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7"/>
              </w:rPr>
              <w:t>同一批次同时出现在多个在途字段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F6B05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7"/>
              </w:rPr>
              <w:t>按批次/单号去重并提示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42D07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7"/>
              </w:rPr>
              <w:t>确认保留的业务状态</w:t>
            </w:r>
          </w:p>
        </w:tc>
      </w:tr>
      <w:tr w14:paraId="0DF06D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C5507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7"/>
              </w:rPr>
              <w:t>采购退回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776D4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7"/>
              </w:rPr>
              <w:t>供应商拒单、数量或交期变化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5E729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7"/>
              </w:rPr>
              <w:t>回退至缺口/MOQ节点重算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EBD9D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7"/>
              </w:rPr>
              <w:t>采购答复、责任人、完成时间</w:t>
            </w:r>
          </w:p>
        </w:tc>
      </w:tr>
    </w:tbl>
    <w:p w14:paraId="73043423">
      <w:pPr>
        <w:pStyle w:val="3"/>
      </w:pPr>
      <w:r>
        <w:t>七、程序实现交接清单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260"/>
        <w:gridCol w:w="3300"/>
      </w:tblGrid>
      <w:tr w14:paraId="795354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7AFCA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模块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08C81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必须实现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2588A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验收标准</w:t>
            </w:r>
          </w:p>
        </w:tc>
      </w:tr>
      <w:tr w14:paraId="3C87FD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3932B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商品主数据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2BA0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SKU 状态、预测类型、供应商、MOQ、生产天数、渠道映射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7EF12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字段缺失可识别，非新款首单才进入计算</w:t>
            </w:r>
          </w:p>
        </w:tc>
      </w:tr>
      <w:tr w14:paraId="4615E6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7A548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数据导入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59497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库存/在途合并上传；预留领星、MES 接口字段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064F1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同一 SKU 可追溯来源和更新时间</w:t>
            </w:r>
          </w:p>
        </w:tc>
      </w:tr>
      <w:tr w14:paraId="60DB4E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7880B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预测引擎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63D59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系统预测与人工修正双轨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0796C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可查看原预测、修正量、最终需求</w:t>
            </w:r>
          </w:p>
        </w:tc>
      </w:tr>
      <w:tr w14:paraId="574B9F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EA592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缺口引擎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D3F84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按 SKU 计算并保留明细分解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48EBB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原始缺口与库存/在途组成可复核</w:t>
            </w:r>
          </w:p>
        </w:tc>
      </w:tr>
      <w:tr w14:paraId="0E283C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147FD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MOQ 引擎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64B9C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SKU MOQ、组 MOQ、取整规则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E5EDE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最终下单量可解释，支持人工覆盖</w:t>
            </w:r>
          </w:p>
        </w:tc>
      </w:tr>
      <w:tr w14:paraId="208EFA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ED891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异常闭环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5A511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采购答复、回退、重算、审计日志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E88ED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异常不丢失，重算前后值可比较</w:t>
            </w:r>
          </w:p>
        </w:tc>
      </w:tr>
      <w:tr w14:paraId="1FBFC5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4CEFA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PR 输出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4B148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按供应商/采购批次生成 PR 明细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A1DEA">
            <w:pPr>
              <w:spacing w:after="0" w:line="276" w:lineRule="auto"/>
            </w:pPr>
            <w:r>
              <w:rPr>
                <w:rFonts w:ascii="Calibri" w:hAnsi="Calibri" w:eastAsia="微软雅黑"/>
                <w:color w:val="17212B"/>
                <w:sz w:val="18"/>
              </w:rPr>
              <w:t>仅输出已确认行，SKU 粒度完整</w:t>
            </w:r>
          </w:p>
        </w:tc>
      </w:tr>
    </w:tbl>
    <w:p w14:paraId="0590D5F9">
      <w:pPr>
        <w:spacing w:after="20"/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C8B4CA">
    <w:pPr>
      <w:pStyle w:val="24"/>
      <w:jc w:val="right"/>
    </w:pPr>
    <w:r>
      <w:rPr>
        <w:rFonts w:ascii="Calibri" w:hAnsi="Calibri" w:eastAsia="微软雅黑"/>
        <w:color w:val="5B6670"/>
        <w:sz w:val="18"/>
      </w:rPr>
      <w:t>内部操作说明 | 版本 1.0 | 2026-08-31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3B40E7">
    <w:pPr>
      <w:pStyle w:val="25"/>
      <w:jc w:val="left"/>
    </w:pPr>
    <w:r>
      <w:rPr>
        <w:rFonts w:ascii="Calibri" w:hAnsi="Calibri" w:eastAsia="微软雅黑"/>
        <w:color w:val="5B6670"/>
        <w:sz w:val="18"/>
      </w:rPr>
      <w:t>PMC 计划系统 | 非新款首单采购规则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455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color w:val="17212B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276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 w:line="276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276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2311</Words>
  <Characters>2531</Characters>
  <Lines>0</Lines>
  <Paragraphs>0</Paragraphs>
  <TotalTime>3</TotalTime>
  <ScaleCrop>false</ScaleCrop>
  <LinksUpToDate>false</LinksUpToDate>
  <CharactersWithSpaces>2779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刘勇辉</cp:lastModifiedBy>
  <dcterms:modified xsi:type="dcterms:W3CDTF">2026-08-31T04:24:14Z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eyJoZGlkIjoiYWMzODFiYzFiODhiZTMwNDllY2MzMjBkMmYwYzU0NjAiLCJ1c2VySWQiOiIzNDYwODMzOTcifQ==</vt:lpwstr>
  </property>
  <property fmtid="{D5CDD505-2E9C-101B-9397-08002B2CF9AE}" pid="3" name="KSOProductBuildVer">
    <vt:lpwstr>2052-12.1.0.28043</vt:lpwstr>
  </property>
  <property fmtid="{D5CDD505-2E9C-101B-9397-08002B2CF9AE}" pid="4" name="ICV">
    <vt:lpwstr>11881D8A6F9B493AA4F046B12B83627F_12</vt:lpwstr>
  </property>
</Properties>
</file>