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一维单电池瞬态自冷启动模型</w:t>
      </w:r>
    </w:p>
    <w:p>
      <w:r>
        <w:rPr>
          <w:i/>
          <w:color w:val="5A6974"/>
        </w:rPr>
        <w:t>问题 1 建模文档  |  五层膜电极  |  附件 1 固定参数</w:t>
      </w:r>
    </w:p>
    <w:p>
      <w:r>
        <w:t>本模型沿膜电极厚度建立一维瞬态有限体积模型，在题目备注 1 的常温传热、传质和电压关系上加入液态水冻结与融化、冰占孔以及阴极反应面积衰减。用附件 2 的 −20℃ 工况标定未由附件 1 指定的少量等效参数，用 −25℃ 工况检验外推。输出为计算域平均温度、局部最大冰体积分数和单电池电压。</w:t>
      </w:r>
    </w:p>
    <w:p>
      <w:pPr>
        <w:pStyle w:val="Heading1"/>
      </w:pPr>
      <w:r>
        <w:t>1 题意与证据来源</w:t>
      </w:r>
    </w:p>
    <w:p>
      <w:r>
        <w:t>题目 PDF 第 2–3 页要求三相水分解、相变控制方程、冰占孔反馈和两组实验表；第 8–14 页备注 1 给出五层几何、气体及水守恒、热平衡和电压方程；第 15 页备注 2 给出耦合关系。附件 1 提供固定物性，附件 2 提供每组 184 个、0–36.6 s 的观测。随题提供的 Luo 与 Jiao 综述阐述了膜水吸收、催化层结冰和气体传输阻塞的耦合机理 [2]；Jiao 与 Li 的多相模型支持把相变、孔隙和反应耦合求解 [3]。</w:t>
      </w:r>
    </w:p>
    <w:p>
      <w:pPr>
        <w:pStyle w:val="Heading1"/>
      </w:pPr>
      <w:r>
        <w:t>2 空间区域与建模假设</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c>
          <w:tcPr>
            <w:tcW w:type="dxa" w:w="1905"/>
            <w:shd w:fill="E5EDF4"/>
            <w:vAlign w:val="center"/>
          </w:tcPr>
          <w:p>
            <w:pPr>
              <w:spacing w:after="0" w:line="240" w:lineRule="auto"/>
            </w:pPr>
            <w:r>
              <w:rPr>
                <w:b/>
                <w:sz w:val="16"/>
              </w:rPr>
              <w:t>功能层</w:t>
            </w:r>
          </w:p>
        </w:tc>
        <w:tc>
          <w:tcPr>
            <w:tcW w:type="dxa" w:w="1905"/>
            <w:shd w:fill="E5EDF4"/>
            <w:vAlign w:val="center"/>
          </w:tcPr>
          <w:p>
            <w:pPr>
              <w:spacing w:after="0" w:line="240" w:lineRule="auto"/>
            </w:pPr>
            <w:r>
              <w:rPr>
                <w:b/>
                <w:sz w:val="16"/>
              </w:rPr>
              <w:t>厚度/μm</w:t>
            </w:r>
          </w:p>
        </w:tc>
        <w:tc>
          <w:tcPr>
            <w:tcW w:type="dxa" w:w="1905"/>
            <w:shd w:fill="E5EDF4"/>
            <w:vAlign w:val="center"/>
          </w:tcPr>
          <w:p>
            <w:pPr>
              <w:spacing w:after="0" w:line="240" w:lineRule="auto"/>
            </w:pPr>
            <w:r>
              <w:rPr>
                <w:b/>
                <w:sz w:val="16"/>
              </w:rPr>
              <w:t>初始孔隙率</w:t>
            </w:r>
          </w:p>
        </w:tc>
        <w:tc>
          <w:tcPr>
            <w:tcW w:type="dxa" w:w="1905"/>
            <w:shd w:fill="E5EDF4"/>
            <w:vAlign w:val="center"/>
          </w:tcPr>
          <w:p>
            <w:pPr>
              <w:spacing w:after="0" w:line="240" w:lineRule="auto"/>
            </w:pPr>
            <w:r>
              <w:rPr>
                <w:b/>
                <w:sz w:val="16"/>
              </w:rPr>
              <w:t>基础热导率/W m⁻¹ K⁻¹</w:t>
            </w:r>
          </w:p>
        </w:tc>
        <w:tc>
          <w:tcPr>
            <w:tcW w:type="dxa" w:w="1905"/>
            <w:shd w:fill="E5EDF4"/>
            <w:vAlign w:val="center"/>
          </w:tcPr>
          <w:p>
            <w:pPr>
              <w:spacing w:after="0" w:line="240" w:lineRule="auto"/>
            </w:pPr>
            <w:r>
              <w:rPr>
                <w:b/>
                <w:sz w:val="16"/>
              </w:rPr>
              <w:t>基础体积热容/J m⁻³ K⁻¹</w:t>
            </w:r>
          </w:p>
        </w:tc>
      </w:tr>
      <w:tr>
        <w:tc>
          <w:tcPr>
            <w:tcW w:type="dxa" w:w="1905"/>
            <w:vAlign w:val="center"/>
          </w:tcPr>
          <w:p>
            <w:pPr>
              <w:spacing w:after="0" w:line="240" w:lineRule="auto"/>
            </w:pPr>
            <w:r>
              <w:rPr>
                <w:sz w:val="16"/>
              </w:rPr>
              <w:t>aGDL</w:t>
            </w:r>
          </w:p>
        </w:tc>
        <w:tc>
          <w:tcPr>
            <w:tcW w:type="dxa" w:w="1905"/>
            <w:vAlign w:val="center"/>
          </w:tcPr>
          <w:p>
            <w:pPr>
              <w:spacing w:after="0" w:line="240" w:lineRule="auto"/>
            </w:pPr>
            <w:r>
              <w:rPr>
                <w:sz w:val="16"/>
              </w:rPr>
              <w:t>150</w:t>
            </w:r>
          </w:p>
        </w:tc>
        <w:tc>
          <w:tcPr>
            <w:tcW w:type="dxa" w:w="1905"/>
            <w:vAlign w:val="center"/>
          </w:tcPr>
          <w:p>
            <w:pPr>
              <w:spacing w:after="0" w:line="240" w:lineRule="auto"/>
            </w:pPr>
            <w:r>
              <w:rPr>
                <w:sz w:val="16"/>
              </w:rPr>
              <w:t>0.8</w:t>
            </w:r>
          </w:p>
        </w:tc>
        <w:tc>
          <w:tcPr>
            <w:tcW w:type="dxa" w:w="1905"/>
            <w:vAlign w:val="center"/>
          </w:tcPr>
          <w:p>
            <w:pPr>
              <w:spacing w:after="0" w:line="240" w:lineRule="auto"/>
            </w:pPr>
            <w:r>
              <w:rPr>
                <w:sz w:val="16"/>
              </w:rPr>
              <w:t>0.30</w:t>
            </w:r>
          </w:p>
        </w:tc>
        <w:tc>
          <w:tcPr>
            <w:tcW w:type="dxa" w:w="1905"/>
            <w:vAlign w:val="center"/>
          </w:tcPr>
          <w:p>
            <w:pPr>
              <w:spacing w:after="0" w:line="240" w:lineRule="auto"/>
            </w:pPr>
            <w:r>
              <w:rPr>
                <w:sz w:val="16"/>
              </w:rPr>
              <w:t>185×545</w:t>
            </w:r>
          </w:p>
        </w:tc>
      </w:tr>
      <w:tr>
        <w:tc>
          <w:tcPr>
            <w:tcW w:type="dxa" w:w="1905"/>
            <w:vAlign w:val="center"/>
          </w:tcPr>
          <w:p>
            <w:pPr>
              <w:spacing w:after="0" w:line="240" w:lineRule="auto"/>
            </w:pPr>
            <w:r>
              <w:rPr>
                <w:sz w:val="16"/>
              </w:rPr>
              <w:t>aCL</w:t>
            </w:r>
          </w:p>
        </w:tc>
        <w:tc>
          <w:tcPr>
            <w:tcW w:type="dxa" w:w="1905"/>
            <w:vAlign w:val="center"/>
          </w:tcPr>
          <w:p>
            <w:pPr>
              <w:spacing w:after="0" w:line="240" w:lineRule="auto"/>
            </w:pPr>
            <w:r>
              <w:rPr>
                <w:sz w:val="16"/>
              </w:rPr>
              <w:t>3.4</w:t>
            </w:r>
          </w:p>
        </w:tc>
        <w:tc>
          <w:tcPr>
            <w:tcW w:type="dxa" w:w="1905"/>
            <w:vAlign w:val="center"/>
          </w:tcPr>
          <w:p>
            <w:pPr>
              <w:spacing w:after="0" w:line="240" w:lineRule="auto"/>
            </w:pPr>
            <w:r>
              <w:rPr>
                <w:sz w:val="16"/>
              </w:rPr>
              <w:t>0.3916</w:t>
            </w:r>
          </w:p>
        </w:tc>
        <w:tc>
          <w:tcPr>
            <w:tcW w:type="dxa" w:w="1905"/>
            <w:vAlign w:val="center"/>
          </w:tcPr>
          <w:p>
            <w:pPr>
              <w:spacing w:after="0" w:line="240" w:lineRule="auto"/>
            </w:pPr>
            <w:r>
              <w:rPr>
                <w:sz w:val="16"/>
              </w:rPr>
              <w:t>0.27</w:t>
            </w:r>
          </w:p>
        </w:tc>
        <w:tc>
          <w:tcPr>
            <w:tcW w:type="dxa" w:w="1905"/>
            <w:vAlign w:val="center"/>
          </w:tcPr>
          <w:p>
            <w:pPr>
              <w:spacing w:after="0" w:line="240" w:lineRule="auto"/>
            </w:pPr>
            <w:r>
              <w:rPr>
                <w:sz w:val="16"/>
              </w:rPr>
              <w:t>970×240</w:t>
            </w:r>
          </w:p>
        </w:tc>
      </w:tr>
      <w:tr>
        <w:tc>
          <w:tcPr>
            <w:tcW w:type="dxa" w:w="1905"/>
            <w:vAlign w:val="center"/>
          </w:tcPr>
          <w:p>
            <w:pPr>
              <w:spacing w:after="0" w:line="240" w:lineRule="auto"/>
            </w:pPr>
            <w:r>
              <w:rPr>
                <w:sz w:val="16"/>
              </w:rPr>
              <w:t>PEM</w:t>
            </w:r>
          </w:p>
        </w:tc>
        <w:tc>
          <w:tcPr>
            <w:tcW w:type="dxa" w:w="1905"/>
            <w:vAlign w:val="center"/>
          </w:tcPr>
          <w:p>
            <w:pPr>
              <w:spacing w:after="0" w:line="240" w:lineRule="auto"/>
            </w:pPr>
            <w:r>
              <w:rPr>
                <w:sz w:val="16"/>
              </w:rPr>
              <w:t>12</w:t>
            </w:r>
          </w:p>
        </w:tc>
        <w:tc>
          <w:tcPr>
            <w:tcW w:type="dxa" w:w="1905"/>
            <w:vAlign w:val="center"/>
          </w:tcPr>
          <w:p>
            <w:pPr>
              <w:spacing w:after="0" w:line="240" w:lineRule="auto"/>
            </w:pPr>
            <w:r>
              <w:rPr>
                <w:sz w:val="16"/>
              </w:rPr>
              <w:t>—</w:t>
            </w:r>
          </w:p>
        </w:tc>
        <w:tc>
          <w:tcPr>
            <w:tcW w:type="dxa" w:w="1905"/>
            <w:vAlign w:val="center"/>
          </w:tcPr>
          <w:p>
            <w:pPr>
              <w:spacing w:after="0" w:line="240" w:lineRule="auto"/>
            </w:pPr>
            <w:r>
              <w:rPr>
                <w:sz w:val="16"/>
              </w:rPr>
              <w:t>0.24</w:t>
            </w:r>
          </w:p>
        </w:tc>
        <w:tc>
          <w:tcPr>
            <w:tcW w:type="dxa" w:w="1905"/>
            <w:vAlign w:val="center"/>
          </w:tcPr>
          <w:p>
            <w:pPr>
              <w:spacing w:after="0" w:line="240" w:lineRule="auto"/>
            </w:pPr>
            <w:r>
              <w:rPr>
                <w:sz w:val="16"/>
              </w:rPr>
              <w:t>2150×1050</w:t>
            </w:r>
          </w:p>
        </w:tc>
      </w:tr>
      <w:tr>
        <w:tc>
          <w:tcPr>
            <w:tcW w:type="dxa" w:w="1905"/>
            <w:vAlign w:val="center"/>
          </w:tcPr>
          <w:p>
            <w:pPr>
              <w:spacing w:after="0" w:line="240" w:lineRule="auto"/>
            </w:pPr>
            <w:r>
              <w:rPr>
                <w:sz w:val="16"/>
              </w:rPr>
              <w:t>cCL</w:t>
            </w:r>
          </w:p>
        </w:tc>
        <w:tc>
          <w:tcPr>
            <w:tcW w:type="dxa" w:w="1905"/>
            <w:vAlign w:val="center"/>
          </w:tcPr>
          <w:p>
            <w:pPr>
              <w:spacing w:after="0" w:line="240" w:lineRule="auto"/>
            </w:pPr>
            <w:r>
              <w:rPr>
                <w:sz w:val="16"/>
              </w:rPr>
              <w:t>11.3</w:t>
            </w:r>
          </w:p>
        </w:tc>
        <w:tc>
          <w:tcPr>
            <w:tcW w:type="dxa" w:w="1905"/>
            <w:vAlign w:val="center"/>
          </w:tcPr>
          <w:p>
            <w:pPr>
              <w:spacing w:after="0" w:line="240" w:lineRule="auto"/>
            </w:pPr>
            <w:r>
              <w:rPr>
                <w:sz w:val="16"/>
              </w:rPr>
              <w:t>0.4207</w:t>
            </w:r>
          </w:p>
        </w:tc>
        <w:tc>
          <w:tcPr>
            <w:tcW w:type="dxa" w:w="1905"/>
            <w:vAlign w:val="center"/>
          </w:tcPr>
          <w:p>
            <w:pPr>
              <w:spacing w:after="0" w:line="240" w:lineRule="auto"/>
            </w:pPr>
            <w:r>
              <w:rPr>
                <w:sz w:val="16"/>
              </w:rPr>
              <w:t>0.27</w:t>
            </w:r>
          </w:p>
        </w:tc>
        <w:tc>
          <w:tcPr>
            <w:tcW w:type="dxa" w:w="1905"/>
            <w:vAlign w:val="center"/>
          </w:tcPr>
          <w:p>
            <w:pPr>
              <w:spacing w:after="0" w:line="240" w:lineRule="auto"/>
            </w:pPr>
            <w:r>
              <w:rPr>
                <w:sz w:val="16"/>
              </w:rPr>
              <w:t>970×240</w:t>
            </w:r>
          </w:p>
        </w:tc>
      </w:tr>
      <w:tr>
        <w:tc>
          <w:tcPr>
            <w:tcW w:type="dxa" w:w="1905"/>
            <w:vAlign w:val="center"/>
          </w:tcPr>
          <w:p>
            <w:pPr>
              <w:spacing w:after="0" w:line="240" w:lineRule="auto"/>
            </w:pPr>
            <w:r>
              <w:rPr>
                <w:sz w:val="16"/>
              </w:rPr>
              <w:t>cGDL</w:t>
            </w:r>
          </w:p>
        </w:tc>
        <w:tc>
          <w:tcPr>
            <w:tcW w:type="dxa" w:w="1905"/>
            <w:vAlign w:val="center"/>
          </w:tcPr>
          <w:p>
            <w:pPr>
              <w:spacing w:after="0" w:line="240" w:lineRule="auto"/>
            </w:pPr>
            <w:r>
              <w:rPr>
                <w:sz w:val="16"/>
              </w:rPr>
              <w:t>150</w:t>
            </w:r>
          </w:p>
        </w:tc>
        <w:tc>
          <w:tcPr>
            <w:tcW w:type="dxa" w:w="1905"/>
            <w:vAlign w:val="center"/>
          </w:tcPr>
          <w:p>
            <w:pPr>
              <w:spacing w:after="0" w:line="240" w:lineRule="auto"/>
            </w:pPr>
            <w:r>
              <w:rPr>
                <w:sz w:val="16"/>
              </w:rPr>
              <w:t>0.8</w:t>
            </w:r>
          </w:p>
        </w:tc>
        <w:tc>
          <w:tcPr>
            <w:tcW w:type="dxa" w:w="1905"/>
            <w:vAlign w:val="center"/>
          </w:tcPr>
          <w:p>
            <w:pPr>
              <w:spacing w:after="0" w:line="240" w:lineRule="auto"/>
            </w:pPr>
            <w:r>
              <w:rPr>
                <w:sz w:val="16"/>
              </w:rPr>
              <w:t>0.30</w:t>
            </w:r>
          </w:p>
        </w:tc>
        <w:tc>
          <w:tcPr>
            <w:tcW w:type="dxa" w:w="1905"/>
            <w:vAlign w:val="center"/>
          </w:tcPr>
          <w:p>
            <w:pPr>
              <w:spacing w:after="0" w:line="240" w:lineRule="auto"/>
            </w:pPr>
            <w:r>
              <w:rPr>
                <w:sz w:val="16"/>
              </w:rPr>
              <w:t>185×545</w:t>
            </w:r>
          </w:p>
        </w:tc>
      </w:tr>
    </w:tbl>
    <w:p/>
    <w:p>
      <w:r>
        <w:t>氢气从阳极外表面、干空气从阴极外表面进入；入口绝对压力均取附件 1 的 101325 Pa。外加电流密度为附件 2 的逐时输入，阴极与阳极催化层内反应按层厚均匀分配。气体浓度采用准稳态通量解，温度与孔隙水、冰则瞬态求解。膜含水量用一维平均状态近似，双极板的单位面积热容并入热方程；未显式离散微孔层、流道和端板。</w:t>
      </w:r>
    </w:p>
    <w:p>
      <w:pPr>
        <w:pStyle w:val="Heading1"/>
      </w:pPr>
      <w:r>
        <w:t>3 状态变量、三相水和冰占孔</w:t>
      </w:r>
    </w:p>
    <w:p>
      <w:pPr>
        <w:spacing w:before="60" w:after="140"/>
        <w:jc w:val="center"/>
      </w:pPr>
      <w:r>
        <w:rPr>
          <w:rFonts w:ascii="Cambria Math" w:hAnsi="Cambria Math"/>
          <w:sz w:val="20"/>
        </w:rPr>
        <w:t>mₚ = mᵥ + mₗ + mᵢ ;  εᵢ = mᵢ/ρᵢ ;  εg = ε₀ − εᵢ − mₗ/ρₗ</w:t>
      </w:r>
    </w:p>
    <w:p>
      <w:r>
        <w:t>mₚ、mᵥ、mₗ、mᵢ 均为单位控制体体积中的质量浓度（kg m⁻³）。局部冰体积分数 εᵢ 按题目式（9）定义，分母是整个控制体体积；孔隙冰饱和度 εᵢ/ε₀ 是另一指标，报告中不混用。取 ρᵢ=920、ρₗ=990 kg m⁻³。气体可通孔隙为 εg，非负下限仅用于数值稳定。</w:t>
      </w:r>
    </w:p>
    <w:p>
      <w:pPr>
        <w:spacing w:before="60" w:after="140"/>
        <w:jc w:val="center"/>
      </w:pPr>
      <w:r>
        <w:rPr>
          <w:rFonts w:ascii="Cambria Math" w:hAnsi="Cambria Math"/>
          <w:sz w:val="20"/>
        </w:rPr>
        <w:t>mₛₐₜ = (ε₀−εᵢ) Mᵥ pₛₐₜ(T)/(RT);  mᵥ=min(mₚ−mᵢ,mₛₐₜ);  mₗ=max(mₚ−mᵢ−mᵥ,0)</w:t>
      </w:r>
    </w:p>
    <w:p>
      <w:r>
        <w:t>饱和蒸气压按备注 1 式（28）的 Buck 分段关系，低于 0℃ 使用冰面分支；蒸气与液水作局部瞬时分相，不额外引入蒸发系数。</w:t>
      </w:r>
    </w:p>
    <w:p>
      <w:pPr>
        <w:pStyle w:val="Heading1"/>
      </w:pPr>
      <w:r>
        <w:t>4 水迁移、结冰与膜吸水</w:t>
      </w:r>
    </w:p>
    <w:p>
      <w:pPr>
        <w:spacing w:before="60" w:after="140"/>
        <w:jc w:val="center"/>
      </w:pPr>
      <w:r>
        <w:rPr>
          <w:rFonts w:ascii="Cambria Math" w:hAnsi="Cambria Math"/>
          <w:sz w:val="20"/>
        </w:rPr>
        <w:t>∂mₚ/∂t = −∂(Nᵥ+Nₗ)/∂x + Sᵥ − Sₘ;   ∂mᵢ/∂t = r𝒇 − rₘ</w:t>
      </w:r>
    </w:p>
    <w:p>
      <w:pPr>
        <w:spacing w:before="60" w:after="140"/>
        <w:jc w:val="center"/>
      </w:pPr>
      <w:r>
        <w:rPr>
          <w:rFonts w:ascii="Cambria Math" w:hAnsi="Cambria Math"/>
          <w:sz w:val="20"/>
        </w:rPr>
        <w:t>Nᵥ = −Dᵥ,ref(T/Tref)¹·⁷⁵ εg¹·⁵ ∂(mᵥ/εg)/∂x;   Nₗ = −Dₗ,eq ∂mₗ/∂x</w:t>
      </w:r>
    </w:p>
    <w:p>
      <w:pPr>
        <w:spacing w:before="60" w:after="140"/>
        <w:jc w:val="center"/>
      </w:pPr>
      <w:r>
        <w:rPr>
          <w:rFonts w:ascii="Cambria Math" w:hAnsi="Cambria Math"/>
          <w:sz w:val="20"/>
        </w:rPr>
        <w:t>r𝒇 = k𝒇 [(273.15−T)/20]₊ mₗ (1−εᵢ/ε₀)₊;   rₘ = kₘ [(T−273.15)/5]₊ mᵢ</w:t>
      </w:r>
    </w:p>
    <w:p>
      <w:r>
        <w:t>产水仅在 cCL，Sᵥ=jMᵥ/(2FLcCL)。相变式表达了温度驱动、液水供应和有限孔容；冻结水仍计入总水，冻结潜热返回热方程。模型用膜水平均状态 λ 表示产水的一部分进入膜，λ 的初值严格取附件 1 的 3，膜密度和当量质量也按附件 1。膜吸水分配是未给定的等效闭合，在 −20℃ 工况标定；附件 1 的无量纲转化系数未被误当成有量纲冻结速率。</w:t>
      </w:r>
    </w:p>
    <w:p>
      <w:pPr>
        <w:pStyle w:val="Heading1"/>
      </w:pPr>
      <w:r>
        <w:t>5 气体守恒和电压闭合</w:t>
      </w:r>
    </w:p>
    <w:p>
      <w:pPr>
        <w:spacing w:before="60" w:after="140"/>
        <w:jc w:val="center"/>
      </w:pPr>
      <w:r>
        <w:rPr>
          <w:rFonts w:ascii="Cambria Math" w:hAnsi="Cambria Math"/>
          <w:sz w:val="20"/>
        </w:rPr>
        <w:t>Dₖ,eff = Dₖ,ref (T/298.15)¹·⁷⁵ εg¹·⁵ ;  Sᴴ₂=−j/(2FL aCL),  Sᴼ₂=−j/(4FL cCL)</w:t>
      </w:r>
    </w:p>
    <w:p>
      <w:pPr>
        <w:spacing w:before="60" w:after="140"/>
        <w:jc w:val="center"/>
      </w:pPr>
      <w:r>
        <w:rPr>
          <w:rFonts w:ascii="Cambria Math" w:hAnsi="Cambria Math"/>
          <w:sz w:val="20"/>
        </w:rPr>
        <w:t>aᵢ,eff/aᵢ,0 = (1−εᵢ/ε₀)³·⁵ ;  V=Erev−ηact−ηohm−ηcon</w:t>
      </w:r>
    </w:p>
    <w:p>
      <w:r>
        <w:t>阳极和阴极参考气体扩散系数分别为 1.10×10⁻⁴ 与 2.20×10⁻⁵ m² s⁻¹，孔隙指数 1.5 与备注 1 一致。阴极冰覆盖面积指数 3.5 严格取附件 1。可逆电压采用备注 1 式（38），活化损失采用式（39）和 Arrhenius 型交换电流密度，欧姆损失保留 Springer 膜电导率以及固定 0.01 Ω cm² 接触电阻，浓差损失采用阴极等效扩散阻力计算极限电流密度。水合状态还影响有效反应面积和附加界面阻抗；这两项仅作为附件 1 未规定的等效校准闭合，不替代固定接触电阻。</w:t>
      </w:r>
    </w:p>
    <w:p>
      <w:pPr>
        <w:pStyle w:val="Heading1"/>
      </w:pPr>
      <w:r>
        <w:t>6 能量方程及边界条件</w:t>
      </w:r>
    </w:p>
    <w:p>
      <w:pPr>
        <w:spacing w:before="60" w:after="140"/>
        <w:jc w:val="center"/>
      </w:pPr>
      <w:r>
        <w:rPr>
          <w:rFonts w:ascii="Cambria Math" w:hAnsi="Cambria Math"/>
          <w:sz w:val="20"/>
        </w:rPr>
        <w:t>Ceff ∂T/∂t = ∂[keff ∂T/∂x]/∂x + j(Eth−V)/L + L𝒇 ∂mᵢ/∂t</w:t>
      </w:r>
    </w:p>
    <w:p>
      <w:r>
        <w:t>Eth=1.48 V、冻结潜热 L𝒇=333600 J kg⁻¹；两侧均用 h=40 W m⁻² K⁻¹ 对流边界。基础层热容和导热率严格按附件 1，双极板热容 2×(0.002 m)×1980×766 J m⁻² K⁻¹ 按单位面积分摊到计算域，缩放系数固定为 1。初温取对应实验首个观测，初始孔隙液水与冰为零；膜初始含水量为 3。热传导在层界面以热阻串联，确保界面热流连续。</w:t>
      </w:r>
    </w:p>
    <w:p>
      <w:pPr>
        <w:pStyle w:val="Heading1"/>
      </w:pPr>
      <w:r>
        <w:t>7 参数锁定、校准与可辨识性</w:t>
      </w:r>
    </w:p>
    <w:p>
      <w:r>
        <w:t>附件 1 中用于本模型的几何、孔隙率、物性、膜初值、冰覆盖指数和边界换热值均固定。详细逐项原表见 result/附件1参数原表.csv，使用与来源见 result/参数使用与来源.csv。参考交换电流密度在备注 1 中明确标为“初始校准值”，可识别；产水膜吸收分配、水合活性指数与附加界面阻抗均非附件 1 的给定参数，只在 −20℃ 的电压及平均温度数据上作最小二乘校准。</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fill="E5EDF4"/>
            <w:vAlign w:val="center"/>
          </w:tcPr>
          <w:p>
            <w:pPr>
              <w:spacing w:after="0" w:line="240" w:lineRule="auto"/>
            </w:pPr>
            <w:r>
              <w:rPr>
                <w:b/>
                <w:sz w:val="16"/>
              </w:rPr>
              <w:t>校准量</w:t>
            </w:r>
          </w:p>
        </w:tc>
        <w:tc>
          <w:tcPr>
            <w:tcW w:type="dxa" w:w="3175"/>
            <w:shd w:fill="E5EDF4"/>
            <w:vAlign w:val="center"/>
          </w:tcPr>
          <w:p>
            <w:pPr>
              <w:spacing w:after="0" w:line="240" w:lineRule="auto"/>
            </w:pPr>
            <w:r>
              <w:rPr>
                <w:b/>
                <w:sz w:val="16"/>
              </w:rPr>
              <w:t>识别值</w:t>
            </w:r>
          </w:p>
        </w:tc>
        <w:tc>
          <w:tcPr>
            <w:tcW w:type="dxa" w:w="3175"/>
            <w:shd w:fill="E5EDF4"/>
            <w:vAlign w:val="center"/>
          </w:tcPr>
          <w:p>
            <w:pPr>
              <w:spacing w:after="0" w:line="240" w:lineRule="auto"/>
            </w:pPr>
            <w:r>
              <w:rPr>
                <w:b/>
                <w:sz w:val="16"/>
              </w:rPr>
              <w:t>角色</w:t>
            </w:r>
          </w:p>
        </w:tc>
      </w:tr>
      <w:tr>
        <w:tc>
          <w:tcPr>
            <w:tcW w:type="dxa" w:w="3175"/>
            <w:vAlign w:val="center"/>
          </w:tcPr>
          <w:p>
            <w:pPr>
              <w:spacing w:after="0" w:line="240" w:lineRule="auto"/>
            </w:pPr>
            <w:r>
              <w:rPr>
                <w:sz w:val="16"/>
              </w:rPr>
              <w:t>j₀,ref</w:t>
            </w:r>
          </w:p>
        </w:tc>
        <w:tc>
          <w:tcPr>
            <w:tcW w:type="dxa" w:w="3175"/>
            <w:vAlign w:val="center"/>
          </w:tcPr>
          <w:p>
            <w:pPr>
              <w:spacing w:after="0" w:line="240" w:lineRule="auto"/>
            </w:pPr>
            <w:r>
              <w:rPr>
                <w:sz w:val="16"/>
              </w:rPr>
              <w:t>0.258451 A m⁻²</w:t>
            </w:r>
          </w:p>
        </w:tc>
        <w:tc>
          <w:tcPr>
            <w:tcW w:type="dxa" w:w="3175"/>
            <w:vAlign w:val="center"/>
          </w:tcPr>
          <w:p>
            <w:pPr>
              <w:spacing w:after="0" w:line="240" w:lineRule="auto"/>
            </w:pPr>
            <w:r>
              <w:rPr>
                <w:sz w:val="16"/>
              </w:rPr>
              <w:t>交换动力学，备注1允许校准</w:t>
            </w:r>
          </w:p>
        </w:tc>
      </w:tr>
      <w:tr>
        <w:tc>
          <w:tcPr>
            <w:tcW w:type="dxa" w:w="3175"/>
            <w:vAlign w:val="center"/>
          </w:tcPr>
          <w:p>
            <w:pPr>
              <w:spacing w:after="0" w:line="240" w:lineRule="auto"/>
            </w:pPr>
            <w:r>
              <w:rPr>
                <w:sz w:val="16"/>
              </w:rPr>
              <w:t>膜吸水分配</w:t>
            </w:r>
          </w:p>
        </w:tc>
        <w:tc>
          <w:tcPr>
            <w:tcW w:type="dxa" w:w="3175"/>
            <w:vAlign w:val="center"/>
          </w:tcPr>
          <w:p>
            <w:pPr>
              <w:spacing w:after="0" w:line="240" w:lineRule="auto"/>
            </w:pPr>
            <w:r>
              <w:rPr>
                <w:sz w:val="16"/>
              </w:rPr>
              <w:t>0.770603</w:t>
            </w:r>
          </w:p>
        </w:tc>
        <w:tc>
          <w:tcPr>
            <w:tcW w:type="dxa" w:w="3175"/>
            <w:vAlign w:val="center"/>
          </w:tcPr>
          <w:p>
            <w:pPr>
              <w:spacing w:after="0" w:line="240" w:lineRule="auto"/>
            </w:pPr>
            <w:r>
              <w:rPr>
                <w:sz w:val="16"/>
              </w:rPr>
              <w:t>等效产水分流</w:t>
            </w:r>
          </w:p>
        </w:tc>
      </w:tr>
      <w:tr>
        <w:tc>
          <w:tcPr>
            <w:tcW w:type="dxa" w:w="3175"/>
            <w:vAlign w:val="center"/>
          </w:tcPr>
          <w:p>
            <w:pPr>
              <w:spacing w:after="0" w:line="240" w:lineRule="auto"/>
            </w:pPr>
            <w:r>
              <w:rPr>
                <w:sz w:val="16"/>
              </w:rPr>
              <w:t>水合活性指数</w:t>
            </w:r>
          </w:p>
        </w:tc>
        <w:tc>
          <w:tcPr>
            <w:tcW w:type="dxa" w:w="3175"/>
            <w:vAlign w:val="center"/>
          </w:tcPr>
          <w:p>
            <w:pPr>
              <w:spacing w:after="0" w:line="240" w:lineRule="auto"/>
            </w:pPr>
            <w:r>
              <w:rPr>
                <w:sz w:val="16"/>
              </w:rPr>
              <w:t>1.574356</w:t>
            </w:r>
          </w:p>
        </w:tc>
        <w:tc>
          <w:tcPr>
            <w:tcW w:type="dxa" w:w="3175"/>
            <w:vAlign w:val="center"/>
          </w:tcPr>
          <w:p>
            <w:pPr>
              <w:spacing w:after="0" w:line="240" w:lineRule="auto"/>
            </w:pPr>
            <w:r>
              <w:rPr>
                <w:sz w:val="16"/>
              </w:rPr>
              <w:t>水合对反应面积影响</w:t>
            </w:r>
          </w:p>
        </w:tc>
      </w:tr>
      <w:tr>
        <w:tc>
          <w:tcPr>
            <w:tcW w:type="dxa" w:w="3175"/>
            <w:vAlign w:val="center"/>
          </w:tcPr>
          <w:p>
            <w:pPr>
              <w:spacing w:after="0" w:line="240" w:lineRule="auto"/>
            </w:pPr>
            <w:r>
              <w:rPr>
                <w:sz w:val="16"/>
              </w:rPr>
              <w:t>附加界面阻抗</w:t>
            </w:r>
          </w:p>
        </w:tc>
        <w:tc>
          <w:tcPr>
            <w:tcW w:type="dxa" w:w="3175"/>
            <w:vAlign w:val="center"/>
          </w:tcPr>
          <w:p>
            <w:pPr>
              <w:spacing w:after="0" w:line="240" w:lineRule="auto"/>
            </w:pPr>
            <w:r>
              <w:rPr>
                <w:sz w:val="16"/>
              </w:rPr>
              <w:t>0.000165911 Ω m²</w:t>
            </w:r>
          </w:p>
        </w:tc>
        <w:tc>
          <w:tcPr>
            <w:tcW w:type="dxa" w:w="3175"/>
            <w:vAlign w:val="center"/>
          </w:tcPr>
          <w:p>
            <w:pPr>
              <w:spacing w:after="0" w:line="240" w:lineRule="auto"/>
            </w:pPr>
            <w:r>
              <w:rPr>
                <w:sz w:val="16"/>
              </w:rPr>
              <w:t>水合相关附加阻抗</w:t>
            </w:r>
          </w:p>
        </w:tc>
      </w:tr>
    </w:tbl>
    <w:p/>
    <w:p>
      <w:r>
        <w:t>−20℃ 校准目标把电压残差除以 0.020 V、温度残差除以 0.30℃ 后合并，并采用稳健 soft-L1 损失。−25℃ 的任何观测都不进入目标函数。冻结和等效液水迁移速率没有独立实测支撑，作为模型假设作敏感性分析，冰量数值不应解释为已被独立验证。</w:t>
      </w:r>
    </w:p>
    <w:p>
      <w:pPr>
        <w:pStyle w:val="Heading1"/>
      </w:pPr>
      <w:r>
        <w:t>8 数值算法与输出定义</w:t>
      </w:r>
    </w:p>
    <w:p>
      <w:r>
        <w:t>五层按 8/3/4/5/8 个控制体划分，校准后采用每层三倍细分共 84 格。时步最大 0.05 s；每步先按输入电流计算产水和膜吸收，再以守恒隐式三对角线系统更新蒸气与液水，局部冻结/融化更新冰，最后以隐式热传导更新温度与电压。输出平均温度为 Σ(TᵢΔxᵢ)/ΣΔxᵢ；最大冰体积分数为 maxᵢ(mᵢ/ρᵢ)。在各测量时刻输出曲线，在 0、5、…、35 s 填表。</w:t>
      </w:r>
    </w:p>
    <w:p>
      <w:r>
        <w:t>水量核对：累计产水 = 孔隙留存 + 膜吸收 + 边界逸出；热量核对：电化学热 + 相变潜热 = 环境散热 + 热储存。检查非负气体浓度、孔隙占用小于 1、84/112 格差异与 0.05/0.025 s 时步差异。</w:t>
      </w:r>
    </w:p>
    <w:p>
      <w:pPr>
        <w:pStyle w:val="Heading1"/>
      </w:pPr>
      <w:r>
        <w:t>9 适用范围与局限</w:t>
      </w:r>
    </w:p>
    <w:p>
      <w:r>
        <w:t>模型为单位面积一维简化模型，气体准稳态、膜水平均化，未完整解析毛细压、液水渗透率、膜内扩散和微孔层。附件 1 的接触角、渗透率和膜水转化系数由于缺少相应闭合方程未直接代入等效扩散式，未用的参数在来源表中区分。实验只到 36.6 s，平均温度始终低于 0℃，因此只能验证这一短时温升和电压预测，不能声称已验证解冻或成功启动。附件 2 电流/电流密度与 25 cm² 活化面积不一致；本模型以附件 2 已提供的电流密度作为单位面积输入，固定活化面积 25 cm² 不作反推。</w:t>
      </w:r>
    </w:p>
    <w:p>
      <w:pPr>
        <w:pStyle w:val="Heading1"/>
      </w:pPr>
      <w:r>
        <w:t>参考文献</w:t>
      </w:r>
    </w:p>
    <w:p>
      <w:r>
        <w:t>[1] 2026 年中国研究生数学建模竞赛 B 题《氢燃料电池低温冷启动建模与控制策略研究》，备注 1、附件 1–2。</w:t>
      </w:r>
    </w:p>
    <w:p>
      <w:r>
        <w:t>[2] Luo Y, Jiao K. Cold start of proton exchange membrane fuel cell. Progress in Energy and Combustion Science, 2018, 64:29–61. DOI: 10.1016/j.pecs.2017.10.003。随题参考文献/main.pdf。</w:t>
      </w:r>
    </w:p>
    <w:p>
      <w:r>
        <w:t>[3] Jiao K, Li X. Three-dimensional multiphase modeling of cold start processes in polymer electrolyte membrane fuel cells. Electrochimica Acta, 2009, 54:6876–6891. DOI: 10.1016/j.electacta.2009.06.072。</w:t>
      </w:r>
    </w:p>
    <w:p>
      <w:r>
        <w:t>[4] Springer T E, Zawodzinski T A, Gottesfeld S. Polymer Electrolyte Fuel Cell Model. Journal of The Electrochemical Society, 1991, 138:2334–2342. DOI: 10.1149/1.2085971。</w:t>
      </w:r>
    </w:p>
    <w:sectPr w:rsidR="00FC693F" w:rsidRPr="0006063C" w:rsidSect="00034616">
      <w:pgSz w:w="11906" w:h="16838"/>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Microsoft YaHei" w:hAnsi="Microsoft YaHei" w:eastAsia="Microsoft YaHei"/>
      <w:color w:val="1D2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14161"/>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1416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Microsoft YaHei" w:hAnsi="Microsoft YaHei" w:eastAsia="Microsoft YaHei"/>
      <w:b/>
      <w:color w:val="122B4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