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Chuẩn Quản Lý Tài Chính Doanh Nghiệp</w:t>
      </w:r>
    </w:p>
    <w:p>
      <w:r>
        <w:t>Tài liệu hướng dẫn quy trình kiểm soát chi tiêu và ngân sách.</w:t>
      </w:r>
    </w:p>
    <w:p>
      <w:r>
        <w:rPr>
          <w:b/>
        </w:rPr>
        <w:t xml:space="preserve">1. Nguyên tắc lập ngân sách: </w:t>
      </w:r>
      <w:r>
        <w:t>Tất cả phòng ban phải đăng ký kế hoạch trước ngày 15 hàng tháng.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Phòng Ban</w:t>
            </w:r>
          </w:p>
        </w:tc>
        <w:tc>
          <w:tcPr>
            <w:tcW w:type="dxa" w:w="2880"/>
          </w:tcPr>
          <w:p>
            <w:r>
              <w:t>Hạn Mức (Triệu VNĐ)</w:t>
            </w:r>
          </w:p>
        </w:tc>
        <w:tc>
          <w:tcPr>
            <w:tcW w:type="dxa" w:w="2880"/>
          </w:tcPr>
          <w:p>
            <w:r>
              <w:t>Người Phê Duyệt</w:t>
            </w:r>
          </w:p>
        </w:tc>
      </w:tr>
      <w:tr>
        <w:tc>
          <w:tcPr>
            <w:tcW w:type="dxa" w:w="2880"/>
          </w:tcPr>
          <w:p>
            <w:r>
              <w:t>Công nghệ thông tin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CTO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CMO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