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6E9E7">
      <w:pPr>
        <w:ind w:firstLine="0" w:firstLineChars="0"/>
        <w:rPr>
          <w:rFonts w:hint="eastAsia" w:asciiTheme="majorEastAsia" w:hAnsiTheme="majorEastAsia" w:eastAsiaTheme="majorEastAsia"/>
          <w:b/>
          <w:color w:val="000000" w:themeColor="text1"/>
          <w:spacing w:val="-70"/>
          <w:sz w:val="72"/>
          <w:szCs w:val="72"/>
          <w14:textFill>
            <w14:solidFill>
              <w14:schemeClr w14:val="tx1"/>
            </w14:solidFill>
          </w14:textFill>
        </w:rPr>
      </w:pPr>
    </w:p>
    <w:p w14:paraId="0F9821DB">
      <w:pPr>
        <w:ind w:firstLine="0" w:firstLineChars="0"/>
        <w:rPr>
          <w:rFonts w:hint="eastAsia" w:asciiTheme="majorEastAsia" w:hAnsiTheme="majorEastAsia" w:eastAsiaTheme="majorEastAsia"/>
        </w:rPr>
      </w:pPr>
    </w:p>
    <w:p w14:paraId="5A57875A">
      <w:pPr>
        <w:ind w:firstLine="0" w:firstLineChars="0"/>
        <w:rPr>
          <w:rFonts w:hint="eastAsia" w:asciiTheme="majorEastAsia" w:hAnsiTheme="majorEastAsia" w:eastAsiaTheme="majorEastAsia"/>
        </w:rPr>
      </w:pPr>
    </w:p>
    <w:p w14:paraId="15E1020C">
      <w:pPr>
        <w:ind w:firstLine="0" w:firstLineChars="0"/>
        <w:rPr>
          <w:rFonts w:hint="eastAsia" w:asciiTheme="majorEastAsia" w:hAnsiTheme="majorEastAsia" w:eastAsiaTheme="majorEastAsia"/>
        </w:rPr>
      </w:pPr>
    </w:p>
    <w:p w14:paraId="4D85B7DD">
      <w:pPr>
        <w:ind w:firstLine="0" w:firstLineChars="0"/>
        <w:rPr>
          <w:rFonts w:hint="eastAsia" w:asciiTheme="majorEastAsia" w:hAnsiTheme="majorEastAsia" w:eastAsiaTheme="majorEastAsia"/>
        </w:rPr>
      </w:pPr>
    </w:p>
    <w:p w14:paraId="4BA8B08C">
      <w:pPr>
        <w:ind w:left="0" w:leftChars="0" w:firstLine="0" w:firstLineChars="0"/>
        <w:jc w:val="center"/>
        <w:rPr>
          <w:rFonts w:hint="eastAsia" w:asciiTheme="majorEastAsia" w:hAnsiTheme="majorEastAsia" w:eastAsiaTheme="majorEastAsia"/>
          <w:lang w:eastAsia="zh-CN"/>
        </w:rPr>
      </w:pPr>
      <w:r>
        <w:drawing>
          <wp:inline distT="0" distB="0" distL="114300" distR="114300">
            <wp:extent cx="3695700" cy="1438275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D84D9">
      <w:pPr>
        <w:ind w:left="0" w:leftChars="0" w:firstLine="0" w:firstLineChars="0"/>
        <w:rPr>
          <w:rFonts w:hint="eastAsia" w:asciiTheme="majorEastAsia" w:hAnsiTheme="majorEastAsia" w:eastAsiaTheme="majorEastAsia"/>
        </w:rPr>
      </w:pPr>
    </w:p>
    <w:p w14:paraId="24643956">
      <w:pPr>
        <w:ind w:firstLine="0" w:firstLineChars="0"/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0F0C2B">
      <w:pPr>
        <w:ind w:firstLine="0" w:firstLineChars="0"/>
        <w:jc w:val="center"/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阳光优采平台</w:t>
      </w: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供应商入驻</w:t>
      </w: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操作</w:t>
      </w: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指南</w:t>
      </w:r>
    </w:p>
    <w:p w14:paraId="6BE84E24">
      <w:pPr>
        <w:ind w:firstLine="0" w:firstLineChars="0"/>
        <w:rPr>
          <w:rFonts w:hint="eastAsia" w:ascii="思源宋体 CN" w:hAnsi="思源宋体 CN" w:eastAsia="思源宋体 C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C5832C">
      <w:pPr>
        <w:ind w:firstLine="0" w:firstLineChars="0"/>
        <w:rPr>
          <w:rFonts w:hint="eastAsia" w:ascii="思源宋体 CN" w:hAnsi="思源宋体 CN" w:eastAsia="思源宋体 C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E6E952">
      <w:pPr>
        <w:ind w:firstLine="0" w:firstLineChars="0"/>
        <w:rPr>
          <w:rFonts w:hint="eastAsia" w:ascii="思源宋体 CN" w:hAnsi="思源宋体 CN" w:eastAsia="思源宋体 CN"/>
        </w:rPr>
      </w:pPr>
    </w:p>
    <w:sdt>
      <w:sdtPr>
        <w:rPr>
          <w:rFonts w:ascii="思源宋体 CN" w:hAnsi="思源宋体 CN" w:eastAsia="思源宋体 CN" w:cs="Times New Roman"/>
          <w:b w:val="0"/>
          <w:bCs w:val="0"/>
          <w:color w:val="auto"/>
          <w:kern w:val="2"/>
          <w:sz w:val="21"/>
          <w:szCs w:val="24"/>
          <w:lang w:val="zh-CN"/>
        </w:rPr>
        <w:id w:val="356158474"/>
        <w:docPartObj>
          <w:docPartGallery w:val="Table of Contents"/>
          <w:docPartUnique/>
        </w:docPartObj>
      </w:sdtPr>
      <w:sdtEndPr>
        <w:rPr>
          <w:rFonts w:ascii="思源宋体 CN" w:hAnsi="思源宋体 CN" w:eastAsia="思源宋体 CN" w:cs="Times New Roman"/>
          <w:b w:val="0"/>
          <w:bCs w:val="0"/>
          <w:color w:val="auto"/>
          <w:kern w:val="2"/>
          <w:sz w:val="21"/>
          <w:szCs w:val="24"/>
          <w:lang w:val="zh-CN"/>
        </w:rPr>
      </w:sdtEndPr>
      <w:sdtContent>
        <w:p w14:paraId="6B69426B">
          <w:pPr>
            <w:pStyle w:val="32"/>
            <w:pageBreakBefore/>
            <w:jc w:val="center"/>
            <w:rPr>
              <w:rFonts w:hint="eastAsia" w:ascii="思源宋体 CN" w:hAnsi="思源宋体 CN" w:eastAsia="思源宋体 CN"/>
              <w:color w:val="auto"/>
            </w:rPr>
          </w:pPr>
          <w:r>
            <w:rPr>
              <w:rFonts w:ascii="思源宋体 CN" w:hAnsi="思源宋体 CN" w:eastAsia="思源宋体 CN"/>
              <w:color w:val="auto"/>
              <w:lang w:val="zh-CN"/>
            </w:rPr>
            <w:t>目录</w:t>
          </w:r>
        </w:p>
        <w:p w14:paraId="2868AF9C">
          <w:pPr>
            <w:pStyle w:val="14"/>
            <w:tabs>
              <w:tab w:val="right" w:leader="dot" w:pos="8306"/>
            </w:tabs>
          </w:pPr>
          <w:r>
            <w:rPr>
              <w:rFonts w:ascii="思源宋体 CN" w:hAnsi="思源宋体 CN" w:eastAsia="思源宋体 CN"/>
            </w:rPr>
            <w:fldChar w:fldCharType="begin"/>
          </w:r>
          <w:r>
            <w:rPr>
              <w:rFonts w:ascii="思源宋体 CN" w:hAnsi="思源宋体 CN" w:eastAsia="思源宋体 CN"/>
            </w:rPr>
            <w:instrText xml:space="preserve"> TOC \o "1-3" \h \z \u </w:instrText>
          </w:r>
          <w:r>
            <w:rPr>
              <w:rFonts w:ascii="思源宋体 CN" w:hAnsi="思源宋体 CN" w:eastAsia="思源宋体 CN"/>
            </w:rPr>
            <w:fldChar w:fldCharType="separate"/>
          </w:r>
          <w:r>
            <w:rPr>
              <w:rFonts w:ascii="思源宋体 CN" w:hAnsi="思源宋体 CN" w:eastAsia="思源宋体 CN"/>
            </w:rPr>
            <w:fldChar w:fldCharType="begin"/>
          </w:r>
          <w:r>
            <w:rPr>
              <w:rFonts w:ascii="思源宋体 CN" w:hAnsi="思源宋体 CN" w:eastAsia="思源宋体 CN"/>
            </w:rPr>
            <w:instrText xml:space="preserve"> HYPERLINK \l _Toc19329 </w:instrText>
          </w:r>
          <w:r>
            <w:rPr>
              <w:rFonts w:ascii="思源宋体 CN" w:hAnsi="思源宋体 CN" w:eastAsia="思源宋体 CN"/>
            </w:rPr>
            <w:fldChar w:fldCharType="separate"/>
          </w:r>
          <w:r>
            <w:rPr>
              <w:rFonts w:hint="eastAsia"/>
              <w:lang w:val="en-US" w:eastAsia="zh-CN"/>
            </w:rPr>
            <w:t>一、 注册账号</w:t>
          </w:r>
          <w:r>
            <w:tab/>
          </w:r>
          <w:r>
            <w:fldChar w:fldCharType="begin"/>
          </w:r>
          <w:r>
            <w:instrText xml:space="preserve"> PAGEREF _Toc19329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思源宋体 CN" w:hAnsi="思源宋体 CN" w:eastAsia="思源宋体 CN"/>
            </w:rPr>
            <w:fldChar w:fldCharType="end"/>
          </w:r>
        </w:p>
        <w:p w14:paraId="2A6FAB8C">
          <w:pPr>
            <w:pStyle w:val="14"/>
            <w:tabs>
              <w:tab w:val="right" w:leader="dot" w:pos="8306"/>
            </w:tabs>
          </w:pPr>
          <w:r>
            <w:rPr>
              <w:rFonts w:ascii="思源宋体 CN" w:hAnsi="思源宋体 CN" w:eastAsia="思源宋体 CN"/>
              <w:bCs/>
              <w:lang w:val="zh-CN"/>
            </w:rPr>
            <w:fldChar w:fldCharType="begin"/>
          </w:r>
          <w:r>
            <w:rPr>
              <w:rFonts w:ascii="思源宋体 CN" w:hAnsi="思源宋体 CN" w:eastAsia="思源宋体 CN"/>
              <w:bCs/>
              <w:lang w:val="zh-CN"/>
            </w:rPr>
            <w:instrText xml:space="preserve"> HYPERLINK \l _Toc6001 </w:instrText>
          </w:r>
          <w:r>
            <w:rPr>
              <w:rFonts w:ascii="思源宋体 CN" w:hAnsi="思源宋体 CN" w:eastAsia="思源宋体 CN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二、 信息管理</w:t>
          </w:r>
          <w:r>
            <w:tab/>
          </w:r>
          <w:r>
            <w:fldChar w:fldCharType="begin"/>
          </w:r>
          <w:r>
            <w:instrText xml:space="preserve"> PAGEREF _Toc6001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思源宋体 CN" w:hAnsi="思源宋体 CN" w:eastAsia="思源宋体 CN"/>
              <w:bCs/>
              <w:lang w:val="zh-CN"/>
            </w:rPr>
            <w:fldChar w:fldCharType="end"/>
          </w:r>
        </w:p>
        <w:p w14:paraId="4B03E997">
          <w:pPr>
            <w:pStyle w:val="17"/>
            <w:tabs>
              <w:tab w:val="right" w:leader="dot" w:pos="8306"/>
            </w:tabs>
          </w:pPr>
          <w:r>
            <w:rPr>
              <w:rFonts w:ascii="思源宋体 CN" w:hAnsi="思源宋体 CN" w:eastAsia="思源宋体 CN"/>
              <w:bCs/>
              <w:lang w:val="zh-CN"/>
            </w:rPr>
            <w:fldChar w:fldCharType="begin"/>
          </w:r>
          <w:r>
            <w:rPr>
              <w:rFonts w:ascii="思源宋体 CN" w:hAnsi="思源宋体 CN" w:eastAsia="思源宋体 CN"/>
              <w:bCs/>
              <w:lang w:val="zh-CN"/>
            </w:rPr>
            <w:instrText xml:space="preserve"> HYPERLINK \l _Toc13653 </w:instrText>
          </w:r>
          <w:r>
            <w:rPr>
              <w:rFonts w:ascii="思源宋体 CN" w:hAnsi="思源宋体 CN" w:eastAsia="思源宋体 CN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2.1、 </w:t>
          </w:r>
          <w:r>
            <w:rPr>
              <w:rFonts w:hint="eastAsia"/>
              <w:lang w:val="en-US" w:eastAsia="zh-CN"/>
            </w:rPr>
            <w:t>基本信息</w:t>
          </w:r>
          <w:r>
            <w:tab/>
          </w:r>
          <w:r>
            <w:fldChar w:fldCharType="begin"/>
          </w:r>
          <w:r>
            <w:instrText xml:space="preserve"> PAGEREF _Toc13653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思源宋体 CN" w:hAnsi="思源宋体 CN" w:eastAsia="思源宋体 CN"/>
              <w:bCs/>
              <w:lang w:val="zh-CN"/>
            </w:rPr>
            <w:fldChar w:fldCharType="end"/>
          </w:r>
        </w:p>
        <w:p w14:paraId="60317C88">
          <w:pPr>
            <w:ind w:firstLine="0" w:firstLineChars="0"/>
            <w:rPr>
              <w:rFonts w:hint="eastAsia" w:cs="微软雅黑" w:asciiTheme="majorEastAsia" w:hAnsiTheme="majorEastAsia" w:eastAsiaTheme="majorEastAsia"/>
              <w:b/>
              <w:bCs/>
              <w:color w:val="000000"/>
              <w:kern w:val="0"/>
              <w:sz w:val="28"/>
              <w:szCs w:val="28"/>
            </w:rPr>
            <w:sectPr>
              <w:headerReference r:id="rId7" w:type="first"/>
              <w:footerReference r:id="rId10" w:type="first"/>
              <w:headerReference r:id="rId5" w:type="default"/>
              <w:footerReference r:id="rId8" w:type="default"/>
              <w:headerReference r:id="rId6" w:type="even"/>
              <w:footerReference r:id="rId9" w:type="even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ascii="思源宋体 CN" w:hAnsi="思源宋体 CN" w:eastAsia="思源宋体 CN"/>
              <w:bCs/>
              <w:lang w:val="zh-CN"/>
            </w:rPr>
            <w:fldChar w:fldCharType="end"/>
          </w:r>
          <w:bookmarkStart w:id="0" w:name="_Toc175924759"/>
        </w:p>
      </w:sdtContent>
    </w:sdt>
    <w:p w14:paraId="1705D71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80" w:lineRule="auto"/>
        <w:ind w:firstLine="0" w:firstLineChars="0"/>
        <w:jc w:val="both"/>
        <w:textAlignment w:val="auto"/>
        <w:outlineLvl w:val="0"/>
        <w:rPr>
          <w:rFonts w:hint="default" w:cs="微软雅黑" w:asciiTheme="majorEastAsia" w:hAnsiTheme="majorEastAsia" w:eastAsiaTheme="majorEastAsia"/>
          <w:b/>
          <w:bCs/>
          <w:color w:val="000000"/>
          <w:kern w:val="0"/>
          <w:sz w:val="28"/>
          <w:szCs w:val="28"/>
          <w:lang w:val="en-US" w:eastAsia="zh-CN"/>
        </w:rPr>
      </w:pPr>
    </w:p>
    <w:bookmarkEnd w:id="0"/>
    <w:p w14:paraId="23BC4CCC">
      <w:pPr>
        <w:pStyle w:val="2"/>
        <w:bidi w:val="0"/>
        <w:rPr>
          <w:rFonts w:hint="default"/>
          <w:lang w:val="en-US" w:eastAsia="zh-CN"/>
        </w:rPr>
      </w:pPr>
      <w:bookmarkStart w:id="1" w:name="_Toc19329"/>
      <w:r>
        <w:rPr>
          <w:rFonts w:hint="eastAsia"/>
          <w:lang w:val="en-US" w:eastAsia="zh-CN"/>
        </w:rPr>
        <w:t>注册账号</w:t>
      </w:r>
      <w:bookmarkEnd w:id="1"/>
    </w:p>
    <w:p w14:paraId="5DCA84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登录网址</w:t>
      </w:r>
      <w:r>
        <w:rPr>
          <w:rFonts w:hint="eastAsia" w:ascii="宋体" w:hAnsi="宋体" w:eastAsia="宋体" w:cs="宋体"/>
          <w:lang w:val="en-US" w:eastAsia="zh-CN"/>
        </w:rPr>
        <w:t>http://https://ec.cneptp.com/</w:t>
      </w:r>
      <w:r>
        <w:rPr>
          <w:rFonts w:hint="eastAsia"/>
          <w:lang w:val="en-US" w:eastAsia="zh-CN"/>
        </w:rPr>
        <w:t>进入阳光优采平台，看到右侧的【注册】按钮</w:t>
      </w:r>
    </w:p>
    <w:p w14:paraId="622CBDA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点击【注册】后，跳转注册页面（供应商可自主注册）</w:t>
      </w:r>
    </w:p>
    <w:p w14:paraId="4445986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3011805"/>
            <wp:effectExtent l="0" t="0" r="5715" b="7620"/>
            <wp:docPr id="14" name="图片 14" descr="e79f0fd1-b6db-48f2-a882-3cdc2c9ec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79f0fd1-b6db-48f2-a882-3cdc2c9ec82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DE1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2、查阅注册协议，点击【我已阅读】即可进行注册操作。</w:t>
      </w:r>
    </w:p>
    <w:p w14:paraId="2F4A23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524760"/>
            <wp:effectExtent l="0" t="0" r="1206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96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3、在注册页面，填写必填项。其中，手机验证码需要填写真实手机号，并进行手机验证码的填写验证。全部信息填完后，点击【立即注册】。</w:t>
      </w:r>
    </w:p>
    <w:p w14:paraId="001FDA2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3515" cy="2515870"/>
            <wp:effectExtent l="0" t="0" r="13335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50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注：登录名、单位名称不能与已注册用户重复。</w:t>
      </w:r>
    </w:p>
    <w:p w14:paraId="009FCF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4、注册完成后，系统弹窗提示“恭喜你，注册成功！”点击【前往登录】即可进入基本信息管理页面。</w:t>
      </w:r>
    </w:p>
    <w:p w14:paraId="06B106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5234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D6E5">
      <w:pPr>
        <w:pStyle w:val="2"/>
        <w:bidi w:val="0"/>
        <w:rPr>
          <w:rFonts w:hint="default"/>
          <w:lang w:val="en-US" w:eastAsia="zh-CN"/>
        </w:rPr>
      </w:pPr>
      <w:bookmarkStart w:id="2" w:name="_Toc6001"/>
      <w:r>
        <w:rPr>
          <w:rFonts w:hint="eastAsia"/>
          <w:lang w:val="en-US" w:eastAsia="zh-CN"/>
        </w:rPr>
        <w:t>信息管理</w:t>
      </w:r>
      <w:bookmarkEnd w:id="2"/>
    </w:p>
    <w:p w14:paraId="3248A101">
      <w:pPr>
        <w:pStyle w:val="3"/>
        <w:bidi w:val="0"/>
        <w:rPr>
          <w:rFonts w:hint="default"/>
          <w:lang w:val="en-US" w:eastAsia="zh-CN"/>
        </w:rPr>
      </w:pPr>
      <w:bookmarkStart w:id="3" w:name="_Toc13653"/>
      <w:r>
        <w:rPr>
          <w:rFonts w:hint="eastAsia"/>
          <w:lang w:val="en-US" w:eastAsia="zh-CN"/>
        </w:rPr>
        <w:t>基本信息</w:t>
      </w:r>
      <w:bookmarkEnd w:id="3"/>
    </w:p>
    <w:p w14:paraId="5F685CC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在</w:t>
      </w:r>
      <w:r>
        <w:rPr>
          <w:rFonts w:hint="eastAsia"/>
          <w:lang w:val="en-US" w:eastAsia="zh-CN"/>
        </w:rPr>
        <w:t>工作台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信息管理-基本信息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菜单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点击后可跳转供应商基本信息页面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第一次注册的供应商，需要将该基本信息内容进行完善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点击【修改信息】即可完善相关信息。</w:t>
      </w:r>
    </w:p>
    <w:p w14:paraId="72516EA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3515" cy="2515870"/>
            <wp:effectExtent l="0" t="0" r="13335" b="177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44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2、供应商需按实际情况完善信息，包括：基本信息、企业基础资质要求、品牌与资质要求、财务与信誉要求、运营与供应链能力要求。</w:t>
      </w:r>
    </w:p>
    <w:p w14:paraId="2BAFE5BC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01基本信息完善</w:t>
      </w:r>
    </w:p>
    <w:p w14:paraId="3A2DF1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311400"/>
            <wp:effectExtent l="0" t="0" r="0" b="1270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EFD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注：参与业务范围：勾选商城默认可操作非招业务，只勾选非招则只可操作非招业务</w:t>
      </w:r>
    </w:p>
    <w:p w14:paraId="40DC11E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02企业基础资质要求</w:t>
      </w:r>
    </w:p>
    <w:p w14:paraId="37B012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法人身份证</w:t>
      </w:r>
    </w:p>
    <w:p w14:paraId="4F4E79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具体标准：提供法定代表人身份证正反面彩色扫描件。身份证需在有效期内，且姓名须与营业执照记载的法定代表人姓名完全一致。</w:t>
      </w:r>
    </w:p>
    <w:p w14:paraId="5F6352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企业法人营业执照</w:t>
      </w:r>
    </w:p>
    <w:p w14:paraId="2D9FE8A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具体标准：提供清晰的《企业法人营业执照》彩色扫描件，需完成最新年度年报公示。公司名称、法定代表人、注册资本、住所、成立日期、营业期限、经营范围等登记信息与实际情况一致，无任何涂改痕迹。</w:t>
      </w:r>
    </w:p>
    <w:p w14:paraId="542D9E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《增值税一般纳税人资格证明》或近期开立的增值税专用发票样张</w:t>
      </w:r>
    </w:p>
    <w:p w14:paraId="26F58B8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具体标准：</w:t>
      </w:r>
      <w:r>
        <w:rPr>
          <w:rFonts w:hint="default"/>
          <w:lang w:val="en-US" w:eastAsia="zh-CN"/>
        </w:rPr>
        <w:t>提供由税务局核发的《增值税一般纳税人登记表》或能在税务局官网查询到一般纳税人资格的截图证明。</w:t>
      </w:r>
    </w:p>
    <w:p w14:paraId="605BD1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对于新成立企业，可提供近期开具的增值税专用发票票样。</w:t>
      </w:r>
    </w:p>
    <w:p w14:paraId="3740A60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923290"/>
            <wp:effectExtent l="0" t="0" r="11430" b="1016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04BF9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03品牌与资质要求</w:t>
      </w:r>
    </w:p>
    <w:p w14:paraId="2979E4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商标注册证</w:t>
      </w:r>
    </w:p>
    <w:p w14:paraId="053C48F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具体标准：提供《商标注册证》（R标）或《商标注册申请受理通知书》（TM标）。商标注册类别必须覆盖所申请销售的商品品类。</w:t>
      </w:r>
    </w:p>
    <w:p w14:paraId="21B1AA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各级《品牌授权书》及授权方营业执照</w:t>
      </w:r>
    </w:p>
    <w:p w14:paraId="4B67BE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标准：需提供品牌授权链上每一级的授权文件，直至追溯到商标权人。授权链路原则上不得超过三级。每一份授权书需清晰注明授权方、被授权方、授权品牌、授权商品范围、授权地域（需包含中国大陆）、授权有效期（需至少还有6个月</w:t>
      </w:r>
      <w:bookmarkStart w:id="5" w:name="_GoBack"/>
      <w:bookmarkEnd w:id="5"/>
      <w:r>
        <w:rPr>
          <w:rFonts w:hint="eastAsia"/>
          <w:lang w:val="en-US" w:eastAsia="zh-CN"/>
        </w:rPr>
        <w:t>）。授权书需加盖授权方公章，并提供授权方营业执照复印件。</w:t>
      </w:r>
    </w:p>
    <w:p w14:paraId="442423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《产品质量检测报告》、各类行业强制性认证证书</w:t>
      </w:r>
    </w:p>
    <w:p w14:paraId="6D2961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具体标准：供应商需能够提供具备CMA（中国计量认证）和CNAS（中国合格评定国家认可委员会） 资质的第三方检测机构出具的《产品质量检测报告》。</w:t>
      </w:r>
    </w:p>
    <w:p w14:paraId="7B0C32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需包含产品名称、型号、样品照片、检测标准、检测项目及结论，结论必须为“合格”或“符合要求”。根据产品品类，需满足特定认证（如：3C认证、食品生产许可证、医疗器械注册证、化妆品备案凭证、电器产品的能效标识等）。</w:t>
      </w:r>
    </w:p>
    <w:p w14:paraId="047E51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1005840"/>
            <wp:effectExtent l="0" t="0" r="2540" b="38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D86E9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04财务与信誉要求</w:t>
      </w:r>
    </w:p>
    <w:p w14:paraId="25C139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近一年审计报告/财务报表、银行资信证明</w:t>
      </w:r>
    </w:p>
    <w:p w14:paraId="1EA5150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具体标准：优先选择成立时间2年以上的企业。提供最近一年的年度审计报告或财务报表（资产负债表、利润表），显示企业处于盈利或收支平衡状态。可提供银行资信证明或企业征信报告作为辅助</w:t>
      </w:r>
    </w:p>
    <w:p w14:paraId="03438D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《供应商信用认证》证书 </w:t>
      </w:r>
    </w:p>
    <w:p w14:paraId="2BEC90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具体标准：供应商须同时满足以下所有条件：</w:t>
      </w:r>
    </w:p>
    <w:p w14:paraId="43F587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1、“信用中国”网站查询： 未被列入“失信被执行人”、“重大税收违法失信主体”。</w:t>
      </w:r>
    </w:p>
    <w:p w14:paraId="063604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2、“国家企业信用信息公示系统”查询：</w:t>
      </w:r>
    </w:p>
    <w:p w14:paraId="6DED64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未被列入“经营异常名录”（原因如：未按期公示年报、通过登记的住所无法联系等）。</w:t>
      </w:r>
    </w:p>
    <w:p w14:paraId="780702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3、未被列入“严重违法失信企业名单（黑名单）”。</w:t>
      </w:r>
    </w:p>
    <w:p w14:paraId="2C43A3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近三年内： 在经营活动中无重大违法违规记录（以行政机关行政处罚决定书或司法判决书为准）。</w:t>
      </w:r>
    </w:p>
    <w:p w14:paraId="01A794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4、近一年内： 无因自身原因导致的重大合同违约记录。</w:t>
      </w:r>
    </w:p>
    <w:p w14:paraId="06B6B1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核查方式：平台方将通过公开渠道进行交叉核查，并要求供应商提供书面承诺函。</w:t>
      </w:r>
    </w:p>
    <w:p w14:paraId="17735B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750570"/>
            <wp:effectExtent l="0" t="0" r="14605" b="1143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CB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3、将必填信息填完，点击【下一步】后，可将基本信息进行提交，点击【提交信息】，可提交至管理端进行审核。</w:t>
      </w:r>
    </w:p>
    <w:p w14:paraId="1971A0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4、待管理端审核通过后，供应商则可开展业务（如上架商品，进行订单业务等操作）；如未审核通过，无法开展业务。</w:t>
      </w:r>
      <w:bookmarkStart w:id="4" w:name="_Toc704996921_WPSOffice_Level2"/>
    </w:p>
    <w:p w14:paraId="36A0CDD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05运营与供应链能力要求</w:t>
      </w:r>
    </w:p>
    <w:p w14:paraId="5B7B2E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客服团队介绍、售后服务政策文档 </w:t>
      </w:r>
    </w:p>
    <w:p w14:paraId="1DD202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具体标准：仓储：提供仓库实地照片（内部环境、货架、商品堆放）、仓储面积说明。优先选择有仓储管理系统的仓库。</w:t>
      </w:r>
    </w:p>
    <w:p w14:paraId="184A44D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物流：承诺在订单支付成功后48小时内完成发货（有现货商品）。提供合作的物流供应商清单（如顺丰、京东物流、三通一达等），并承诺使用有良好口碑的物流服务。需支持物流信息跟踪。</w:t>
      </w:r>
    </w:p>
    <w:p w14:paraId="0FD0B8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仓库照片、与物流公司的合作协议或物流发货后台截图</w:t>
      </w:r>
    </w:p>
    <w:p w14:paraId="23B8D2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标准：建立专门的客服团队或指定客服专员，提供在线客服服务。承诺遵守平台七天无理由退货规则（定制类、鲜活易腐等特殊商品除外）。提供清晰的售后服务流程（退、换、修政策），并承诺在收到售后申请后24小时内响应。证明材料：客服团队介绍、售后服务政策文档。</w:t>
      </w:r>
    </w:p>
    <w:p w14:paraId="5821A2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791210"/>
            <wp:effectExtent l="0" t="0" r="8890" b="889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E8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3、所有信息填写完毕并确认无误后，点击【下一步】按钮，相关审批材料将自动提交至运营机构进行审核。</w:t>
      </w:r>
    </w:p>
    <w:p w14:paraId="7D9FA263">
      <w:pPr>
        <w:bidi w:val="0"/>
        <w:rPr>
          <w:rFonts w:hint="eastAsia" w:cs="宋体" w:asciiTheme="majorEastAsia" w:hAnsiTheme="majorEastAsia" w:eastAsiaTheme="majorEastAsia"/>
          <w:b w:val="0"/>
          <w:bCs w:val="0"/>
          <w:color w:val="000000"/>
          <w:kern w:val="0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3515" cy="2515870"/>
            <wp:effectExtent l="0" t="0" r="13335" b="1778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EBBE">
      <w:pPr>
        <w:widowControl/>
        <w:spacing w:line="375" w:lineRule="atLeast"/>
        <w:ind w:left="0" w:leftChars="0" w:firstLine="0" w:firstLineChars="0"/>
        <w:jc w:val="both"/>
        <w:rPr>
          <w:rFonts w:hint="eastAsia" w:cs="宋体" w:asciiTheme="majorEastAsia" w:hAnsiTheme="majorEastAsia" w:eastAsiaTheme="majorEastAsia"/>
          <w:b w:val="0"/>
          <w:bCs w:val="0"/>
          <w:color w:val="000000"/>
          <w:kern w:val="0"/>
          <w:sz w:val="24"/>
          <w:lang w:val="en-US" w:eastAsia="zh-CN"/>
        </w:rPr>
      </w:pPr>
    </w:p>
    <w:p w14:paraId="5A5532FE">
      <w:pPr>
        <w:widowControl/>
        <w:spacing w:line="375" w:lineRule="atLeast"/>
        <w:ind w:left="0" w:leftChars="0" w:firstLine="0" w:firstLineChars="0"/>
        <w:jc w:val="both"/>
        <w:rPr>
          <w:rFonts w:hint="default" w:cs="宋体" w:asciiTheme="majorEastAsia" w:hAnsiTheme="majorEastAsia" w:eastAsiaTheme="majorEastAsia"/>
          <w:b/>
          <w:bCs/>
          <w:color w:val="000000"/>
          <w:kern w:val="0"/>
          <w:sz w:val="24"/>
          <w:lang w:val="en-US" w:eastAsia="zh-CN"/>
        </w:rPr>
      </w:pPr>
    </w:p>
    <w:p w14:paraId="789382DF">
      <w:pPr>
        <w:widowControl/>
        <w:spacing w:line="375" w:lineRule="atLeast"/>
        <w:ind w:left="0" w:leftChars="0" w:firstLine="0" w:firstLineChars="0"/>
        <w:jc w:val="both"/>
        <w:rPr>
          <w:rFonts w:hint="default" w:cs="宋体" w:asciiTheme="majorEastAsia" w:hAnsiTheme="majorEastAsia" w:eastAsiaTheme="majorEastAsia"/>
          <w:color w:val="000000"/>
          <w:kern w:val="0"/>
          <w:sz w:val="24"/>
          <w:lang w:val="en-US" w:eastAsia="zh-CN"/>
        </w:rPr>
      </w:pPr>
    </w:p>
    <w:bookmarkEnd w:id="4"/>
    <w:sectPr>
      <w:footerReference r:id="rId11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宋体 CN">
    <w:panose1 w:val="02020400000000000000"/>
    <w:charset w:val="86"/>
    <w:family w:val="roman"/>
    <w:pitch w:val="default"/>
    <w:sig w:usb0="20000083" w:usb1="2ADF3C10" w:usb2="00000016" w:usb3="00000000" w:csb0="6006010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50ED1">
    <w:pPr>
      <w:pStyle w:val="1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4C30C">
    <w:pPr>
      <w:pStyle w:val="1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52F82">
    <w:pPr>
      <w:pStyle w:val="1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F05FC">
    <w:pPr>
      <w:pStyle w:val="12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899960">
                          <w:pPr>
                            <w:pStyle w:val="12"/>
                            <w:ind w:left="0" w:leftChars="0" w:firstLine="0" w:firstLineChars="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899960">
                    <w:pPr>
                      <w:pStyle w:val="12"/>
                      <w:ind w:left="0" w:leftChars="0" w:firstLine="0" w:firstLineChars="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93210">
    <w:pPr>
      <w:pStyle w:val="13"/>
      <w:keepNext w:val="0"/>
      <w:keepLines w:val="0"/>
      <w:pageBreakBefore w:val="0"/>
      <w:widowControl w:val="0"/>
      <w:pBdr>
        <w:bottom w:val="thickThinSmallGap" w:color="622423" w:sz="24" w:space="1"/>
      </w:pBdr>
      <w:kinsoku/>
      <w:wordWrap/>
      <w:overflowPunct/>
      <w:topLinePunct w:val="0"/>
      <w:bidi w:val="0"/>
      <w:adjustRightInd/>
      <w:snapToGrid w:val="0"/>
      <w:spacing w:line="240" w:lineRule="auto"/>
      <w:ind w:left="0" w:leftChars="0" w:firstLine="0" w:firstLineChars="0"/>
      <w:jc w:val="right"/>
      <w:textAlignment w:val="auto"/>
      <w:rPr>
        <w:rFonts w:hint="default" w:ascii="思源宋体 CN" w:hAnsi="思源宋体 CN" w:eastAsia="思源宋体 CN"/>
        <w:lang w:val="en-US" w:eastAsia="zh-CN"/>
      </w:rPr>
    </w:pPr>
    <w:r>
      <w:rPr>
        <w:rFonts w:hint="eastAsia" w:asciiTheme="majorEastAsia" w:hAnsiTheme="majorEastAsia" w:eastAsiaTheme="majorEastAsia"/>
        <w:lang w:val="en-US" w:eastAsia="zh-CN"/>
      </w:rPr>
      <w:drawing>
        <wp:inline distT="0" distB="0" distL="114300" distR="114300">
          <wp:extent cx="697865" cy="271780"/>
          <wp:effectExtent l="0" t="0" r="3175" b="254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7865" cy="27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Theme="majorEastAsia" w:hAnsiTheme="majorEastAsia" w:eastAsiaTheme="majorEastAsia"/>
        <w:lang w:val="en-US" w:eastAsia="zh-CN"/>
      </w:rPr>
      <w:t xml:space="preserve">                                                              </w:t>
    </w:r>
    <w:r>
      <w:rPr>
        <w:rFonts w:hint="eastAsia" w:ascii="思源宋体 CN" w:hAnsi="思源宋体 CN" w:eastAsia="思源宋体 CN"/>
        <w:lang w:val="en-US" w:eastAsia="zh-CN"/>
      </w:rPr>
      <w:t>供应商入驻操作手册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48B45"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12DDE">
    <w:pPr>
      <w:pStyle w:val="1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4C21CA"/>
    <w:multiLevelType w:val="multilevel"/>
    <w:tmpl w:val="5C4C21CA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425" w:firstLine="0"/>
      </w:pPr>
      <w:rPr>
        <w:rFonts w:hint="eastAsia"/>
        <w:lang w:val="en-US"/>
      </w:rPr>
    </w:lvl>
    <w:lvl w:ilvl="1" w:tentative="0">
      <w:start w:val="1"/>
      <w:numFmt w:val="decimal"/>
      <w:pStyle w:val="3"/>
      <w:isLgl/>
      <w:suff w:val="nothing"/>
      <w:lvlText w:val="%1.%2、"/>
      <w:lvlJc w:val="left"/>
      <w:pPr>
        <w:ind w:left="1559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isLgl/>
      <w:suff w:val="nothing"/>
      <w:lvlText w:val="%1.%2.%3、"/>
      <w:lvlJc w:val="left"/>
      <w:pPr>
        <w:ind w:left="1276" w:firstLine="0"/>
      </w:pPr>
      <w:rPr>
        <w:rFonts w:hint="default" w:ascii="思源宋体 CN" w:hAnsi="思源宋体 CN" w:eastAsia="思源宋体 C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suff w:val="nothing"/>
      <w:lvlText w:val="%1.%2.%3.%4、"/>
      <w:lvlJc w:val="left"/>
      <w:pPr>
        <w:ind w:left="425" w:firstLine="0"/>
      </w:pPr>
      <w:rPr>
        <w:rFonts w:hint="default" w:ascii="Times New Roman" w:hAnsi="Times New Roman" w:eastAsia="宋体" w:cs="Times New Roman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4" w:tentative="0">
      <w:start w:val="1"/>
      <w:numFmt w:val="decimal"/>
      <w:isLgl/>
      <w:suff w:val="nothing"/>
      <w:lvlText w:val="%1.%2.%3.%4.%5、"/>
      <w:lvlJc w:val="left"/>
      <w:pPr>
        <w:ind w:left="1417" w:hanging="992"/>
      </w:pPr>
      <w:rPr>
        <w:rFonts w:hint="eastAsia"/>
      </w:rPr>
    </w:lvl>
    <w:lvl w:ilvl="5" w:tentative="0">
      <w:start w:val="1"/>
      <w:numFmt w:val="decimal"/>
      <w:isLgl/>
      <w:suff w:val="nothing"/>
      <w:lvlText w:val="%1.%2.%3.%4.%5.%6、"/>
      <w:lvlJc w:val="left"/>
      <w:pPr>
        <w:ind w:left="1559" w:hanging="1134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2225"/>
        </w:tabs>
        <w:ind w:left="1701" w:hanging="127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2225"/>
        </w:tabs>
        <w:ind w:left="1843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2585"/>
        </w:tabs>
        <w:ind w:left="1984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24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1YmMzZGY1MmFhMWFkMGY5NjlmNTgxZmVhM2YxMTcifQ=="/>
  </w:docVars>
  <w:rsids>
    <w:rsidRoot w:val="006C7CCC"/>
    <w:rsid w:val="00010953"/>
    <w:rsid w:val="00031361"/>
    <w:rsid w:val="00060AD5"/>
    <w:rsid w:val="00084C94"/>
    <w:rsid w:val="000C1954"/>
    <w:rsid w:val="000F0CF1"/>
    <w:rsid w:val="000F2B37"/>
    <w:rsid w:val="00110073"/>
    <w:rsid w:val="00140809"/>
    <w:rsid w:val="00170C2B"/>
    <w:rsid w:val="001754AF"/>
    <w:rsid w:val="0018797F"/>
    <w:rsid w:val="001A25A4"/>
    <w:rsid w:val="001C1CF8"/>
    <w:rsid w:val="001C5609"/>
    <w:rsid w:val="001C56DA"/>
    <w:rsid w:val="001C6FBA"/>
    <w:rsid w:val="001E1018"/>
    <w:rsid w:val="001E24E3"/>
    <w:rsid w:val="002531BE"/>
    <w:rsid w:val="00265AA5"/>
    <w:rsid w:val="00272E4F"/>
    <w:rsid w:val="002A00E7"/>
    <w:rsid w:val="002A11A7"/>
    <w:rsid w:val="002A33D0"/>
    <w:rsid w:val="002C3641"/>
    <w:rsid w:val="00320EDF"/>
    <w:rsid w:val="00324F44"/>
    <w:rsid w:val="00345F82"/>
    <w:rsid w:val="00374214"/>
    <w:rsid w:val="003B2A16"/>
    <w:rsid w:val="003E27ED"/>
    <w:rsid w:val="004060BB"/>
    <w:rsid w:val="00416510"/>
    <w:rsid w:val="00434166"/>
    <w:rsid w:val="004348CD"/>
    <w:rsid w:val="004354CC"/>
    <w:rsid w:val="00436C19"/>
    <w:rsid w:val="00443F7D"/>
    <w:rsid w:val="00461888"/>
    <w:rsid w:val="00475AD6"/>
    <w:rsid w:val="00477B34"/>
    <w:rsid w:val="004A26EE"/>
    <w:rsid w:val="004B4B6B"/>
    <w:rsid w:val="004D23A7"/>
    <w:rsid w:val="004D65D7"/>
    <w:rsid w:val="00510223"/>
    <w:rsid w:val="00512339"/>
    <w:rsid w:val="005350C4"/>
    <w:rsid w:val="00577673"/>
    <w:rsid w:val="00594ECE"/>
    <w:rsid w:val="005A30AF"/>
    <w:rsid w:val="005A4565"/>
    <w:rsid w:val="005A49F0"/>
    <w:rsid w:val="005A4BAA"/>
    <w:rsid w:val="00612BA4"/>
    <w:rsid w:val="00624A99"/>
    <w:rsid w:val="00625ABB"/>
    <w:rsid w:val="00632788"/>
    <w:rsid w:val="0065010B"/>
    <w:rsid w:val="006823D6"/>
    <w:rsid w:val="00686F3C"/>
    <w:rsid w:val="006C7CCC"/>
    <w:rsid w:val="006E16D1"/>
    <w:rsid w:val="006F43AA"/>
    <w:rsid w:val="007041C2"/>
    <w:rsid w:val="00711D5C"/>
    <w:rsid w:val="007233F2"/>
    <w:rsid w:val="00770A6E"/>
    <w:rsid w:val="007771FB"/>
    <w:rsid w:val="00785A6E"/>
    <w:rsid w:val="00787519"/>
    <w:rsid w:val="007C7231"/>
    <w:rsid w:val="007D53E0"/>
    <w:rsid w:val="007E2E7F"/>
    <w:rsid w:val="00816A14"/>
    <w:rsid w:val="008227E7"/>
    <w:rsid w:val="00824C2B"/>
    <w:rsid w:val="008270AB"/>
    <w:rsid w:val="00847033"/>
    <w:rsid w:val="008A1667"/>
    <w:rsid w:val="008A3B7F"/>
    <w:rsid w:val="008A6570"/>
    <w:rsid w:val="008B2553"/>
    <w:rsid w:val="008B7C02"/>
    <w:rsid w:val="008C74CA"/>
    <w:rsid w:val="008F3B17"/>
    <w:rsid w:val="009368E0"/>
    <w:rsid w:val="009421A5"/>
    <w:rsid w:val="00971BF2"/>
    <w:rsid w:val="00974F32"/>
    <w:rsid w:val="009837B7"/>
    <w:rsid w:val="00987C61"/>
    <w:rsid w:val="00994FAC"/>
    <w:rsid w:val="009A7154"/>
    <w:rsid w:val="009A768B"/>
    <w:rsid w:val="009B6108"/>
    <w:rsid w:val="009C0F42"/>
    <w:rsid w:val="009C4BAF"/>
    <w:rsid w:val="009F41EC"/>
    <w:rsid w:val="00A012B9"/>
    <w:rsid w:val="00A271C4"/>
    <w:rsid w:val="00A5158B"/>
    <w:rsid w:val="00A63445"/>
    <w:rsid w:val="00A71283"/>
    <w:rsid w:val="00A932E9"/>
    <w:rsid w:val="00A96575"/>
    <w:rsid w:val="00AB6BC5"/>
    <w:rsid w:val="00AE1926"/>
    <w:rsid w:val="00AF080B"/>
    <w:rsid w:val="00AF53E3"/>
    <w:rsid w:val="00AF6A67"/>
    <w:rsid w:val="00B02A11"/>
    <w:rsid w:val="00B60EEE"/>
    <w:rsid w:val="00B76C6A"/>
    <w:rsid w:val="00B90320"/>
    <w:rsid w:val="00B97511"/>
    <w:rsid w:val="00BA6C80"/>
    <w:rsid w:val="00BB3B14"/>
    <w:rsid w:val="00BC1026"/>
    <w:rsid w:val="00BC6B35"/>
    <w:rsid w:val="00BD073C"/>
    <w:rsid w:val="00BE3520"/>
    <w:rsid w:val="00C01E05"/>
    <w:rsid w:val="00C11F19"/>
    <w:rsid w:val="00C241C5"/>
    <w:rsid w:val="00C33BFB"/>
    <w:rsid w:val="00C4153E"/>
    <w:rsid w:val="00C6473D"/>
    <w:rsid w:val="00C70FF2"/>
    <w:rsid w:val="00C80E5A"/>
    <w:rsid w:val="00CA3B1D"/>
    <w:rsid w:val="00CB07AB"/>
    <w:rsid w:val="00CB6B82"/>
    <w:rsid w:val="00CE44EE"/>
    <w:rsid w:val="00CE733E"/>
    <w:rsid w:val="00D06BFE"/>
    <w:rsid w:val="00D122BF"/>
    <w:rsid w:val="00D32735"/>
    <w:rsid w:val="00D57C4F"/>
    <w:rsid w:val="00D661B5"/>
    <w:rsid w:val="00D750B6"/>
    <w:rsid w:val="00DA2DB6"/>
    <w:rsid w:val="00DF6C1D"/>
    <w:rsid w:val="00E3181D"/>
    <w:rsid w:val="00E3256B"/>
    <w:rsid w:val="00E41C2C"/>
    <w:rsid w:val="00E456BB"/>
    <w:rsid w:val="00E56B40"/>
    <w:rsid w:val="00E6207B"/>
    <w:rsid w:val="00E81754"/>
    <w:rsid w:val="00EB36F4"/>
    <w:rsid w:val="00EC155F"/>
    <w:rsid w:val="00F33D18"/>
    <w:rsid w:val="00F54C8D"/>
    <w:rsid w:val="00F65F45"/>
    <w:rsid w:val="00F9356B"/>
    <w:rsid w:val="00F95CE7"/>
    <w:rsid w:val="00FB0238"/>
    <w:rsid w:val="00FC3F45"/>
    <w:rsid w:val="00FC4DA9"/>
    <w:rsid w:val="02CE466D"/>
    <w:rsid w:val="03994B54"/>
    <w:rsid w:val="09035FA8"/>
    <w:rsid w:val="0AD21295"/>
    <w:rsid w:val="0D722E56"/>
    <w:rsid w:val="0D9773A6"/>
    <w:rsid w:val="0F780904"/>
    <w:rsid w:val="10557CB6"/>
    <w:rsid w:val="11144DC1"/>
    <w:rsid w:val="118C0FA3"/>
    <w:rsid w:val="12AF47E5"/>
    <w:rsid w:val="14AC43F9"/>
    <w:rsid w:val="17BA2861"/>
    <w:rsid w:val="18B771DF"/>
    <w:rsid w:val="1A5C76DD"/>
    <w:rsid w:val="1C6963B1"/>
    <w:rsid w:val="217165C3"/>
    <w:rsid w:val="2173382E"/>
    <w:rsid w:val="222114DC"/>
    <w:rsid w:val="25061629"/>
    <w:rsid w:val="276161DF"/>
    <w:rsid w:val="2C4E2ECE"/>
    <w:rsid w:val="2CEA7B99"/>
    <w:rsid w:val="2EBA29B2"/>
    <w:rsid w:val="3142139F"/>
    <w:rsid w:val="348928E2"/>
    <w:rsid w:val="34D35880"/>
    <w:rsid w:val="3DAF79D7"/>
    <w:rsid w:val="42F20BAA"/>
    <w:rsid w:val="49DF11B1"/>
    <w:rsid w:val="49F320D8"/>
    <w:rsid w:val="4B9F0FFA"/>
    <w:rsid w:val="4FD00BF3"/>
    <w:rsid w:val="51D51818"/>
    <w:rsid w:val="53FE55F7"/>
    <w:rsid w:val="547F3CBD"/>
    <w:rsid w:val="56D179F6"/>
    <w:rsid w:val="5B501F0F"/>
    <w:rsid w:val="5F607940"/>
    <w:rsid w:val="601B2AEB"/>
    <w:rsid w:val="60480F5C"/>
    <w:rsid w:val="60B46052"/>
    <w:rsid w:val="63C1517D"/>
    <w:rsid w:val="70AD6ACE"/>
    <w:rsid w:val="71D457FD"/>
    <w:rsid w:val="729D160F"/>
    <w:rsid w:val="742D6E39"/>
    <w:rsid w:val="76AE185D"/>
    <w:rsid w:val="77C50110"/>
    <w:rsid w:val="79256621"/>
    <w:rsid w:val="7DE0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numPr>
        <w:ilvl w:val="0"/>
        <w:numId w:val="1"/>
      </w:numPr>
      <w:tabs>
        <w:tab w:val="left" w:pos="425"/>
      </w:tabs>
      <w:autoSpaceDE w:val="0"/>
      <w:autoSpaceDN w:val="0"/>
      <w:spacing w:before="120" w:after="120"/>
      <w:ind w:left="0" w:firstLineChars="0"/>
      <w:jc w:val="both"/>
      <w:outlineLvl w:val="0"/>
    </w:pPr>
    <w:rPr>
      <w:rFonts w:ascii="Times New Roman" w:hAnsi="Times New Roman" w:eastAsia="宋体"/>
      <w:b/>
      <w:bCs/>
      <w:kern w:val="44"/>
      <w:sz w:val="32"/>
      <w:szCs w:val="28"/>
    </w:rPr>
  </w:style>
  <w:style w:type="paragraph" w:styleId="3">
    <w:name w:val="heading 2"/>
    <w:basedOn w:val="1"/>
    <w:next w:val="1"/>
    <w:link w:val="24"/>
    <w:qFormat/>
    <w:uiPriority w:val="0"/>
    <w:pPr>
      <w:keepNext/>
      <w:keepLines/>
      <w:numPr>
        <w:ilvl w:val="1"/>
        <w:numId w:val="1"/>
      </w:numPr>
      <w:tabs>
        <w:tab w:val="left" w:pos="567"/>
      </w:tabs>
      <w:spacing w:before="120" w:after="120"/>
      <w:ind w:left="0" w:firstLineChars="0"/>
      <w:jc w:val="both"/>
      <w:outlineLvl w:val="1"/>
    </w:pPr>
    <w:rPr>
      <w:rFonts w:ascii="Times New Roman" w:hAnsi="Times New Roman" w:eastAsia="宋体"/>
      <w:b/>
      <w:bCs/>
      <w:sz w:val="30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numPr>
        <w:ilvl w:val="2"/>
        <w:numId w:val="1"/>
      </w:numPr>
      <w:tabs>
        <w:tab w:val="left" w:pos="567"/>
      </w:tabs>
      <w:spacing w:before="120" w:after="120"/>
      <w:ind w:firstLineChars="0"/>
      <w:jc w:val="both"/>
      <w:outlineLvl w:val="2"/>
    </w:pPr>
    <w:rPr>
      <w:b/>
      <w:bCs/>
      <w:sz w:val="28"/>
      <w:szCs w:val="18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spacing w:line="240" w:lineRule="auto"/>
      <w:ind w:left="2520" w:leftChars="12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7">
    <w:name w:val="annotation text"/>
    <w:basedOn w:val="1"/>
    <w:semiHidden/>
    <w:unhideWhenUsed/>
    <w:qFormat/>
    <w:uiPriority w:val="99"/>
    <w:pPr>
      <w:jc w:val="left"/>
    </w:pPr>
  </w:style>
  <w:style w:type="paragraph" w:styleId="8">
    <w:name w:val="toc 5"/>
    <w:basedOn w:val="1"/>
    <w:next w:val="1"/>
    <w:unhideWhenUsed/>
    <w:qFormat/>
    <w:uiPriority w:val="39"/>
    <w:pPr>
      <w:spacing w:line="240" w:lineRule="auto"/>
      <w:ind w:left="1680" w:leftChars="8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toc 8"/>
    <w:basedOn w:val="1"/>
    <w:next w:val="1"/>
    <w:unhideWhenUsed/>
    <w:qFormat/>
    <w:uiPriority w:val="39"/>
    <w:pPr>
      <w:spacing w:line="240" w:lineRule="auto"/>
      <w:ind w:left="2940" w:leftChars="14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1">
    <w:name w:val="Balloon Text"/>
    <w:basedOn w:val="1"/>
    <w:link w:val="2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spacing w:line="240" w:lineRule="auto"/>
      <w:ind w:left="1260" w:leftChars="6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6">
    <w:name w:val="toc 6"/>
    <w:basedOn w:val="1"/>
    <w:next w:val="1"/>
    <w:unhideWhenUsed/>
    <w:qFormat/>
    <w:uiPriority w:val="39"/>
    <w:pPr>
      <w:spacing w:line="240" w:lineRule="auto"/>
      <w:ind w:left="2100" w:leftChars="10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toc 9"/>
    <w:basedOn w:val="1"/>
    <w:next w:val="1"/>
    <w:unhideWhenUsed/>
    <w:qFormat/>
    <w:uiPriority w:val="39"/>
    <w:pPr>
      <w:spacing w:line="240" w:lineRule="auto"/>
      <w:ind w:left="3360" w:leftChars="16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9">
    <w:name w:val="Normal (Web)"/>
    <w:basedOn w:val="1"/>
    <w:qFormat/>
    <w:uiPriority w:val="99"/>
    <w:pPr>
      <w:spacing w:before="100" w:beforeAutospacing="1" w:after="100" w:afterAutospacing="1" w:line="240" w:lineRule="auto"/>
      <w:ind w:firstLine="0" w:firstLineChars="0"/>
    </w:pPr>
    <w:rPr>
      <w:rFonts w:ascii="Calibri" w:hAnsi="Calibri"/>
      <w:kern w:val="0"/>
      <w:sz w:val="24"/>
    </w:rPr>
  </w:style>
  <w:style w:type="character" w:styleId="22">
    <w:name w:val="Hyper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1 字符"/>
    <w:basedOn w:val="21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28"/>
    </w:rPr>
  </w:style>
  <w:style w:type="character" w:customStyle="1" w:styleId="24">
    <w:name w:val="标题 2 字符"/>
    <w:basedOn w:val="21"/>
    <w:link w:val="3"/>
    <w:qFormat/>
    <w:uiPriority w:val="0"/>
    <w:rPr>
      <w:rFonts w:ascii="Times New Roman" w:hAnsi="Times New Roman" w:eastAsia="宋体" w:cs="Times New Roman"/>
      <w:b/>
      <w:bCs/>
      <w:kern w:val="2"/>
      <w:sz w:val="30"/>
      <w:szCs w:val="32"/>
    </w:rPr>
  </w:style>
  <w:style w:type="character" w:customStyle="1" w:styleId="25">
    <w:name w:val="标题 3 字符"/>
    <w:basedOn w:val="21"/>
    <w:link w:val="4"/>
    <w:qFormat/>
    <w:uiPriority w:val="0"/>
    <w:rPr>
      <w:rFonts w:ascii="Times New Roman" w:hAnsi="Times New Roman" w:eastAsia="宋体" w:cs="Times New Roman"/>
      <w:b/>
      <w:bCs/>
      <w:kern w:val="2"/>
      <w:sz w:val="28"/>
      <w:szCs w:val="18"/>
    </w:rPr>
  </w:style>
  <w:style w:type="character" w:customStyle="1" w:styleId="26">
    <w:name w:val="批注框文本 字符"/>
    <w:basedOn w:val="21"/>
    <w:link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页脚 字符"/>
    <w:basedOn w:val="21"/>
    <w:link w:val="12"/>
    <w:qFormat/>
    <w:uiPriority w:val="99"/>
    <w:rPr>
      <w:sz w:val="18"/>
      <w:szCs w:val="18"/>
    </w:rPr>
  </w:style>
  <w:style w:type="character" w:customStyle="1" w:styleId="28">
    <w:name w:val="页眉 字符"/>
    <w:basedOn w:val="21"/>
    <w:link w:val="13"/>
    <w:qFormat/>
    <w:uiPriority w:val="99"/>
    <w:rPr>
      <w:sz w:val="18"/>
      <w:szCs w:val="18"/>
    </w:rPr>
  </w:style>
  <w:style w:type="paragraph" w:customStyle="1" w:styleId="29">
    <w:name w:val="1"/>
    <w:basedOn w:val="1"/>
    <w:link w:val="30"/>
    <w:qFormat/>
    <w:uiPriority w:val="0"/>
    <w:pPr>
      <w:ind w:firstLine="0" w:firstLineChars="0"/>
    </w:pPr>
  </w:style>
  <w:style w:type="character" w:customStyle="1" w:styleId="30">
    <w:name w:val="1 Char"/>
    <w:link w:val="29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1">
    <w:name w:val="Indent Normal"/>
    <w:basedOn w:val="1"/>
    <w:qFormat/>
    <w:uiPriority w:val="0"/>
    <w:pPr>
      <w:ind w:firstLine="150" w:firstLineChars="150"/>
    </w:pPr>
    <w:rPr>
      <w:sz w:val="24"/>
    </w:rPr>
  </w:style>
  <w:style w:type="paragraph" w:customStyle="1" w:styleId="32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tabs>
        <w:tab w:val="clear" w:pos="425"/>
      </w:tabs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</w:rPr>
  </w:style>
  <w:style w:type="paragraph" w:styleId="33">
    <w:name w:val="List Paragraph"/>
    <w:basedOn w:val="1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microsoft.com/office/2006/relationships/keyMapCustomizations" Target="customizations.xml"/><Relationship Id="rId28" Type="http://schemas.openxmlformats.org/officeDocument/2006/relationships/customXml" Target="../customXml/item3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ntractReview xmlns="http://schemas.wps.cn/vas-ai-hub/contract-review">
  <reviewItems>
    <reviewItem>
      <errorID>7a0052bd-def3-4131-9dc0-ea3837452e8a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49AEDE1C</paraID>
      <start>0</start>
      <end>2</end>
      <status>unmodified</status>
      <modifiedWord/>
      <trackRevisions>false</trackRevisions>
    </reviewItem>
    <reviewItem>
      <errorID>ee25640d-50e0-4291-b298-3cfddd346e43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563960A</paraID>
      <start>0</start>
      <end>2</end>
      <status>unmodified</status>
      <modifiedWord/>
      <trackRevisions>false</trackRevisions>
    </reviewItem>
    <reviewItem>
      <errorID>a9393c56-ed03-4faf-a6b8-1b996d59d40a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 9FCFF1</paraID>
      <start>0</start>
      <end>2</end>
      <status>unmodified</status>
      <modifiedWord/>
      <trackRevisions>false</trackRevisions>
    </reviewItem>
    <reviewItem>
      <errorID>6306615b-6c59-476d-b182-335a767e5d29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5F685CC0</paraID>
      <start>0</start>
      <end>2</end>
      <status>unmodified</status>
      <modifiedWord/>
      <trackRevisions>false</trackRevisions>
    </reviewItem>
    <reviewItem>
      <errorID>f436dce7-3157-4ca8-be28-5128262c7093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5F685CC0</paraID>
      <start>11</start>
      <end>12</end>
      <status>unmodified</status>
      <modifiedWord/>
      <trackRevisions>false</trackRevisions>
    </reviewItem>
    <reviewItem>
      <errorID>0094360f-45e4-4ae6-95d3-638ab789b509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179E4439</paraID>
      <start>0</start>
      <end>2</end>
      <status>unmodified</status>
      <modifiedWord/>
      <trackRevisions>false</trackRevisions>
    </reviewItem>
    <reviewItem>
      <errorID>215c5a14-f01b-48ea-b5ce-36187e95c4d6</errorID>
      <errorWord>晰</errorWord>
      <group>L1_Word</group>
      <groupName>字词问题</groupName>
      <ability>L2_Typo</ability>
      <abilityName>字词错误</abilityName>
      <candidateList>
        <item>晰地</item>
      </candidateList>
      <explain/>
      <paraID>4B67BEFD</paraID>
      <start>55</start>
      <end>56</end>
      <status>unmodified</status>
      <modifiedWord/>
      <trackRevisions>false</trackRevisions>
    </reviewItem>
    <reviewItem>
      <errorID>415374a9-1129-4b09-bbde-97e24e663880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43F58789</paraID>
      <start>0</start>
      <end>2</end>
      <status>unmodified</status>
      <modifiedWord/>
      <trackRevisions>false</trackRevisions>
    </reviewItem>
    <reviewItem>
      <errorID>7b831722-d4bf-4566-b14b-b18e2509561c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43F58789</paraID>
      <start>25</start>
      <end>28</end>
      <status>unmodified</status>
      <modifiedWord/>
      <trackRevisions>false</trackRevisions>
    </reviewItem>
    <reviewItem>
      <errorID>4729a63f-b5f6-49d9-b952-04f47787cd57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6360442</paraID>
      <start>0</start>
      <end>2</end>
      <status>unmodified</status>
      <modifiedWord/>
      <trackRevisions>false</trackRevisions>
    </reviewItem>
    <reviewItem>
      <errorID>83808f0d-31e3-40c0-9176-26231afbae9e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780702F1</paraID>
      <start>0</start>
      <end>2</end>
      <status>unmodified</status>
      <modifiedWord/>
      <trackRevisions>false</trackRevisions>
    </reviewItem>
    <reviewItem>
      <errorID>47f8b277-bee4-4539-8049-bed0b043962f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1A79494</paraID>
      <start>0</start>
      <end>2</end>
      <status>unmodified</status>
      <modifiedWord/>
      <trackRevisions>false</trackRevisions>
    </reviewItem>
    <reviewItem>
      <errorID>01e3cf50-8504-4604-b798-894272e68526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 2FCBB1</paraID>
      <start>0</start>
      <end>2</end>
      <status>unmodified</status>
      <modifiedWord/>
      <trackRevisions>false</trackRevisions>
    </reviewItem>
    <reviewItem>
      <errorID>2423b1d9-33cf-41f2-b194-8bad6f6cb150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1971A014</paraID>
      <start>0</start>
      <end>2</end>
      <status>unmodified</status>
      <modifiedWord/>
      <trackRevisions>false</trackRevisions>
    </reviewItem>
    <reviewItem>
      <errorID>5ecc28a1-68ec-4c81-a11d-ae4d796a7f89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6F05E815</paraID>
      <start>0</start>
      <end>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756D9D-32A2-424F-8266-2F6ED3799327}">
  <ds:schemaRefs/>
</ds:datastoreItem>
</file>

<file path=customXml/itemProps3.xml><?xml version="1.0" encoding="utf-8"?>
<ds:datastoreItem xmlns:ds="http://schemas.openxmlformats.org/officeDocument/2006/customXml" ds:itemID="{d806343f-b117-41bf-979a-164b5c915e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1967</Words>
  <Characters>2011</Characters>
  <Lines>4</Lines>
  <Paragraphs>1</Paragraphs>
  <TotalTime>0</TotalTime>
  <ScaleCrop>false</ScaleCrop>
  <LinksUpToDate>false</LinksUpToDate>
  <CharactersWithSpaces>2029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2021-03-23T02:42:00Z</dcterms:created>
  <dc:creator>NTKO</dc:creator>
  <cp:lastModifiedBy>鲁晓月</cp:lastModifiedBy>
  <dcterms:modified xsi:type="dcterms:W3CDTF">2025-12-09T16:50:00Z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22AA5A7C9B3B4DE482DA9A37DA3B36E4_13</vt:lpwstr>
  </property>
  <property fmtid="{D5CDD505-2E9C-101B-9397-08002B2CF9AE}" pid="4" name="KSOTemplateDocerSaveRecord">
    <vt:lpwstr>eyJoZGlkIjoiMzVlNzk2NmNkNTY0YTBlNjdmMjYwNjhmM2E3YjhmZTkiLCJ1c2VySWQiOiIyMTUyOTQ0NTAifQ==</vt:lpwstr>
  </property>
</Properties>
</file>