
<file path=[Content_Types].xml><?xml version="1.0" encoding="utf-8"?>
<Types xmlns="http://schemas.openxmlformats.org/package/2006/content-types">
  <Default Extension="xlsx" ContentType="application/vnd.openxmlformats-officedocument.spreadsheetml.shee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olors1.xml" ContentType="application/vnd.ms-office.chartcolorstyle+xml"/>
  <Override PartName="/word/charts/style1.xml" ContentType="application/vnd.ms-office.chart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theme/themeOverride1.xml" ContentType="application/vnd.openxmlformats-officedocument.themeOverrid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FB86CC">
      <w:pPr>
        <w:numPr>
          <w:ilvl w:val="0"/>
          <w:numId w:val="0"/>
        </w:numPr>
        <w:rPr>
          <w:rFonts w:hint="eastAsia" w:ascii="仿宋" w:hAnsi="仿宋" w:eastAsia="仿宋" w:cs="仿宋"/>
          <w:lang w:val="en-US" w:eastAsia="zh-CN"/>
        </w:rPr>
      </w:pPr>
    </w:p>
    <w:p w14:paraId="5C4DBB47">
      <w:pPr>
        <w:widowControl w:val="0"/>
        <w:numPr>
          <w:ilvl w:val="0"/>
          <w:numId w:val="0"/>
        </w:numPr>
        <w:jc w:val="center"/>
        <w:rPr>
          <w:rFonts w:hint="eastAsia" w:ascii="黑体" w:hAnsi="黑体" w:eastAsia="黑体" w:cs="黑体"/>
          <w:b w:val="0"/>
          <w:bCs w:val="0"/>
          <w:sz w:val="48"/>
          <w:szCs w:val="4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48"/>
          <w:szCs w:val="48"/>
          <w:lang w:val="en-US" w:eastAsia="zh-CN"/>
        </w:rPr>
        <w:t>XXXXXX报告</w:t>
      </w:r>
    </w:p>
    <w:p w14:paraId="7AC197FE">
      <w:pPr>
        <w:pStyle w:val="2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核心数据</w:t>
      </w:r>
      <w:r>
        <w:rPr>
          <w:rFonts w:hint="eastAsia" w:ascii="仿宋" w:hAnsi="仿宋" w:eastAsia="仿宋" w:cs="仿宋"/>
          <w:sz w:val="32"/>
          <w:szCs w:val="32"/>
        </w:rPr>
        <w:t>总览</w:t>
      </w:r>
    </w:p>
    <w:tbl>
      <w:tblPr>
        <w:tblStyle w:val="8"/>
        <w:tblW w:w="1096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5" w:type="dxa"/>
          <w:left w:w="96" w:type="dxa"/>
          <w:bottom w:w="45" w:type="dxa"/>
          <w:right w:w="96" w:type="dxa"/>
        </w:tblCellMar>
      </w:tblPr>
      <w:tblGrid>
        <w:gridCol w:w="4076"/>
        <w:gridCol w:w="3444"/>
        <w:gridCol w:w="3444"/>
      </w:tblGrid>
      <w:tr w14:paraId="7C5D3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cantSplit/>
          <w:trHeight w:val="454" w:hRule="atLeast"/>
        </w:trPr>
        <w:tc>
          <w:tcPr>
            <w:tcW w:w="4076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01676677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sz w:val="24"/>
                <w:szCs w:val="24"/>
                <w:vertAlign w:val="baseli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核心指标</w:t>
            </w:r>
          </w:p>
        </w:tc>
        <w:tc>
          <w:tcPr>
            <w:tcW w:w="344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1778AF1B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sz w:val="24"/>
                <w:szCs w:val="24"/>
                <w:vertAlign w:val="baseli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2026年1月</w:t>
            </w:r>
          </w:p>
        </w:tc>
        <w:tc>
          <w:tcPr>
            <w:tcW w:w="344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22FF2637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default" w:ascii="仿宋" w:hAnsi="仿宋" w:eastAsia="仿宋" w:cs="仿宋"/>
                <w:b/>
                <w:bCs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累计总数</w:t>
            </w:r>
          </w:p>
        </w:tc>
      </w:tr>
      <w:tr w14:paraId="11AE9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cantSplit/>
          <w:trHeight w:val="454" w:hRule="atLeast"/>
        </w:trPr>
        <w:tc>
          <w:tcPr>
            <w:tcW w:w="407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BE0AB4A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专区开设</w:t>
            </w:r>
          </w:p>
        </w:tc>
        <w:tc>
          <w:tcPr>
            <w:tcW w:w="34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7A9F5EB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kern w:val="0"/>
                <w:sz w:val="24"/>
                <w:szCs w:val="24"/>
                <w:lang w:val="en-US" w:eastAsia="zh-CN" w:bidi="ar"/>
              </w:rPr>
              <w:t>4个</w:t>
            </w:r>
          </w:p>
        </w:tc>
        <w:tc>
          <w:tcPr>
            <w:tcW w:w="34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B89D182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19个</w:t>
            </w:r>
          </w:p>
        </w:tc>
      </w:tr>
      <w:tr w14:paraId="461C3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cantSplit/>
          <w:trHeight w:val="454" w:hRule="atLeast"/>
        </w:trPr>
        <w:tc>
          <w:tcPr>
            <w:tcW w:w="407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FD0946D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kern w:val="0"/>
                <w:sz w:val="24"/>
                <w:szCs w:val="24"/>
                <w:lang w:val="en-US" w:eastAsia="zh-CN" w:bidi="ar"/>
              </w:rPr>
              <w:t>专区上线</w:t>
            </w:r>
          </w:p>
        </w:tc>
        <w:tc>
          <w:tcPr>
            <w:tcW w:w="34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FB9F246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kern w:val="0"/>
                <w:sz w:val="24"/>
                <w:szCs w:val="24"/>
                <w:lang w:val="en-US" w:eastAsia="zh-CN" w:bidi="ar"/>
              </w:rPr>
              <w:t>3个</w:t>
            </w:r>
          </w:p>
        </w:tc>
        <w:tc>
          <w:tcPr>
            <w:tcW w:w="34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17D8DFB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kern w:val="0"/>
                <w:sz w:val="24"/>
                <w:szCs w:val="24"/>
                <w:lang w:val="en-US" w:eastAsia="zh-CN" w:bidi="ar"/>
              </w:rPr>
              <w:t>17个</w:t>
            </w:r>
            <w:bookmarkStart w:id="0" w:name="专区上线总数"/>
            <w:bookmarkEnd w:id="0"/>
          </w:p>
        </w:tc>
      </w:tr>
      <w:tr w14:paraId="47D67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cantSplit/>
          <w:trHeight w:val="454" w:hRule="atLeast"/>
        </w:trPr>
        <w:tc>
          <w:tcPr>
            <w:tcW w:w="407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A85CDC8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default" w:ascii="仿宋" w:hAnsi="仿宋" w:eastAsia="仿宋" w:cs="仿宋"/>
                <w:b w:val="0"/>
                <w:bCs w:val="0"/>
                <w:i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  <w:t>人工成本</w:t>
            </w:r>
          </w:p>
        </w:tc>
        <w:tc>
          <w:tcPr>
            <w:tcW w:w="34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BDE323A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kern w:val="0"/>
                <w:sz w:val="24"/>
                <w:szCs w:val="24"/>
                <w:lang w:val="en-US" w:eastAsia="zh-CN" w:bidi="ar"/>
              </w:rPr>
              <w:t>49笔</w:t>
            </w:r>
          </w:p>
        </w:tc>
        <w:tc>
          <w:tcPr>
            <w:tcW w:w="34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002C6F7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kern w:val="0"/>
                <w:sz w:val="24"/>
                <w:szCs w:val="24"/>
                <w:lang w:val="en-US" w:eastAsia="zh-CN" w:bidi="ar"/>
              </w:rPr>
              <w:t>103笔</w:t>
            </w:r>
          </w:p>
        </w:tc>
      </w:tr>
      <w:tr w14:paraId="22ECA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cantSplit/>
          <w:trHeight w:val="454" w:hRule="atLeast"/>
        </w:trPr>
        <w:tc>
          <w:tcPr>
            <w:tcW w:w="407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5F7F762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default" w:ascii="仿宋" w:hAnsi="仿宋" w:eastAsia="仿宋" w:cs="仿宋"/>
                <w:b w:val="0"/>
                <w:bCs w:val="0"/>
                <w:i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kern w:val="0"/>
                <w:sz w:val="24"/>
                <w:szCs w:val="24"/>
                <w:lang w:val="en-US" w:eastAsia="zh-CN" w:bidi="ar"/>
              </w:rPr>
              <w:t>收益总额</w:t>
            </w:r>
          </w:p>
        </w:tc>
        <w:tc>
          <w:tcPr>
            <w:tcW w:w="34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0694BE5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kern w:val="0"/>
                <w:sz w:val="24"/>
                <w:szCs w:val="24"/>
                <w:lang w:val="en-US" w:eastAsia="zh-CN" w:bidi="ar"/>
              </w:rPr>
              <w:t>31799.97元</w:t>
            </w:r>
          </w:p>
        </w:tc>
        <w:tc>
          <w:tcPr>
            <w:tcW w:w="34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53D7BA0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auto"/>
                <w:kern w:val="0"/>
                <w:sz w:val="24"/>
                <w:szCs w:val="24"/>
                <w:lang w:val="en-US" w:eastAsia="zh-CN" w:bidi="ar"/>
              </w:rPr>
              <w:t>66237.4元</w:t>
            </w:r>
          </w:p>
        </w:tc>
      </w:tr>
    </w:tbl>
    <w:p w14:paraId="313F526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</w:rPr>
        <w:t>二、合作推进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情况</w:t>
      </w:r>
    </w:p>
    <w:p w14:paraId="20D5B0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截至2026年3月30日，新点e交易中原、华北区已开设专区XXX个，本月新开设专区XXX个，</w:t>
      </w:r>
    </w:p>
    <w:p w14:paraId="095E90FC">
      <w:pPr>
        <w:pStyle w:val="3"/>
        <w:bidi w:val="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2.1、专区开设</w:t>
      </w:r>
    </w:p>
    <w:p w14:paraId="7786B4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3月新开专区X个，其中XXX省xx个。</w:t>
      </w:r>
    </w:p>
    <w:tbl>
      <w:tblPr>
        <w:tblStyle w:val="8"/>
        <w:tblW w:w="132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6"/>
        <w:gridCol w:w="2604"/>
        <w:gridCol w:w="1265"/>
        <w:gridCol w:w="2479"/>
        <w:gridCol w:w="1789"/>
        <w:gridCol w:w="1593"/>
        <w:gridCol w:w="1416"/>
        <w:gridCol w:w="1416"/>
      </w:tblGrid>
      <w:tr w14:paraId="340B1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06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45F8A7D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  <w:t>序号</w:t>
            </w:r>
          </w:p>
        </w:tc>
        <w:tc>
          <w:tcPr>
            <w:tcW w:w="260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5AC1213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  <w:t>专区名称</w:t>
            </w:r>
          </w:p>
        </w:tc>
        <w:tc>
          <w:tcPr>
            <w:tcW w:w="1265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21F5CCD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kern w:val="2"/>
                <w:sz w:val="24"/>
                <w:szCs w:val="24"/>
                <w:lang w:val="en-US" w:eastAsia="zh-CN" w:bidi="ar-SA"/>
              </w:rPr>
              <w:t>部署方式</w:t>
            </w:r>
          </w:p>
        </w:tc>
        <w:tc>
          <w:tcPr>
            <w:tcW w:w="247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7481C09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kern w:val="2"/>
                <w:sz w:val="24"/>
                <w:szCs w:val="24"/>
                <w:lang w:val="en-US" w:eastAsia="zh-CN" w:bidi="ar-SA"/>
              </w:rPr>
              <w:t>客户名称</w:t>
            </w:r>
          </w:p>
        </w:tc>
        <w:tc>
          <w:tcPr>
            <w:tcW w:w="178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38C8A4E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  <w:t>省市</w:t>
            </w:r>
          </w:p>
        </w:tc>
        <w:tc>
          <w:tcPr>
            <w:tcW w:w="1593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5778A8C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  <w:t>分公司</w:t>
            </w:r>
          </w:p>
        </w:tc>
        <w:tc>
          <w:tcPr>
            <w:tcW w:w="141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501A211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  <w:t>开设日期</w:t>
            </w:r>
          </w:p>
        </w:tc>
        <w:tc>
          <w:tcPr>
            <w:tcW w:w="141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2146666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  <w:t>是否上线</w:t>
            </w:r>
          </w:p>
        </w:tc>
      </w:tr>
      <w:tr w14:paraId="25367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0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1CE373D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19</w:t>
            </w:r>
          </w:p>
        </w:tc>
        <w:tc>
          <w:tcPr>
            <w:tcW w:w="260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1CD72F7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安徽专区</w:t>
            </w:r>
          </w:p>
        </w:tc>
        <w:tc>
          <w:tcPr>
            <w:tcW w:w="126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52CB881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SaaS</w:t>
            </w:r>
          </w:p>
        </w:tc>
        <w:tc>
          <w:tcPr>
            <w:tcW w:w="247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45A6660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安徽省阳光采购服务平台有限责任公司</w:t>
            </w:r>
          </w:p>
        </w:tc>
        <w:tc>
          <w:tcPr>
            <w:tcW w:w="178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60DF658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lang w:val="en-US" w:eastAsia="zh-CN"/>
              </w:rPr>
              <w:t>安徽省合肥市</w:t>
            </w:r>
          </w:p>
        </w:tc>
        <w:tc>
          <w:tcPr>
            <w:tcW w:w="159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098152A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lang w:val="en-US" w:eastAsia="zh-CN"/>
              </w:rPr>
              <w:t>交易合肥分公司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4E5BD74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2026/2/3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25E0573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</w:p>
        </w:tc>
      </w:tr>
    </w:tbl>
    <w:p w14:paraId="79C66253">
      <w:pPr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drawing>
          <wp:inline distT="0" distB="0" distL="114300" distR="114300">
            <wp:extent cx="8899525" cy="2597150"/>
            <wp:effectExtent l="4445" t="4445" r="11430" b="65405"/>
            <wp:docPr id="9" name="图表 9" descr="7b0a202020202263686172745265734964223a20223230343736313638220a7d0a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463F04D3">
      <w:pPr>
        <w:rPr>
          <w:rFonts w:hint="eastAsia" w:ascii="仿宋" w:hAnsi="仿宋" w:eastAsia="仿宋" w:cs="仿宋"/>
          <w:lang w:val="en-US" w:eastAsia="zh-CN"/>
        </w:rPr>
      </w:pPr>
    </w:p>
    <w:p w14:paraId="268F5FE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三、产品运营详情</w:t>
      </w:r>
    </w:p>
    <w:p w14:paraId="0954FA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default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截至2026年3月31日，新点e交易（中原、华北区）总收益情况，本月收益XXXX,其中XXX个专区存在接入超时情况，XXX个专区存在上线后项目数不达标，XXX个专区存在上线后收益不达标，XXX个专区成本管控存在问题</w:t>
      </w:r>
    </w:p>
    <w:tbl>
      <w:tblPr>
        <w:tblStyle w:val="8"/>
        <w:tblW w:w="1431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3216"/>
        <w:gridCol w:w="1528"/>
        <w:gridCol w:w="1944"/>
        <w:gridCol w:w="1299"/>
        <w:gridCol w:w="1953"/>
        <w:gridCol w:w="1781"/>
        <w:gridCol w:w="1781"/>
      </w:tblGrid>
      <w:tr w14:paraId="26392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4CA2569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321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0169882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专区名称</w:t>
            </w:r>
          </w:p>
        </w:tc>
        <w:tc>
          <w:tcPr>
            <w:tcW w:w="152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225D361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专区上线时间</w:t>
            </w:r>
          </w:p>
        </w:tc>
        <w:tc>
          <w:tcPr>
            <w:tcW w:w="194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34F0698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专区项目总数</w:t>
            </w:r>
          </w:p>
        </w:tc>
        <w:tc>
          <w:tcPr>
            <w:tcW w:w="129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227A5FF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专区收益</w:t>
            </w:r>
          </w:p>
        </w:tc>
        <w:tc>
          <w:tcPr>
            <w:tcW w:w="1953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3C18D0C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专区上线前成本</w:t>
            </w:r>
          </w:p>
        </w:tc>
        <w:tc>
          <w:tcPr>
            <w:tcW w:w="178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4DFB241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专区总成本</w:t>
            </w:r>
          </w:p>
        </w:tc>
        <w:tc>
          <w:tcPr>
            <w:tcW w:w="178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097DF0A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专区成本率</w:t>
            </w:r>
          </w:p>
        </w:tc>
      </w:tr>
      <w:tr w14:paraId="6259D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46B5A3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21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C50E99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default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沈铁专区</w:t>
            </w:r>
          </w:p>
        </w:tc>
        <w:tc>
          <w:tcPr>
            <w:tcW w:w="152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C63F17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194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33FE49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8</w:t>
            </w:r>
          </w:p>
        </w:tc>
        <w:tc>
          <w:tcPr>
            <w:tcW w:w="129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AB5153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20</w:t>
            </w:r>
          </w:p>
        </w:tc>
        <w:tc>
          <w:tcPr>
            <w:tcW w:w="1953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D7A7EC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6279.39</w:t>
            </w:r>
          </w:p>
        </w:tc>
        <w:tc>
          <w:tcPr>
            <w:tcW w:w="178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3899B0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78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52128E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</w:tr>
    </w:tbl>
    <w:p w14:paraId="0A4B862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四、重点工作规划</w:t>
      </w:r>
    </w:p>
    <w:p w14:paraId="0B4DA924">
      <w:pPr>
        <w:pStyle w:val="3"/>
        <w:bidi w:val="0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4.1、僵尸专区下线处理</w:t>
      </w:r>
    </w:p>
    <w:p w14:paraId="0BE1DC9D">
      <w:pPr>
        <w:pStyle w:val="3"/>
        <w:bidi w:val="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4.2、上量潜力专区上量工作</w:t>
      </w:r>
    </w:p>
    <w:p w14:paraId="03392458">
      <w:pPr>
        <w:pStyle w:val="3"/>
        <w:bidi w:val="0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4.3、成本管控问题专区分析</w:t>
      </w:r>
      <w:bookmarkStart w:id="1" w:name="_GoBack"/>
      <w:bookmarkEnd w:id="1"/>
    </w:p>
    <w:p w14:paraId="3DAFF589">
      <w:pPr>
        <w:rPr>
          <w:rFonts w:hint="default"/>
          <w:lang w:val="en-US" w:eastAsia="zh-CN"/>
        </w:rPr>
      </w:pPr>
    </w:p>
    <w:p w14:paraId="5FAA95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sectPr>
      <w:pgSz w:w="16838" w:h="11906" w:orient="landscape"/>
      <w:pgMar w:top="1800" w:right="1440" w:bottom="1800" w:left="144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ACEE35"/>
    <w:multiLevelType w:val="singleLevel"/>
    <w:tmpl w:val="3DACEE35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4D06"/>
    <w:rsid w:val="00364883"/>
    <w:rsid w:val="003752C8"/>
    <w:rsid w:val="003A3053"/>
    <w:rsid w:val="00441793"/>
    <w:rsid w:val="00717CE3"/>
    <w:rsid w:val="00CD3181"/>
    <w:rsid w:val="00CD73D8"/>
    <w:rsid w:val="00D31FCB"/>
    <w:rsid w:val="01264EAE"/>
    <w:rsid w:val="01621A8C"/>
    <w:rsid w:val="01870F52"/>
    <w:rsid w:val="01883901"/>
    <w:rsid w:val="01B21B90"/>
    <w:rsid w:val="0216715F"/>
    <w:rsid w:val="026849D5"/>
    <w:rsid w:val="028B3CA0"/>
    <w:rsid w:val="02A22EF9"/>
    <w:rsid w:val="02B7449E"/>
    <w:rsid w:val="0341020B"/>
    <w:rsid w:val="034B2C2D"/>
    <w:rsid w:val="0361602A"/>
    <w:rsid w:val="03721ACE"/>
    <w:rsid w:val="03C97AF2"/>
    <w:rsid w:val="03EC0840"/>
    <w:rsid w:val="041C0406"/>
    <w:rsid w:val="044D57C1"/>
    <w:rsid w:val="04760414"/>
    <w:rsid w:val="051200B1"/>
    <w:rsid w:val="054425AF"/>
    <w:rsid w:val="056D61E5"/>
    <w:rsid w:val="058B5394"/>
    <w:rsid w:val="05940AC6"/>
    <w:rsid w:val="05BC4EEB"/>
    <w:rsid w:val="05CB200E"/>
    <w:rsid w:val="06213875"/>
    <w:rsid w:val="064A73D7"/>
    <w:rsid w:val="06577A9B"/>
    <w:rsid w:val="0664493D"/>
    <w:rsid w:val="067032E2"/>
    <w:rsid w:val="067301FE"/>
    <w:rsid w:val="068345E5"/>
    <w:rsid w:val="06893A75"/>
    <w:rsid w:val="06EE2458"/>
    <w:rsid w:val="07197150"/>
    <w:rsid w:val="0729113D"/>
    <w:rsid w:val="072A738A"/>
    <w:rsid w:val="07302C87"/>
    <w:rsid w:val="073070E8"/>
    <w:rsid w:val="076B5B99"/>
    <w:rsid w:val="07742336"/>
    <w:rsid w:val="078E4B55"/>
    <w:rsid w:val="07CB0157"/>
    <w:rsid w:val="07E51AAD"/>
    <w:rsid w:val="08181931"/>
    <w:rsid w:val="08530FA4"/>
    <w:rsid w:val="086D442D"/>
    <w:rsid w:val="08771653"/>
    <w:rsid w:val="08E13C0F"/>
    <w:rsid w:val="08EF7874"/>
    <w:rsid w:val="09045F63"/>
    <w:rsid w:val="096F7E1D"/>
    <w:rsid w:val="0A00497C"/>
    <w:rsid w:val="0A527F49"/>
    <w:rsid w:val="0A5A32F8"/>
    <w:rsid w:val="0A717628"/>
    <w:rsid w:val="0A9357F1"/>
    <w:rsid w:val="0AAB206E"/>
    <w:rsid w:val="0AC01CE4"/>
    <w:rsid w:val="0ACE6829"/>
    <w:rsid w:val="0ADA114D"/>
    <w:rsid w:val="0ADA51CD"/>
    <w:rsid w:val="0ADD5DCA"/>
    <w:rsid w:val="0B183F48"/>
    <w:rsid w:val="0B1E4F61"/>
    <w:rsid w:val="0B2277A2"/>
    <w:rsid w:val="0B2E523E"/>
    <w:rsid w:val="0B5531DD"/>
    <w:rsid w:val="0B5C2A22"/>
    <w:rsid w:val="0B7C40A9"/>
    <w:rsid w:val="0BE52535"/>
    <w:rsid w:val="0BEA5F67"/>
    <w:rsid w:val="0BF40F20"/>
    <w:rsid w:val="0BFE2BC2"/>
    <w:rsid w:val="0C1E733C"/>
    <w:rsid w:val="0C262B62"/>
    <w:rsid w:val="0C2D4EEB"/>
    <w:rsid w:val="0C404C88"/>
    <w:rsid w:val="0C6F7B97"/>
    <w:rsid w:val="0CC412F9"/>
    <w:rsid w:val="0CF26930"/>
    <w:rsid w:val="0D4F1CD8"/>
    <w:rsid w:val="0D682F64"/>
    <w:rsid w:val="0DC9020F"/>
    <w:rsid w:val="0DEA1BCB"/>
    <w:rsid w:val="0DFC477A"/>
    <w:rsid w:val="0E342E47"/>
    <w:rsid w:val="0E3B1C35"/>
    <w:rsid w:val="0E3C619F"/>
    <w:rsid w:val="0E5E0200"/>
    <w:rsid w:val="0E6F3821"/>
    <w:rsid w:val="0E925700"/>
    <w:rsid w:val="0EAD6828"/>
    <w:rsid w:val="0EDB32C2"/>
    <w:rsid w:val="0F033177"/>
    <w:rsid w:val="0F113188"/>
    <w:rsid w:val="0F2138C1"/>
    <w:rsid w:val="0F340C24"/>
    <w:rsid w:val="0F3D0D9C"/>
    <w:rsid w:val="0F4B5D56"/>
    <w:rsid w:val="0F57387A"/>
    <w:rsid w:val="0F8568FF"/>
    <w:rsid w:val="0FE12B5A"/>
    <w:rsid w:val="10513A70"/>
    <w:rsid w:val="106F600E"/>
    <w:rsid w:val="107F261E"/>
    <w:rsid w:val="10993435"/>
    <w:rsid w:val="10A55A69"/>
    <w:rsid w:val="10D6664C"/>
    <w:rsid w:val="11047FD3"/>
    <w:rsid w:val="11382C4E"/>
    <w:rsid w:val="11583F75"/>
    <w:rsid w:val="116058CA"/>
    <w:rsid w:val="116320F2"/>
    <w:rsid w:val="11681F2F"/>
    <w:rsid w:val="11731ED8"/>
    <w:rsid w:val="11773758"/>
    <w:rsid w:val="11AE4CBE"/>
    <w:rsid w:val="11CB7B5B"/>
    <w:rsid w:val="11E22BBA"/>
    <w:rsid w:val="11E34E62"/>
    <w:rsid w:val="11E437F0"/>
    <w:rsid w:val="122E5228"/>
    <w:rsid w:val="126A598F"/>
    <w:rsid w:val="12755BEE"/>
    <w:rsid w:val="127D7C27"/>
    <w:rsid w:val="1284666A"/>
    <w:rsid w:val="12B66520"/>
    <w:rsid w:val="12C435BE"/>
    <w:rsid w:val="12C624DB"/>
    <w:rsid w:val="137F51C2"/>
    <w:rsid w:val="13D44784"/>
    <w:rsid w:val="140E78C6"/>
    <w:rsid w:val="146C3F15"/>
    <w:rsid w:val="14733869"/>
    <w:rsid w:val="14A10B0A"/>
    <w:rsid w:val="14D16621"/>
    <w:rsid w:val="14E96ADC"/>
    <w:rsid w:val="14FF7F7D"/>
    <w:rsid w:val="15022E76"/>
    <w:rsid w:val="15126021"/>
    <w:rsid w:val="15126321"/>
    <w:rsid w:val="156C55BC"/>
    <w:rsid w:val="15861E85"/>
    <w:rsid w:val="15E1741A"/>
    <w:rsid w:val="161651B5"/>
    <w:rsid w:val="16582624"/>
    <w:rsid w:val="1662544D"/>
    <w:rsid w:val="16825D60"/>
    <w:rsid w:val="169622DF"/>
    <w:rsid w:val="16D90A2F"/>
    <w:rsid w:val="16FE3FF2"/>
    <w:rsid w:val="171A79A5"/>
    <w:rsid w:val="17213A39"/>
    <w:rsid w:val="1723190B"/>
    <w:rsid w:val="17463D99"/>
    <w:rsid w:val="175F3BF5"/>
    <w:rsid w:val="17680005"/>
    <w:rsid w:val="17750BDC"/>
    <w:rsid w:val="17A34B99"/>
    <w:rsid w:val="17B91E78"/>
    <w:rsid w:val="17C57C22"/>
    <w:rsid w:val="17CF19E0"/>
    <w:rsid w:val="17D46DFC"/>
    <w:rsid w:val="17EC4792"/>
    <w:rsid w:val="185540E5"/>
    <w:rsid w:val="18636BC3"/>
    <w:rsid w:val="18737847"/>
    <w:rsid w:val="18B63AC0"/>
    <w:rsid w:val="18D86AC4"/>
    <w:rsid w:val="18F2402A"/>
    <w:rsid w:val="18F97167"/>
    <w:rsid w:val="190F4FF3"/>
    <w:rsid w:val="193006AE"/>
    <w:rsid w:val="19520625"/>
    <w:rsid w:val="19655DF8"/>
    <w:rsid w:val="198F3627"/>
    <w:rsid w:val="1A3D12D5"/>
    <w:rsid w:val="1A4019F0"/>
    <w:rsid w:val="1A546A0F"/>
    <w:rsid w:val="1A591713"/>
    <w:rsid w:val="1A7F6B0B"/>
    <w:rsid w:val="1AAD4D6B"/>
    <w:rsid w:val="1AB86765"/>
    <w:rsid w:val="1AFB1C6D"/>
    <w:rsid w:val="1B2448D2"/>
    <w:rsid w:val="1B3B1CB8"/>
    <w:rsid w:val="1B48049B"/>
    <w:rsid w:val="1B583908"/>
    <w:rsid w:val="1B7C407F"/>
    <w:rsid w:val="1BA36ACA"/>
    <w:rsid w:val="1BAA4748"/>
    <w:rsid w:val="1BB10CD6"/>
    <w:rsid w:val="1C3718BC"/>
    <w:rsid w:val="1C6D5EB0"/>
    <w:rsid w:val="1C737230"/>
    <w:rsid w:val="1CD557F5"/>
    <w:rsid w:val="1CF90B80"/>
    <w:rsid w:val="1D11016F"/>
    <w:rsid w:val="1D271DC8"/>
    <w:rsid w:val="1D5B6FC3"/>
    <w:rsid w:val="1D7528B8"/>
    <w:rsid w:val="1DC62916"/>
    <w:rsid w:val="1E334EC9"/>
    <w:rsid w:val="1E3D5D47"/>
    <w:rsid w:val="1E4C7D38"/>
    <w:rsid w:val="1E5602A2"/>
    <w:rsid w:val="1EAF7CA6"/>
    <w:rsid w:val="1EF04B68"/>
    <w:rsid w:val="1EF81C6E"/>
    <w:rsid w:val="1F253E23"/>
    <w:rsid w:val="1F48013D"/>
    <w:rsid w:val="1F6F46FC"/>
    <w:rsid w:val="1F9C37CE"/>
    <w:rsid w:val="1FAE25D2"/>
    <w:rsid w:val="1FDC50EC"/>
    <w:rsid w:val="20010AC3"/>
    <w:rsid w:val="200831DC"/>
    <w:rsid w:val="201A5CFE"/>
    <w:rsid w:val="203B62B7"/>
    <w:rsid w:val="20601879"/>
    <w:rsid w:val="20A16408"/>
    <w:rsid w:val="20AF5398"/>
    <w:rsid w:val="20B9542D"/>
    <w:rsid w:val="20C04A0E"/>
    <w:rsid w:val="20D14525"/>
    <w:rsid w:val="20D30DB3"/>
    <w:rsid w:val="20D75674"/>
    <w:rsid w:val="20E1559F"/>
    <w:rsid w:val="20E46CB4"/>
    <w:rsid w:val="213D605E"/>
    <w:rsid w:val="21621248"/>
    <w:rsid w:val="216D6944"/>
    <w:rsid w:val="217A4BBD"/>
    <w:rsid w:val="21AB3214"/>
    <w:rsid w:val="21B83A5F"/>
    <w:rsid w:val="21BC677A"/>
    <w:rsid w:val="21C916A0"/>
    <w:rsid w:val="21D07990"/>
    <w:rsid w:val="21F12074"/>
    <w:rsid w:val="21F42BC1"/>
    <w:rsid w:val="22123047"/>
    <w:rsid w:val="22230513"/>
    <w:rsid w:val="223905D4"/>
    <w:rsid w:val="2246194C"/>
    <w:rsid w:val="225A0C09"/>
    <w:rsid w:val="226A4799"/>
    <w:rsid w:val="226A4C31"/>
    <w:rsid w:val="22A530BF"/>
    <w:rsid w:val="22D71F89"/>
    <w:rsid w:val="22E449E3"/>
    <w:rsid w:val="22F1611C"/>
    <w:rsid w:val="22F17F25"/>
    <w:rsid w:val="233D5EA2"/>
    <w:rsid w:val="23533917"/>
    <w:rsid w:val="236D4EA9"/>
    <w:rsid w:val="239C52BE"/>
    <w:rsid w:val="23A02402"/>
    <w:rsid w:val="23A31E59"/>
    <w:rsid w:val="23B5012E"/>
    <w:rsid w:val="23BD78F2"/>
    <w:rsid w:val="23DC1B5F"/>
    <w:rsid w:val="2423153B"/>
    <w:rsid w:val="2439757B"/>
    <w:rsid w:val="24401B1A"/>
    <w:rsid w:val="24660F48"/>
    <w:rsid w:val="247D00C0"/>
    <w:rsid w:val="24833D88"/>
    <w:rsid w:val="24A02B8C"/>
    <w:rsid w:val="24B85A61"/>
    <w:rsid w:val="24BF0919"/>
    <w:rsid w:val="24C20D54"/>
    <w:rsid w:val="24EE3666"/>
    <w:rsid w:val="25381017"/>
    <w:rsid w:val="25782DD2"/>
    <w:rsid w:val="25797F62"/>
    <w:rsid w:val="25D02FFD"/>
    <w:rsid w:val="25D2016C"/>
    <w:rsid w:val="25E60A73"/>
    <w:rsid w:val="25FD1CAC"/>
    <w:rsid w:val="260864A9"/>
    <w:rsid w:val="262A4CD0"/>
    <w:rsid w:val="263564F8"/>
    <w:rsid w:val="264B1D94"/>
    <w:rsid w:val="264F6618"/>
    <w:rsid w:val="26630315"/>
    <w:rsid w:val="268D7140"/>
    <w:rsid w:val="268F4C66"/>
    <w:rsid w:val="26926505"/>
    <w:rsid w:val="26935CDF"/>
    <w:rsid w:val="26CF7759"/>
    <w:rsid w:val="275D2FB6"/>
    <w:rsid w:val="27906EE8"/>
    <w:rsid w:val="279F39E6"/>
    <w:rsid w:val="27EE672E"/>
    <w:rsid w:val="282944C2"/>
    <w:rsid w:val="2843199B"/>
    <w:rsid w:val="287516A9"/>
    <w:rsid w:val="287D2AE8"/>
    <w:rsid w:val="28B05368"/>
    <w:rsid w:val="28B947AF"/>
    <w:rsid w:val="28BD1316"/>
    <w:rsid w:val="28CF48F2"/>
    <w:rsid w:val="28DB5424"/>
    <w:rsid w:val="28E05C4D"/>
    <w:rsid w:val="28F21EF6"/>
    <w:rsid w:val="28FC49AE"/>
    <w:rsid w:val="291032FF"/>
    <w:rsid w:val="29253CC0"/>
    <w:rsid w:val="29361D11"/>
    <w:rsid w:val="29377BF7"/>
    <w:rsid w:val="29921E65"/>
    <w:rsid w:val="299D7DBD"/>
    <w:rsid w:val="29A175F2"/>
    <w:rsid w:val="29AE18A7"/>
    <w:rsid w:val="29C35DD2"/>
    <w:rsid w:val="29C47F91"/>
    <w:rsid w:val="2A0D0CC4"/>
    <w:rsid w:val="2A1536D4"/>
    <w:rsid w:val="2A3F2F53"/>
    <w:rsid w:val="2A4468E8"/>
    <w:rsid w:val="2A495108"/>
    <w:rsid w:val="2A5306A1"/>
    <w:rsid w:val="2AAD7DB1"/>
    <w:rsid w:val="2B2C33CC"/>
    <w:rsid w:val="2B552AAD"/>
    <w:rsid w:val="2B5D3F7C"/>
    <w:rsid w:val="2B5E4CC9"/>
    <w:rsid w:val="2B5E554F"/>
    <w:rsid w:val="2B8C3E6A"/>
    <w:rsid w:val="2BD30FEC"/>
    <w:rsid w:val="2BFC7F66"/>
    <w:rsid w:val="2C077995"/>
    <w:rsid w:val="2C4C3F30"/>
    <w:rsid w:val="2C584C43"/>
    <w:rsid w:val="2C8C0200"/>
    <w:rsid w:val="2C9A4365"/>
    <w:rsid w:val="2CA007C2"/>
    <w:rsid w:val="2CB27900"/>
    <w:rsid w:val="2CDC672B"/>
    <w:rsid w:val="2D144117"/>
    <w:rsid w:val="2D2057F2"/>
    <w:rsid w:val="2D376058"/>
    <w:rsid w:val="2D5571EF"/>
    <w:rsid w:val="2D9F33C6"/>
    <w:rsid w:val="2DAE631A"/>
    <w:rsid w:val="2DEC202E"/>
    <w:rsid w:val="2DEE1567"/>
    <w:rsid w:val="2DEF5094"/>
    <w:rsid w:val="2DF76505"/>
    <w:rsid w:val="2DFB396A"/>
    <w:rsid w:val="2E0402DD"/>
    <w:rsid w:val="2E8C5391"/>
    <w:rsid w:val="2E953036"/>
    <w:rsid w:val="2EBC013F"/>
    <w:rsid w:val="2F241FF6"/>
    <w:rsid w:val="2F713AA3"/>
    <w:rsid w:val="2F797A5E"/>
    <w:rsid w:val="2FA83F6C"/>
    <w:rsid w:val="2FD8767E"/>
    <w:rsid w:val="2FF0366D"/>
    <w:rsid w:val="30160EAD"/>
    <w:rsid w:val="303C7382"/>
    <w:rsid w:val="311264DE"/>
    <w:rsid w:val="312C1FCC"/>
    <w:rsid w:val="313A2D0C"/>
    <w:rsid w:val="31594C51"/>
    <w:rsid w:val="315A40C3"/>
    <w:rsid w:val="315D4C0A"/>
    <w:rsid w:val="316F4012"/>
    <w:rsid w:val="317F668B"/>
    <w:rsid w:val="31E71DFA"/>
    <w:rsid w:val="323D5EBE"/>
    <w:rsid w:val="324A2ACB"/>
    <w:rsid w:val="329249A3"/>
    <w:rsid w:val="32CA2987"/>
    <w:rsid w:val="32D47F8F"/>
    <w:rsid w:val="32E27FAF"/>
    <w:rsid w:val="32E6563C"/>
    <w:rsid w:val="32EC5D21"/>
    <w:rsid w:val="3316226B"/>
    <w:rsid w:val="3322672E"/>
    <w:rsid w:val="33707BCD"/>
    <w:rsid w:val="3374055C"/>
    <w:rsid w:val="33757AB1"/>
    <w:rsid w:val="33B4242C"/>
    <w:rsid w:val="33B73A4E"/>
    <w:rsid w:val="33EF143A"/>
    <w:rsid w:val="341210B6"/>
    <w:rsid w:val="34463157"/>
    <w:rsid w:val="345F6F7C"/>
    <w:rsid w:val="34647658"/>
    <w:rsid w:val="347418BF"/>
    <w:rsid w:val="34757E2D"/>
    <w:rsid w:val="348778C5"/>
    <w:rsid w:val="349F749A"/>
    <w:rsid w:val="34A959E1"/>
    <w:rsid w:val="34E6283D"/>
    <w:rsid w:val="350F41BC"/>
    <w:rsid w:val="35201905"/>
    <w:rsid w:val="35316D9D"/>
    <w:rsid w:val="356572FF"/>
    <w:rsid w:val="35AC108D"/>
    <w:rsid w:val="35C5381A"/>
    <w:rsid w:val="35D119BA"/>
    <w:rsid w:val="35D501BC"/>
    <w:rsid w:val="35F920FC"/>
    <w:rsid w:val="3608770D"/>
    <w:rsid w:val="36635E01"/>
    <w:rsid w:val="36785717"/>
    <w:rsid w:val="36DB4C7E"/>
    <w:rsid w:val="36F4363E"/>
    <w:rsid w:val="37125486"/>
    <w:rsid w:val="372372A2"/>
    <w:rsid w:val="37411FAD"/>
    <w:rsid w:val="377063EE"/>
    <w:rsid w:val="3790083E"/>
    <w:rsid w:val="379320DC"/>
    <w:rsid w:val="37A03B78"/>
    <w:rsid w:val="37B26A07"/>
    <w:rsid w:val="37C3579C"/>
    <w:rsid w:val="386D0B7F"/>
    <w:rsid w:val="3885236D"/>
    <w:rsid w:val="38975BFC"/>
    <w:rsid w:val="38990C3C"/>
    <w:rsid w:val="38E4576D"/>
    <w:rsid w:val="38E74176"/>
    <w:rsid w:val="38EC419A"/>
    <w:rsid w:val="38EE1CC0"/>
    <w:rsid w:val="38F80803"/>
    <w:rsid w:val="390F482E"/>
    <w:rsid w:val="393B03E5"/>
    <w:rsid w:val="396F1706"/>
    <w:rsid w:val="396F26D5"/>
    <w:rsid w:val="39763535"/>
    <w:rsid w:val="39912668"/>
    <w:rsid w:val="399A1EB1"/>
    <w:rsid w:val="39AF5FE9"/>
    <w:rsid w:val="39ED6EE8"/>
    <w:rsid w:val="39F33306"/>
    <w:rsid w:val="3A3951BD"/>
    <w:rsid w:val="3A4D2A17"/>
    <w:rsid w:val="3A4F6772"/>
    <w:rsid w:val="3A5162F8"/>
    <w:rsid w:val="3A5C534F"/>
    <w:rsid w:val="3ABB0A73"/>
    <w:rsid w:val="3ADC3D9A"/>
    <w:rsid w:val="3AFE5F21"/>
    <w:rsid w:val="3B00217F"/>
    <w:rsid w:val="3B244BA8"/>
    <w:rsid w:val="3BCE016A"/>
    <w:rsid w:val="3C2459F9"/>
    <w:rsid w:val="3C5A1E77"/>
    <w:rsid w:val="3C6D114E"/>
    <w:rsid w:val="3C7C59E1"/>
    <w:rsid w:val="3C800E8A"/>
    <w:rsid w:val="3C8D17F0"/>
    <w:rsid w:val="3C925443"/>
    <w:rsid w:val="3CDD669D"/>
    <w:rsid w:val="3D0602D7"/>
    <w:rsid w:val="3D2B758E"/>
    <w:rsid w:val="3D363C36"/>
    <w:rsid w:val="3D386134"/>
    <w:rsid w:val="3D4A5802"/>
    <w:rsid w:val="3D4D78F7"/>
    <w:rsid w:val="3D7E6E90"/>
    <w:rsid w:val="3D956CB4"/>
    <w:rsid w:val="3DA20B33"/>
    <w:rsid w:val="3DE238DD"/>
    <w:rsid w:val="3DE519B5"/>
    <w:rsid w:val="3E047890"/>
    <w:rsid w:val="3E0D4F58"/>
    <w:rsid w:val="3E135D25"/>
    <w:rsid w:val="3E1F3FD4"/>
    <w:rsid w:val="3E263CAA"/>
    <w:rsid w:val="3E4D4DE4"/>
    <w:rsid w:val="3E773871"/>
    <w:rsid w:val="3EBE25C8"/>
    <w:rsid w:val="3EC84942"/>
    <w:rsid w:val="3ECA2B8E"/>
    <w:rsid w:val="3EE71D80"/>
    <w:rsid w:val="3F005124"/>
    <w:rsid w:val="3F780536"/>
    <w:rsid w:val="3F8047EA"/>
    <w:rsid w:val="3FA27361"/>
    <w:rsid w:val="3FD61700"/>
    <w:rsid w:val="40063D93"/>
    <w:rsid w:val="40207DC4"/>
    <w:rsid w:val="403300BC"/>
    <w:rsid w:val="408C3F57"/>
    <w:rsid w:val="4094136C"/>
    <w:rsid w:val="40BD7C79"/>
    <w:rsid w:val="40D53F53"/>
    <w:rsid w:val="413E6A96"/>
    <w:rsid w:val="414D77A0"/>
    <w:rsid w:val="4163795E"/>
    <w:rsid w:val="41A24135"/>
    <w:rsid w:val="41AB4B00"/>
    <w:rsid w:val="41B808AE"/>
    <w:rsid w:val="41CD16DF"/>
    <w:rsid w:val="41DC6773"/>
    <w:rsid w:val="41EA1493"/>
    <w:rsid w:val="421A0D47"/>
    <w:rsid w:val="424C57D6"/>
    <w:rsid w:val="427409C8"/>
    <w:rsid w:val="428C42F8"/>
    <w:rsid w:val="429D02B3"/>
    <w:rsid w:val="42A64F20"/>
    <w:rsid w:val="42CD143D"/>
    <w:rsid w:val="42D068DB"/>
    <w:rsid w:val="42D60D72"/>
    <w:rsid w:val="43080EEB"/>
    <w:rsid w:val="43170066"/>
    <w:rsid w:val="43260104"/>
    <w:rsid w:val="432D1637"/>
    <w:rsid w:val="433D765A"/>
    <w:rsid w:val="4348021F"/>
    <w:rsid w:val="43553071"/>
    <w:rsid w:val="435C1CA5"/>
    <w:rsid w:val="43664EAD"/>
    <w:rsid w:val="43AF64F0"/>
    <w:rsid w:val="43BD0962"/>
    <w:rsid w:val="43C02E5A"/>
    <w:rsid w:val="43D441A9"/>
    <w:rsid w:val="43F43CFB"/>
    <w:rsid w:val="43FB34E3"/>
    <w:rsid w:val="43FB478E"/>
    <w:rsid w:val="440A3726"/>
    <w:rsid w:val="44364A3F"/>
    <w:rsid w:val="445320C7"/>
    <w:rsid w:val="446B1222"/>
    <w:rsid w:val="447273A9"/>
    <w:rsid w:val="44775B8B"/>
    <w:rsid w:val="44CA7DA8"/>
    <w:rsid w:val="4504286C"/>
    <w:rsid w:val="4516350E"/>
    <w:rsid w:val="456671A1"/>
    <w:rsid w:val="456D0411"/>
    <w:rsid w:val="458E237D"/>
    <w:rsid w:val="45A33E32"/>
    <w:rsid w:val="45C72D20"/>
    <w:rsid w:val="45ED3300"/>
    <w:rsid w:val="45F4643C"/>
    <w:rsid w:val="45FE2115"/>
    <w:rsid w:val="45FE7BB4"/>
    <w:rsid w:val="463B22BD"/>
    <w:rsid w:val="463D7DE3"/>
    <w:rsid w:val="464A2500"/>
    <w:rsid w:val="467E1BE6"/>
    <w:rsid w:val="46983423"/>
    <w:rsid w:val="46AC34BB"/>
    <w:rsid w:val="46B75D3F"/>
    <w:rsid w:val="46CC3DD3"/>
    <w:rsid w:val="47213261"/>
    <w:rsid w:val="47306EFC"/>
    <w:rsid w:val="47407C4E"/>
    <w:rsid w:val="474B4782"/>
    <w:rsid w:val="477C3A74"/>
    <w:rsid w:val="47DA6FED"/>
    <w:rsid w:val="47DD56CA"/>
    <w:rsid w:val="47E24641"/>
    <w:rsid w:val="47E30E5E"/>
    <w:rsid w:val="47F170D7"/>
    <w:rsid w:val="47F91DB4"/>
    <w:rsid w:val="47FD752A"/>
    <w:rsid w:val="47FE4558"/>
    <w:rsid w:val="48533116"/>
    <w:rsid w:val="4865259A"/>
    <w:rsid w:val="486E0728"/>
    <w:rsid w:val="4894434E"/>
    <w:rsid w:val="48D75EE4"/>
    <w:rsid w:val="49022A62"/>
    <w:rsid w:val="49082D06"/>
    <w:rsid w:val="49092B46"/>
    <w:rsid w:val="493D00FA"/>
    <w:rsid w:val="49433483"/>
    <w:rsid w:val="494B70D5"/>
    <w:rsid w:val="499150BC"/>
    <w:rsid w:val="4998101D"/>
    <w:rsid w:val="49A7691C"/>
    <w:rsid w:val="49CD0BAD"/>
    <w:rsid w:val="4A0751E2"/>
    <w:rsid w:val="4A4A2361"/>
    <w:rsid w:val="4A6E1C2F"/>
    <w:rsid w:val="4A841A8B"/>
    <w:rsid w:val="4A916094"/>
    <w:rsid w:val="4AB55388"/>
    <w:rsid w:val="4AD625B4"/>
    <w:rsid w:val="4AF614F4"/>
    <w:rsid w:val="4B6776C2"/>
    <w:rsid w:val="4B6978CC"/>
    <w:rsid w:val="4B7324F9"/>
    <w:rsid w:val="4B814C16"/>
    <w:rsid w:val="4BA70097"/>
    <w:rsid w:val="4BDA74CB"/>
    <w:rsid w:val="4C066574"/>
    <w:rsid w:val="4C3D6D8F"/>
    <w:rsid w:val="4C43011D"/>
    <w:rsid w:val="4C516396"/>
    <w:rsid w:val="4C593F12"/>
    <w:rsid w:val="4CA4367A"/>
    <w:rsid w:val="4CB45725"/>
    <w:rsid w:val="4CCC3C6F"/>
    <w:rsid w:val="4D2F50FB"/>
    <w:rsid w:val="4D5D2B1B"/>
    <w:rsid w:val="4DEE0772"/>
    <w:rsid w:val="4E092CA1"/>
    <w:rsid w:val="4E4B537E"/>
    <w:rsid w:val="4E6725B9"/>
    <w:rsid w:val="4EB96856"/>
    <w:rsid w:val="4EBA649D"/>
    <w:rsid w:val="4ECB22E7"/>
    <w:rsid w:val="4ED00B85"/>
    <w:rsid w:val="4EEA4880"/>
    <w:rsid w:val="4EFB10F4"/>
    <w:rsid w:val="4EFE053A"/>
    <w:rsid w:val="4F6273C0"/>
    <w:rsid w:val="4F7D1920"/>
    <w:rsid w:val="4FCE302E"/>
    <w:rsid w:val="50265A63"/>
    <w:rsid w:val="50535F08"/>
    <w:rsid w:val="505446A7"/>
    <w:rsid w:val="50594CB7"/>
    <w:rsid w:val="50974E33"/>
    <w:rsid w:val="50DB18BB"/>
    <w:rsid w:val="510721EA"/>
    <w:rsid w:val="511E31CA"/>
    <w:rsid w:val="512D010E"/>
    <w:rsid w:val="513149E8"/>
    <w:rsid w:val="513D15DF"/>
    <w:rsid w:val="51452194"/>
    <w:rsid w:val="51596742"/>
    <w:rsid w:val="515C7FB0"/>
    <w:rsid w:val="51600E2A"/>
    <w:rsid w:val="519B4F92"/>
    <w:rsid w:val="519D3E2C"/>
    <w:rsid w:val="51CE0489"/>
    <w:rsid w:val="51FF77F8"/>
    <w:rsid w:val="5257047F"/>
    <w:rsid w:val="525C4136"/>
    <w:rsid w:val="52992845"/>
    <w:rsid w:val="52FF3C37"/>
    <w:rsid w:val="531468A1"/>
    <w:rsid w:val="53154564"/>
    <w:rsid w:val="533E7D4A"/>
    <w:rsid w:val="533F2572"/>
    <w:rsid w:val="538434F5"/>
    <w:rsid w:val="53852D75"/>
    <w:rsid w:val="538F59F6"/>
    <w:rsid w:val="53B93267"/>
    <w:rsid w:val="53BF62DB"/>
    <w:rsid w:val="53DD34F6"/>
    <w:rsid w:val="540D5BAD"/>
    <w:rsid w:val="54305667"/>
    <w:rsid w:val="54316AAD"/>
    <w:rsid w:val="54387007"/>
    <w:rsid w:val="544C3241"/>
    <w:rsid w:val="54700137"/>
    <w:rsid w:val="548412D3"/>
    <w:rsid w:val="54847365"/>
    <w:rsid w:val="54977258"/>
    <w:rsid w:val="54982DA4"/>
    <w:rsid w:val="54AD6A7C"/>
    <w:rsid w:val="551B7191"/>
    <w:rsid w:val="557B0379"/>
    <w:rsid w:val="55933792"/>
    <w:rsid w:val="55946C69"/>
    <w:rsid w:val="55997A6A"/>
    <w:rsid w:val="55A229B0"/>
    <w:rsid w:val="55A45B2A"/>
    <w:rsid w:val="55DB4F23"/>
    <w:rsid w:val="560D1D7E"/>
    <w:rsid w:val="561A5E41"/>
    <w:rsid w:val="56793052"/>
    <w:rsid w:val="568645E4"/>
    <w:rsid w:val="56FB4E02"/>
    <w:rsid w:val="579D02E9"/>
    <w:rsid w:val="57CC4919"/>
    <w:rsid w:val="57E04A72"/>
    <w:rsid w:val="58316637"/>
    <w:rsid w:val="583270EC"/>
    <w:rsid w:val="584101F1"/>
    <w:rsid w:val="58865C1D"/>
    <w:rsid w:val="588F3847"/>
    <w:rsid w:val="58962B11"/>
    <w:rsid w:val="58AA235D"/>
    <w:rsid w:val="58BD2AB9"/>
    <w:rsid w:val="58D746F8"/>
    <w:rsid w:val="58DF4B1B"/>
    <w:rsid w:val="58E12B06"/>
    <w:rsid w:val="58FE147E"/>
    <w:rsid w:val="5906675A"/>
    <w:rsid w:val="59084281"/>
    <w:rsid w:val="592163C9"/>
    <w:rsid w:val="59294FF1"/>
    <w:rsid w:val="59367040"/>
    <w:rsid w:val="596021FD"/>
    <w:rsid w:val="59633561"/>
    <w:rsid w:val="596A0CD8"/>
    <w:rsid w:val="59705D3B"/>
    <w:rsid w:val="597D4C6F"/>
    <w:rsid w:val="598644DE"/>
    <w:rsid w:val="59AD4E28"/>
    <w:rsid w:val="59B63CDD"/>
    <w:rsid w:val="59F760A3"/>
    <w:rsid w:val="5A020223"/>
    <w:rsid w:val="5A427C66"/>
    <w:rsid w:val="5A4E03B9"/>
    <w:rsid w:val="5A72382F"/>
    <w:rsid w:val="5AA4622B"/>
    <w:rsid w:val="5AAF44BC"/>
    <w:rsid w:val="5AE87C8F"/>
    <w:rsid w:val="5B135DDD"/>
    <w:rsid w:val="5B1419A0"/>
    <w:rsid w:val="5B1B6AA6"/>
    <w:rsid w:val="5B5A2ED3"/>
    <w:rsid w:val="5BF56D0C"/>
    <w:rsid w:val="5C1D44E7"/>
    <w:rsid w:val="5C4C7C2C"/>
    <w:rsid w:val="5C7270BD"/>
    <w:rsid w:val="5C854316"/>
    <w:rsid w:val="5C9600F3"/>
    <w:rsid w:val="5CB0541E"/>
    <w:rsid w:val="5CB14C2F"/>
    <w:rsid w:val="5CC521F0"/>
    <w:rsid w:val="5CC826A5"/>
    <w:rsid w:val="5CE71579"/>
    <w:rsid w:val="5CED5D8F"/>
    <w:rsid w:val="5D03345B"/>
    <w:rsid w:val="5D191F82"/>
    <w:rsid w:val="5D1F27C7"/>
    <w:rsid w:val="5D460AFD"/>
    <w:rsid w:val="5D4D40DC"/>
    <w:rsid w:val="5D964551"/>
    <w:rsid w:val="5D9702C9"/>
    <w:rsid w:val="5DAB09F6"/>
    <w:rsid w:val="5E0E5250"/>
    <w:rsid w:val="5E3345B8"/>
    <w:rsid w:val="5E3C66C1"/>
    <w:rsid w:val="5E9D546B"/>
    <w:rsid w:val="5EC545D1"/>
    <w:rsid w:val="5EDC2724"/>
    <w:rsid w:val="5EFB274C"/>
    <w:rsid w:val="5F724559"/>
    <w:rsid w:val="5F914246"/>
    <w:rsid w:val="5FC0768E"/>
    <w:rsid w:val="5FEA2207"/>
    <w:rsid w:val="60095144"/>
    <w:rsid w:val="60326D64"/>
    <w:rsid w:val="60705D51"/>
    <w:rsid w:val="6078046D"/>
    <w:rsid w:val="60B63FB4"/>
    <w:rsid w:val="60BD2365"/>
    <w:rsid w:val="610223CF"/>
    <w:rsid w:val="611F4533"/>
    <w:rsid w:val="61461DEA"/>
    <w:rsid w:val="61811AA6"/>
    <w:rsid w:val="61844C5B"/>
    <w:rsid w:val="61955803"/>
    <w:rsid w:val="619D419F"/>
    <w:rsid w:val="61AF33B6"/>
    <w:rsid w:val="61BB5285"/>
    <w:rsid w:val="61CA0A1F"/>
    <w:rsid w:val="621D6ED0"/>
    <w:rsid w:val="623E0D13"/>
    <w:rsid w:val="624759E4"/>
    <w:rsid w:val="6257462C"/>
    <w:rsid w:val="625C7035"/>
    <w:rsid w:val="62C073FA"/>
    <w:rsid w:val="62C46C97"/>
    <w:rsid w:val="62CA07F9"/>
    <w:rsid w:val="62D505D8"/>
    <w:rsid w:val="62F27CAB"/>
    <w:rsid w:val="63020CC8"/>
    <w:rsid w:val="634379A6"/>
    <w:rsid w:val="635A392B"/>
    <w:rsid w:val="63640C4D"/>
    <w:rsid w:val="636447A9"/>
    <w:rsid w:val="636F3233"/>
    <w:rsid w:val="63974607"/>
    <w:rsid w:val="63AA2713"/>
    <w:rsid w:val="63AC7EFE"/>
    <w:rsid w:val="63FD18A5"/>
    <w:rsid w:val="64052EA9"/>
    <w:rsid w:val="641B57B0"/>
    <w:rsid w:val="64250AD3"/>
    <w:rsid w:val="64610CE9"/>
    <w:rsid w:val="646932DA"/>
    <w:rsid w:val="64AF5EF8"/>
    <w:rsid w:val="64B31A4D"/>
    <w:rsid w:val="64B61035"/>
    <w:rsid w:val="65044496"/>
    <w:rsid w:val="652A37D1"/>
    <w:rsid w:val="653E488F"/>
    <w:rsid w:val="65474383"/>
    <w:rsid w:val="65515BFF"/>
    <w:rsid w:val="655834A3"/>
    <w:rsid w:val="655B1FE0"/>
    <w:rsid w:val="65891DC8"/>
    <w:rsid w:val="65AA5DA5"/>
    <w:rsid w:val="65B17A4E"/>
    <w:rsid w:val="65C508E5"/>
    <w:rsid w:val="65DE4CE7"/>
    <w:rsid w:val="65F91B21"/>
    <w:rsid w:val="660E390B"/>
    <w:rsid w:val="6638272F"/>
    <w:rsid w:val="6695111E"/>
    <w:rsid w:val="66B50CDB"/>
    <w:rsid w:val="66CB1D3D"/>
    <w:rsid w:val="66E55C01"/>
    <w:rsid w:val="66F61F16"/>
    <w:rsid w:val="67080B97"/>
    <w:rsid w:val="675D1C3B"/>
    <w:rsid w:val="67704C60"/>
    <w:rsid w:val="679F25AC"/>
    <w:rsid w:val="67AE693B"/>
    <w:rsid w:val="67C771AB"/>
    <w:rsid w:val="67D90194"/>
    <w:rsid w:val="67F03D44"/>
    <w:rsid w:val="67F87AA9"/>
    <w:rsid w:val="68562FBD"/>
    <w:rsid w:val="687A4A6F"/>
    <w:rsid w:val="68AE485B"/>
    <w:rsid w:val="68C643B9"/>
    <w:rsid w:val="68D5773D"/>
    <w:rsid w:val="692D7C2C"/>
    <w:rsid w:val="693D54D2"/>
    <w:rsid w:val="694F0E02"/>
    <w:rsid w:val="697603CD"/>
    <w:rsid w:val="699D31A0"/>
    <w:rsid w:val="69A842DD"/>
    <w:rsid w:val="69EC4EB8"/>
    <w:rsid w:val="69FC1BE0"/>
    <w:rsid w:val="6A7875F5"/>
    <w:rsid w:val="6AA45DD3"/>
    <w:rsid w:val="6ACD6702"/>
    <w:rsid w:val="6AE47A1D"/>
    <w:rsid w:val="6AE83309"/>
    <w:rsid w:val="6AFF6A89"/>
    <w:rsid w:val="6B2F471C"/>
    <w:rsid w:val="6B807B1E"/>
    <w:rsid w:val="6B9823E2"/>
    <w:rsid w:val="6BA46BE1"/>
    <w:rsid w:val="6BBB5183"/>
    <w:rsid w:val="6C002143"/>
    <w:rsid w:val="6C124C5B"/>
    <w:rsid w:val="6C180827"/>
    <w:rsid w:val="6C2F3503"/>
    <w:rsid w:val="6C327B3B"/>
    <w:rsid w:val="6C726189"/>
    <w:rsid w:val="6CB35C80"/>
    <w:rsid w:val="6D156B14"/>
    <w:rsid w:val="6D19721E"/>
    <w:rsid w:val="6D28637E"/>
    <w:rsid w:val="6D332F2B"/>
    <w:rsid w:val="6D594C53"/>
    <w:rsid w:val="6DC82682"/>
    <w:rsid w:val="6DE84A40"/>
    <w:rsid w:val="6E7175AA"/>
    <w:rsid w:val="6F1463B8"/>
    <w:rsid w:val="6F294217"/>
    <w:rsid w:val="6F636DDF"/>
    <w:rsid w:val="6F674E23"/>
    <w:rsid w:val="6F925F92"/>
    <w:rsid w:val="6FBF6E3C"/>
    <w:rsid w:val="6FEE2186"/>
    <w:rsid w:val="700F662C"/>
    <w:rsid w:val="703178F4"/>
    <w:rsid w:val="706826FD"/>
    <w:rsid w:val="707C3414"/>
    <w:rsid w:val="70904E30"/>
    <w:rsid w:val="7097126C"/>
    <w:rsid w:val="70B70FB4"/>
    <w:rsid w:val="70C146AE"/>
    <w:rsid w:val="71473A79"/>
    <w:rsid w:val="715E0A8A"/>
    <w:rsid w:val="71671DE7"/>
    <w:rsid w:val="7186129B"/>
    <w:rsid w:val="71AF474D"/>
    <w:rsid w:val="71D30A5A"/>
    <w:rsid w:val="71E01B43"/>
    <w:rsid w:val="71E4248B"/>
    <w:rsid w:val="72005FE5"/>
    <w:rsid w:val="72190832"/>
    <w:rsid w:val="721D0945"/>
    <w:rsid w:val="725325B9"/>
    <w:rsid w:val="72555135"/>
    <w:rsid w:val="72C45265"/>
    <w:rsid w:val="72E95EDA"/>
    <w:rsid w:val="72F050EA"/>
    <w:rsid w:val="73102258"/>
    <w:rsid w:val="73124F61"/>
    <w:rsid w:val="731F249B"/>
    <w:rsid w:val="733C67EE"/>
    <w:rsid w:val="73592A5F"/>
    <w:rsid w:val="735F5CD3"/>
    <w:rsid w:val="736533B4"/>
    <w:rsid w:val="736C4CC8"/>
    <w:rsid w:val="737722D7"/>
    <w:rsid w:val="73B81BC3"/>
    <w:rsid w:val="73CC5EE5"/>
    <w:rsid w:val="73F15E96"/>
    <w:rsid w:val="74061450"/>
    <w:rsid w:val="74085625"/>
    <w:rsid w:val="74087220"/>
    <w:rsid w:val="740A1C05"/>
    <w:rsid w:val="741E025D"/>
    <w:rsid w:val="74275AAB"/>
    <w:rsid w:val="745D70B1"/>
    <w:rsid w:val="74653BAB"/>
    <w:rsid w:val="74784559"/>
    <w:rsid w:val="747A4D54"/>
    <w:rsid w:val="74880A2E"/>
    <w:rsid w:val="749B3DA3"/>
    <w:rsid w:val="74A0585D"/>
    <w:rsid w:val="74A239DD"/>
    <w:rsid w:val="74D3353D"/>
    <w:rsid w:val="74D70BCA"/>
    <w:rsid w:val="74D80B53"/>
    <w:rsid w:val="752A6D36"/>
    <w:rsid w:val="7537163A"/>
    <w:rsid w:val="75752846"/>
    <w:rsid w:val="75BF7F65"/>
    <w:rsid w:val="75C13DCE"/>
    <w:rsid w:val="75CB4811"/>
    <w:rsid w:val="760A7432"/>
    <w:rsid w:val="76341FE4"/>
    <w:rsid w:val="7668007C"/>
    <w:rsid w:val="768B7002"/>
    <w:rsid w:val="768E2739"/>
    <w:rsid w:val="768F567D"/>
    <w:rsid w:val="769564EE"/>
    <w:rsid w:val="76972408"/>
    <w:rsid w:val="76B80988"/>
    <w:rsid w:val="76BF1F6C"/>
    <w:rsid w:val="76C27D0D"/>
    <w:rsid w:val="76E660B4"/>
    <w:rsid w:val="770301B6"/>
    <w:rsid w:val="770F2826"/>
    <w:rsid w:val="77510ED3"/>
    <w:rsid w:val="779C230C"/>
    <w:rsid w:val="779D47FF"/>
    <w:rsid w:val="77B07B65"/>
    <w:rsid w:val="77C41F8B"/>
    <w:rsid w:val="780C3400"/>
    <w:rsid w:val="782C7B34"/>
    <w:rsid w:val="783A53EF"/>
    <w:rsid w:val="78434E7D"/>
    <w:rsid w:val="784529A4"/>
    <w:rsid w:val="788C3B28"/>
    <w:rsid w:val="78DE7320"/>
    <w:rsid w:val="78EE0E61"/>
    <w:rsid w:val="78F74CE4"/>
    <w:rsid w:val="78FB3062"/>
    <w:rsid w:val="79102024"/>
    <w:rsid w:val="791660EE"/>
    <w:rsid w:val="792425B9"/>
    <w:rsid w:val="792720A9"/>
    <w:rsid w:val="793F3E3F"/>
    <w:rsid w:val="798F3438"/>
    <w:rsid w:val="7999111B"/>
    <w:rsid w:val="799B4175"/>
    <w:rsid w:val="79EF6761"/>
    <w:rsid w:val="7A17211E"/>
    <w:rsid w:val="7A1E13BB"/>
    <w:rsid w:val="7A273B63"/>
    <w:rsid w:val="7A4A6FE1"/>
    <w:rsid w:val="7A725889"/>
    <w:rsid w:val="7A923E9A"/>
    <w:rsid w:val="7A9E45ED"/>
    <w:rsid w:val="7AE24CA4"/>
    <w:rsid w:val="7AE37744"/>
    <w:rsid w:val="7B051D9D"/>
    <w:rsid w:val="7B174A3F"/>
    <w:rsid w:val="7B204C45"/>
    <w:rsid w:val="7B255038"/>
    <w:rsid w:val="7B255EE6"/>
    <w:rsid w:val="7B2A3405"/>
    <w:rsid w:val="7B3859BF"/>
    <w:rsid w:val="7B592E83"/>
    <w:rsid w:val="7B6476A5"/>
    <w:rsid w:val="7B767318"/>
    <w:rsid w:val="7BA7768D"/>
    <w:rsid w:val="7C6D071B"/>
    <w:rsid w:val="7C6F4493"/>
    <w:rsid w:val="7C9A76A2"/>
    <w:rsid w:val="7CA0464C"/>
    <w:rsid w:val="7CA86DD5"/>
    <w:rsid w:val="7CAC4D2F"/>
    <w:rsid w:val="7CAD2396"/>
    <w:rsid w:val="7CB023B6"/>
    <w:rsid w:val="7CB958A5"/>
    <w:rsid w:val="7CD2057E"/>
    <w:rsid w:val="7CEA6723"/>
    <w:rsid w:val="7CF20C20"/>
    <w:rsid w:val="7CF50E27"/>
    <w:rsid w:val="7D2D267B"/>
    <w:rsid w:val="7D2F4ED8"/>
    <w:rsid w:val="7D372F22"/>
    <w:rsid w:val="7D3C0E62"/>
    <w:rsid w:val="7D47600C"/>
    <w:rsid w:val="7D581323"/>
    <w:rsid w:val="7D5823F5"/>
    <w:rsid w:val="7D582AA5"/>
    <w:rsid w:val="7DCB4FDD"/>
    <w:rsid w:val="7DD12670"/>
    <w:rsid w:val="7DF73B0E"/>
    <w:rsid w:val="7E026C41"/>
    <w:rsid w:val="7E05083C"/>
    <w:rsid w:val="7E440EAA"/>
    <w:rsid w:val="7E4530BC"/>
    <w:rsid w:val="7E5624BF"/>
    <w:rsid w:val="7E6F147A"/>
    <w:rsid w:val="7E8B6C36"/>
    <w:rsid w:val="7E933D3D"/>
    <w:rsid w:val="7EF465ED"/>
    <w:rsid w:val="7F217257"/>
    <w:rsid w:val="7F21759B"/>
    <w:rsid w:val="7F2A72D7"/>
    <w:rsid w:val="7F8D35AC"/>
    <w:rsid w:val="7F966A37"/>
    <w:rsid w:val="7FC95212"/>
    <w:rsid w:val="7FF12162"/>
    <w:rsid w:val="7FF35DD0"/>
    <w:rsid w:val="7FFD1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qFormat/>
    <w:uiPriority w:val="0"/>
    <w:pPr>
      <w:jc w:val="left"/>
    </w:p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Emphasis"/>
    <w:basedOn w:val="9"/>
    <w:qFormat/>
    <w:uiPriority w:val="0"/>
    <w:rPr>
      <w:i/>
    </w:rPr>
  </w:style>
  <w:style w:type="character" w:styleId="12">
    <w:name w:val="Hyperlink"/>
    <w:basedOn w:val="9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hart" Target="charts/chart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4" Type="http://schemas.microsoft.com/office/2011/relationships/chartColorStyle" Target="colors1.xml"/><Relationship Id="rId3" Type="http://schemas.microsoft.com/office/2011/relationships/chartStyle" Target="style1.xml"/><Relationship Id="rId2" Type="http://schemas.openxmlformats.org/officeDocument/2006/relationships/themeOverride" Target="../theme/themeOverride1.xml"/><Relationship Id="rId1" Type="http://schemas.openxmlformats.org/officeDocument/2006/relationships/package" Target="../embeddings/Workbook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zh-CN" sz="1080" b="0" i="0" u="none" strike="noStrike" kern="1200" spc="0" baseline="0">
                <a:solidFill>
                  <a:sysClr val="windowText" lastClr="000000">
                    <a:lumMod val="75000"/>
                    <a:lumOff val="25000"/>
                  </a:sys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  <a:r>
              <a:t>每月专区开设数量趋势</a:t>
            </a:r>
          </a:p>
        </c:rich>
      </c:tx>
      <c:layout/>
      <c:overlay val="1"/>
      <c:spPr>
        <a:noFill/>
        <a:ln>
          <a:noFill/>
        </a:ln>
        <a:effectLst/>
      </c:sp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系列 1</c:v>
                </c:pt>
              </c:strCache>
            </c:strRef>
          </c:tx>
          <c:spPr>
            <a:ln w="28575" cap="flat" cmpd="sng">
              <a:solidFill>
                <a:srgbClr val="4874CB"/>
              </a:solidFill>
              <a:prstDash val="solid"/>
              <a:miter lim="800000"/>
            </a:ln>
            <a:effectLst/>
          </c:spPr>
          <c:marker>
            <c:symbol val="none"/>
          </c:marker>
          <c:dLbls>
            <c:numFmt formatCode="General" sourceLinked="1"/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 forceAA="0"/>
              <a:lstStyle/>
              <a:p>
                <a:pPr>
                  <a:defRPr lang="zh-CN" sz="900" b="1" i="0" u="none" strike="noStrike" kern="1200" baseline="0">
                    <a:solidFill>
                      <a:srgbClr val="4874CB"/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ysClr val="windowText" lastClr="000000">
                          <a:lumMod val="35000"/>
                          <a:lumOff val="65000"/>
                        </a:sys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Sheet1!$A$2:$A$8</c:f>
              <c:numCache>
                <c:formatCode>yyyy"年"m"月"</c:formatCode>
                <c:ptCount val="7"/>
                <c:pt idx="0" c:formatCode="yyyy&quot;年&quot;m&quot;月&quot;">
                  <c:v>45870</c:v>
                </c:pt>
                <c:pt idx="1" c:formatCode="yyyy&quot;年&quot;m&quot;月&quot;">
                  <c:v>45901</c:v>
                </c:pt>
                <c:pt idx="2" c:formatCode="yyyy&quot;年&quot;m&quot;月&quot;">
                  <c:v>45931</c:v>
                </c:pt>
                <c:pt idx="3" c:formatCode="yyyy&quot;年&quot;m&quot;月&quot;">
                  <c:v>45962</c:v>
                </c:pt>
                <c:pt idx="4" c:formatCode="yyyy&quot;年&quot;m&quot;月&quot;">
                  <c:v>45992</c:v>
                </c:pt>
                <c:pt idx="5" c:formatCode="yyyy&quot;年&quot;m&quot;月&quot;">
                  <c:v>46023</c:v>
                </c:pt>
                <c:pt idx="6" c:formatCode="yyyy&quot;年&quot;m&quot;月&quot;">
                  <c:v>46054</c:v>
                </c:pt>
              </c:numCache>
            </c:numRef>
          </c:cat>
          <c:val>
            <c:numRef>
              <c:f>Sheet1!$B$2:$B$8</c:f>
              <c:numCache>
                <c:formatCode>General</c:formatCode>
                <c:ptCount val="7"/>
                <c:pt idx="0">
                  <c:v>2</c:v>
                </c:pt>
                <c:pt idx="1">
                  <c:v>0</c:v>
                </c:pt>
                <c:pt idx="2">
                  <c:v>2</c:v>
                </c:pt>
                <c:pt idx="3">
                  <c:v>5</c:v>
                </c:pt>
                <c:pt idx="4">
                  <c:v>5</c:v>
                </c:pt>
                <c:pt idx="5">
                  <c:v>4</c:v>
                </c:pt>
                <c:pt idx="6">
                  <c:v>1</c:v>
                </c:pt>
              </c:numCache>
            </c:numRef>
          </c:val>
          <c:smooth val="0"/>
        </c:ser>
        <c:dLbls>
          <c:showLegendKey val="0"/>
          <c:showVal val="1"/>
          <c:showCatName val="0"/>
          <c:showSerName val="0"/>
          <c:showPercent val="0"/>
          <c:showBubbleSize val="0"/>
        </c:dLbls>
        <c:dropLines>
          <c:spPr>
            <a:ln w="9525" cap="flat" cmpd="sng" algn="ctr">
              <a:gradFill>
                <a:gsLst>
                  <a:gs pos="0">
                    <a:srgbClr val="4874CB"/>
                  </a:gs>
                  <a:gs pos="100000">
                    <a:sysClr val="window" lastClr="FFFFFF"/>
                  </a:gs>
                </a:gsLst>
                <a:lin ang="5400000" scaled="1"/>
              </a:gradFill>
              <a:round/>
            </a:ln>
            <a:effectLst/>
          </c:spPr>
        </c:dropLines>
        <c:marker val="0"/>
        <c:smooth val="0"/>
        <c:axId val="996970629"/>
        <c:axId val="797278951"/>
      </c:lineChart>
      <c:dateAx>
        <c:axId val="99697062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6350" cap="flat" cmpd="sng" algn="ctr">
            <a:solidFill>
              <a:sysClr val="windowText" lastClr="000000">
                <a:lumMod val="50000"/>
                <a:lumOff val="50000"/>
                <a:alpha val="25000"/>
              </a:sysClr>
            </a:solidFill>
            <a:round/>
          </a:ln>
          <a:effectLst/>
        </c:spPr>
        <c:txPr>
          <a:bodyPr rot="-60000000" spcFirstLastPara="0" vertOverflow="ellipsis" vert="horz" wrap="square" anchor="ctr" anchorCtr="1" forceAA="0"/>
          <a:lstStyle/>
          <a:p>
            <a:pPr>
              <a:defRPr lang="zh-CN" sz="900" b="0" i="0" u="none" strike="noStrike" kern="1200" baseline="0">
                <a:solidFill>
                  <a:sysClr val="windowText" lastClr="000000">
                    <a:lumMod val="75000"/>
                    <a:lumOff val="25000"/>
                  </a:sys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797278951"/>
        <c:crosses val="autoZero"/>
        <c:auto val="1"/>
        <c:lblOffset val="100"/>
        <c:baseTimeUnit val="months"/>
      </c:dateAx>
      <c:valAx>
        <c:axId val="797278951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txPr>
          <a:bodyPr rot="-60000000" spcFirstLastPara="0" vertOverflow="ellipsis" vert="horz" wrap="square" anchor="ctr" anchorCtr="1" forceAA="0"/>
          <a:lstStyle/>
          <a:p>
            <a:pPr>
              <a:defRPr lang="zh-CN" sz="900" b="0" i="0" u="none" strike="noStrike" kern="1200" baseline="0">
                <a:solidFill>
                  <a:sysClr val="windowText" lastClr="000000">
                    <a:lumMod val="75000"/>
                    <a:lumOff val="25000"/>
                  </a:sys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996970629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9bd9132d-0e5d-435b-889f-1f571624a13e}"/>
      </c:ext>
    </c:extLst>
  </c:chart>
  <c:spPr>
    <a:solidFill>
      <a:sysClr val="window" lastClr="FFFFFF"/>
    </a:solidFill>
    <a:ln w="6350" cap="flat" cmpd="sng" algn="ctr">
      <a:solidFill>
        <a:sysClr val="windowText" lastClr="000000">
          <a:lumMod val="50000"/>
          <a:lumOff val="50000"/>
          <a:alpha val="25000"/>
        </a:sysClr>
      </a:solidFill>
      <a:round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 sz="900">
          <a:solidFill>
            <a:sysClr val="windowText" lastClr="000000">
              <a:lumMod val="75000"/>
              <a:lumOff val="25000"/>
            </a:sysClr>
          </a:solidFill>
          <a:latin typeface="微软雅黑" panose="020B0503020204020204" charset="-122"/>
          <a:ea typeface="微软雅黑" panose="020B0503020204020204" charset="-122"/>
          <a:cs typeface="微软雅黑" panose="020B0503020204020204" charset="-122"/>
          <a:sym typeface="微软雅黑" panose="020B0503020204020204" charset="-122"/>
        </a:defRPr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ysClr val="windowText" lastClr="000000">
        <a:lumMod val="65000"/>
        <a:lumOff val="35000"/>
      </a:sysClr>
    </cs:fontRef>
    <cs:defRPr sz="1000" kern="1200"/>
  </cs:axisTitle>
  <cs:categoryAxis>
    <cs:lnRef idx="0"/>
    <cs:fillRef idx="0"/>
    <cs:effectRef idx="0"/>
    <cs:fontRef idx="minor">
      <a:sysClr val="windowText" lastClr="000000">
        <a:lumMod val="65000"/>
        <a:lumOff val="35000"/>
      </a:sysClr>
    </cs:fontRef>
    <cs:spPr>
      <a:ln w="9525" cap="flat" cmpd="sng" algn="ctr">
        <a:solidFill>
          <a:sysClr val="windowText" lastClr="000000">
            <a:lumMod val="25000"/>
            <a:lumOff val="75000"/>
          </a:sys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ysClr val="windowText" lastClr="000000"/>
    </cs:fontRef>
    <cs:spPr>
      <a:solidFill>
        <a:sysClr val="window" lastClr="FFFFFF"/>
      </a:solidFill>
      <a:ln w="9525" cap="flat" cmpd="sng" algn="ctr">
        <a:solidFill>
          <a:sysClr val="windowText" lastClr="000000">
            <a:lumMod val="15000"/>
            <a:lumOff val="85000"/>
          </a:sysClr>
        </a:solidFill>
        <a:round/>
      </a:ln>
    </cs:spPr>
    <cs:defRPr sz="1000" kern="1200"/>
  </cs:chartArea>
  <cs:dataLabel>
    <cs:lnRef idx="0"/>
    <cs:fillRef idx="0"/>
    <cs:effectRef idx="0"/>
    <cs:fontRef idx="minor">
      <a:sysClr val="windowText" lastClr="000000">
        <a:lumMod val="75000"/>
        <a:lumOff val="25000"/>
      </a:sysClr>
    </cs:fontRef>
    <cs:defRPr sz="900" kern="1200"/>
  </cs:dataLabel>
  <cs:dataLabelCallout>
    <cs:lnRef idx="0"/>
    <cs:fillRef idx="0"/>
    <cs:effectRef idx="0"/>
    <cs:fontRef idx="minor">
      <a:sysClr val="windowText" lastClr="000000">
        <a:lumMod val="65000"/>
        <a:lumOff val="35000"/>
      </a:sysClr>
    </cs:fontRef>
    <cs:spPr>
      <a:solidFill>
        <a:sysClr val="window" lastClr="FFFFFF"/>
      </a:solidFill>
      <a:ln>
        <a:solidFill>
          <a:sysClr val="windowText" lastClr="000000">
            <a:lumMod val="25000"/>
            <a:lumOff val="75000"/>
          </a:sys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ysClr val="windowText" lastClr="000000"/>
    </cs:fontRef>
  </cs:dataPoint>
  <cs:dataPoint3D>
    <cs:lnRef idx="0"/>
    <cs:fillRef idx="1">
      <cs:styleClr val="auto"/>
    </cs:fillRef>
    <cs:effectRef idx="0"/>
    <cs:fontRef idx="minor">
      <a:sysClr val="windowText" lastClr="000000"/>
    </cs:fontRef>
  </cs:dataPoint3D>
  <cs:dataPointLine>
    <cs:lnRef idx="0">
      <cs:styleClr val="auto"/>
    </cs:lnRef>
    <cs:fillRef idx="1"/>
    <cs:effectRef idx="0"/>
    <cs:fontRef idx="minor">
      <a:sysClr val="windowText" lastClr="000000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ysClr val="windowText" lastClr="000000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ysClr val="windowText" lastClr="000000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ysClr val="windowText" lastClr="000000">
        <a:lumMod val="65000"/>
        <a:lumOff val="35000"/>
      </a:sysClr>
    </cs:fontRef>
    <cs:spPr>
      <a:noFill/>
      <a:ln w="9525" cap="flat" cmpd="sng" algn="ctr">
        <a:solidFill>
          <a:sysClr val="windowText" lastClr="000000">
            <a:lumMod val="15000"/>
            <a:lumOff val="85000"/>
          </a:sysClr>
        </a:solidFill>
        <a:round/>
      </a:ln>
    </cs:spPr>
    <cs:defRPr sz="900" kern="1200"/>
  </cs:dataTable>
  <cs:downBar>
    <cs:lnRef idx="0"/>
    <cs:fillRef idx="0"/>
    <cs:effectRef idx="0"/>
    <cs:fontRef idx="minor">
      <a:sysClr val="windowText" lastClr="000000"/>
    </cs:fontRef>
    <cs:spPr>
      <a:solidFill>
        <a:sysClr val="windowText" lastClr="000000">
          <a:lumMod val="75000"/>
          <a:lumOff val="25000"/>
        </a:sysClr>
      </a:solidFill>
      <a:ln w="9525" cap="flat" cmpd="sng" algn="ctr">
        <a:solidFill>
          <a:sysClr val="windowText" lastClr="000000">
            <a:lumMod val="65000"/>
            <a:lumOff val="35000"/>
          </a:sysClr>
        </a:solidFill>
        <a:round/>
      </a:ln>
    </cs:spPr>
  </cs:downBar>
  <cs:dropLine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35000"/>
            <a:lumOff val="65000"/>
          </a:sysClr>
        </a:solidFill>
        <a:round/>
      </a:ln>
    </cs:spPr>
  </cs:dropLine>
  <cs:errorBar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65000"/>
            <a:lumOff val="35000"/>
          </a:sysClr>
        </a:solidFill>
        <a:round/>
      </a:ln>
    </cs:spPr>
  </cs:errorBar>
  <cs:floor>
    <cs:lnRef idx="0"/>
    <cs:fillRef idx="0"/>
    <cs:effectRef idx="0"/>
    <cs:fontRef idx="minor">
      <a:sysClr val="windowText" lastClr="000000"/>
    </cs:fontRef>
    <cs:spPr>
      <a:noFill/>
      <a:ln>
        <a:noFill/>
      </a:ln>
    </cs:spPr>
  </cs:floor>
  <cs:gridlineMajor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15000"/>
            <a:lumOff val="85000"/>
          </a:sysClr>
        </a:solidFill>
        <a:round/>
      </a:ln>
    </cs:spPr>
  </cs:gridlineMajor>
  <cs:gridlineMinor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5000"/>
            <a:lumOff val="95000"/>
          </a:sysClr>
        </a:solidFill>
        <a:round/>
      </a:ln>
    </cs:spPr>
  </cs:gridlineMinor>
  <cs:hiLoLine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50000"/>
            <a:lumOff val="50000"/>
          </a:sysClr>
        </a:solidFill>
        <a:round/>
      </a:ln>
    </cs:spPr>
  </cs:hiLoLine>
  <cs:leaderLine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35000"/>
            <a:lumOff val="65000"/>
          </a:sysClr>
        </a:solidFill>
        <a:round/>
      </a:ln>
    </cs:spPr>
  </cs:leaderLine>
  <cs:legend>
    <cs:lnRef idx="0"/>
    <cs:fillRef idx="0"/>
    <cs:effectRef idx="0"/>
    <cs:fontRef idx="minor">
      <a:sysClr val="windowText" lastClr="000000">
        <a:lumMod val="65000"/>
        <a:lumOff val="35000"/>
      </a:sysClr>
    </cs:fontRef>
    <cs:defRPr sz="900" kern="1200"/>
  </cs:legend>
  <cs:plotArea mods="allowNoFillOverride allowNoLineOverride">
    <cs:lnRef idx="0"/>
    <cs:fillRef idx="0"/>
    <cs:effectRef idx="0"/>
    <cs:fontRef idx="minor">
      <a:sysClr val="windowText" lastClr="000000"/>
    </cs:fontRef>
  </cs:plotArea>
  <cs:plotArea3D mods="allowNoFillOverride allowNoLineOverride">
    <cs:lnRef idx="0"/>
    <cs:fillRef idx="0"/>
    <cs:effectRef idx="0"/>
    <cs:fontRef idx="minor">
      <a:sysClr val="windowText" lastClr="000000"/>
    </cs:fontRef>
  </cs:plotArea3D>
  <cs:seriesAxis>
    <cs:lnRef idx="0"/>
    <cs:fillRef idx="0"/>
    <cs:effectRef idx="0"/>
    <cs:fontRef idx="minor">
      <a:sysClr val="windowText" lastClr="000000">
        <a:lumMod val="65000"/>
        <a:lumOff val="35000"/>
      </a:sysClr>
    </cs:fontRef>
    <cs:defRPr sz="900" kern="1200"/>
  </cs:seriesAxis>
  <cs:seriesLine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35000"/>
            <a:lumOff val="65000"/>
          </a:sysClr>
        </a:solidFill>
        <a:round/>
      </a:ln>
    </cs:spPr>
  </cs:seriesLine>
  <cs:title>
    <cs:lnRef idx="0"/>
    <cs:fillRef idx="0"/>
    <cs:effectRef idx="0"/>
    <cs:fontRef idx="minor">
      <a:sysClr val="windowText" lastClr="000000">
        <a:lumMod val="65000"/>
        <a:lumOff val="35000"/>
      </a:sys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ysClr val="windowText" lastClr="000000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ysClr val="windowText" lastClr="000000">
        <a:lumMod val="65000"/>
        <a:lumOff val="35000"/>
      </a:sysClr>
    </cs:fontRef>
    <cs:defRPr sz="900" kern="1200"/>
  </cs:trendlineLabel>
  <cs:upBar>
    <cs:lnRef idx="0"/>
    <cs:fillRef idx="0"/>
    <cs:effectRef idx="0"/>
    <cs:fontRef idx="minor">
      <a:sysClr val="windowText" lastClr="000000"/>
    </cs:fontRef>
    <cs:spPr>
      <a:solidFill>
        <a:sysClr val="window" lastClr="FFFFFF"/>
      </a:solidFill>
      <a:ln w="9525" cap="flat" cmpd="sng" algn="ctr">
        <a:solidFill>
          <a:sysClr val="windowText" lastClr="000000">
            <a:lumMod val="65000"/>
            <a:lumOff val="35000"/>
          </a:sysClr>
        </a:solidFill>
        <a:round/>
      </a:ln>
    </cs:spPr>
  </cs:upBar>
  <cs:valueAxis>
    <cs:lnRef idx="0"/>
    <cs:fillRef idx="0"/>
    <cs:effectRef idx="0"/>
    <cs:fontRef idx="minor">
      <a:sysClr val="windowText" lastClr="000000">
        <a:lumMod val="65000"/>
        <a:lumOff val="35000"/>
      </a:sysClr>
    </cs:fontRef>
    <cs:spPr>
      <a:ln w="9525" cap="flat" cmpd="sng" algn="ctr">
        <a:solidFill>
          <a:sysClr val="windowText" lastClr="000000">
            <a:lumMod val="25000"/>
            <a:lumOff val="75000"/>
          </a:sysClr>
        </a:solidFill>
        <a:round/>
      </a:ln>
    </cs:spPr>
    <cs:defRPr sz="900" kern="1200"/>
  </cs:valueAxis>
  <cs:wall>
    <cs:lnRef idx="0"/>
    <cs:fillRef idx="0"/>
    <cs:effectRef idx="0"/>
    <cs:fontRef idx="minor">
      <a:sysClr val="windowText" lastClr="000000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word/theme/themeOverride1.xml><?xml version="1.0" encoding="utf-8"?>
<a:themeOverride xmlns:a="http://schemas.openxmlformats.org/drawingml/2006/main">
  <a:clrScheme name="自定义 10">
    <a:dk1>
      <a:srgbClr val="000000"/>
    </a:dk1>
    <a:lt1>
      <a:srgbClr val="FFFFFF"/>
    </a:lt1>
    <a:dk2>
      <a:srgbClr val="44546A"/>
    </a:dk2>
    <a:lt2>
      <a:srgbClr val="E7E6E6"/>
    </a:lt2>
    <a:accent1>
      <a:srgbClr val="3875FF"/>
    </a:accent1>
    <a:accent2>
      <a:srgbClr val="FCBE00"/>
    </a:accent2>
    <a:accent3>
      <a:srgbClr val="73A1FF"/>
    </a:accent3>
    <a:accent4>
      <a:srgbClr val="6FD5FF"/>
    </a:accent4>
    <a:accent5>
      <a:srgbClr val="FC9400"/>
    </a:accent5>
    <a:accent6>
      <a:srgbClr val="0093F0"/>
    </a:accent6>
    <a:hlink>
      <a:srgbClr val="0026E5"/>
    </a:hlink>
    <a:folHlink>
      <a:srgbClr val="7E1FAD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1447</Words>
  <Characters>1525</Characters>
  <Lines>0</Lines>
  <Paragraphs>0</Paragraphs>
  <TotalTime>7</TotalTime>
  <ScaleCrop>false</ScaleCrop>
  <LinksUpToDate>false</LinksUpToDate>
  <CharactersWithSpaces>1525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2025-10-14T06:08:00Z</dcterms:created>
  <dc:creator>frien</dc:creator>
  <cp:lastModifiedBy>陈海勇</cp:lastModifiedBy>
  <dcterms:modified xsi:type="dcterms:W3CDTF">2026-03-30T08:31:03Z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eyJoZGlkIjoiOWQ4NzQ2NDA2Mjk4MzBjMjFlZDk1ZWU3MWU0M2U3MTgiLCJ1c2VySWQiOiI0MjIzNjk0MzYifQ==</vt:lpwstr>
  </property>
  <property fmtid="{D5CDD505-2E9C-101B-9397-08002B2CF9AE}" pid="4" name="ICV">
    <vt:lpwstr>B177CBF3843B41FF816B7923A750A44C_13</vt:lpwstr>
  </property>
</Properties>
</file>