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xlsx" ContentType="application/vnd.openxmlformats-officedocument.spreadsheetml.shee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Extensions/webExtension1.xml" ContentType="application/vnd.wps-officedocument.webExtension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9FEAC">
      <w:pPr>
        <w:pStyle w:val="31"/>
        <w:jc w:val="center"/>
      </w:pPr>
      <w:r>
        <w:t>新点e交易专区（中原/华北）收益成本</w:t>
      </w:r>
    </w:p>
    <w:p w14:paraId="75B57242">
      <w:r>
        <w:t>近期基于新点e交易平台各专区的运营数据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截至2026年3月底</w:t>
      </w:r>
      <w:r>
        <w:rPr>
          <w:rFonts w:hint="eastAsia" w:eastAsia="宋体"/>
          <w:lang w:eastAsia="zh-CN"/>
        </w:rPr>
        <w:t>），</w:t>
      </w:r>
      <w:r>
        <w:t>从收益、成本、时间维度进行分析。通过部分指标的统计分析，我们发现当前平台存在一定数量的零收益、低收益专区，需要引起重点关注并采取针对性措施。</w:t>
      </w:r>
    </w:p>
    <w:p w14:paraId="6169BCCA">
      <w:r>
        <w:t>数据统计范围涵盖中原、华北等区域共114个</w:t>
      </w:r>
      <w:r>
        <w:rPr>
          <w:rFonts w:hint="eastAsia" w:eastAsia="宋体"/>
          <w:lang w:val="en-US" w:eastAsia="zh-CN"/>
        </w:rPr>
        <w:t>SAAS</w:t>
      </w:r>
      <w:r>
        <w:t>专区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合同编号以C开头</w:t>
      </w:r>
      <w:r>
        <w:rPr>
          <w:rFonts w:hint="eastAsia" w:eastAsia="宋体"/>
          <w:lang w:eastAsia="zh-CN"/>
        </w:rPr>
        <w:t>）</w:t>
      </w:r>
      <w:r>
        <w:t>，重点分析确认接入时间、25年总收益、26年总收益、总成本等关键指标。通过建立风险分级体系（红色-重点关注、橙色-需改进、黄色-观察、灰色-流失风险）。</w:t>
      </w:r>
    </w:p>
    <w:p w14:paraId="55578974">
      <w:r>
        <w:t>本次统计识别出一批需重点关注的低收益专区，其中纳入红色等级预警的有</w:t>
      </w:r>
      <w:r>
        <w:rPr>
          <w:rFonts w:hint="eastAsia" w:eastAsia="宋体"/>
          <w:lang w:val="en-US" w:eastAsia="zh-CN"/>
        </w:rPr>
        <w:t>82</w:t>
      </w:r>
      <w:r>
        <w:t xml:space="preserve"> 个、橙色等级预警的有 37 个（两类等级存在部分专区重叠），另有灰色等级 20 个。从数据趋势来看，</w:t>
      </w:r>
      <w:r>
        <w:rPr>
          <w:b/>
          <w:bCs/>
        </w:rPr>
        <w:t>部分早期接入的专区已出现运营效率低下、客户活跃度下降等问题</w:t>
      </w:r>
      <w:r>
        <w:t>。</w:t>
      </w:r>
    </w:p>
    <w:p w14:paraId="58B0EE3B">
      <w:pPr>
        <w:pStyle w:val="3"/>
      </w:pPr>
      <w:r>
        <w:t>一、核心数据概览</w:t>
      </w:r>
    </w:p>
    <w:p w14:paraId="3106CF08">
      <w:pPr>
        <w:pStyle w:val="4"/>
      </w:pPr>
      <w:r>
        <w:t xml:space="preserve">1.1 </w:t>
      </w:r>
      <w:r>
        <w:rPr>
          <w:rFonts w:hint="eastAsia" w:eastAsia="宋体"/>
          <w:lang w:val="en-US" w:eastAsia="zh-CN"/>
        </w:rPr>
        <w:t>八</w:t>
      </w:r>
      <w:r>
        <w:t>大指标统计</w:t>
      </w:r>
    </w:p>
    <w:tbl>
      <w:tblPr>
        <w:tblStyle w:val="32"/>
        <w:tblW w:w="88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3"/>
        <w:gridCol w:w="4239"/>
        <w:gridCol w:w="531"/>
        <w:gridCol w:w="1053"/>
        <w:gridCol w:w="1007"/>
        <w:gridCol w:w="1123"/>
      </w:tblGrid>
      <w:tr w14:paraId="36313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35B9EED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指标</w:t>
            </w:r>
          </w:p>
        </w:tc>
        <w:tc>
          <w:tcPr>
            <w:tcW w:w="4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65DD3BA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条件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397CFDB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数量</w:t>
            </w:r>
          </w:p>
        </w:tc>
        <w:tc>
          <w:tcPr>
            <w:tcW w:w="10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4668CFB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  <w:t>占比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70EE1FD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风险等级</w:t>
            </w:r>
          </w:p>
        </w:tc>
        <w:tc>
          <w:tcPr>
            <w:tcW w:w="11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721DC1A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备注</w:t>
            </w:r>
          </w:p>
        </w:tc>
      </w:tr>
      <w:tr w14:paraId="11158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3B03AC6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指标一</w:t>
            </w:r>
          </w:p>
        </w:tc>
        <w:tc>
          <w:tcPr>
            <w:tcW w:w="4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165BB1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接入超过1年，总收益为0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397E6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12</w:t>
            </w:r>
          </w:p>
        </w:tc>
        <w:tc>
          <w:tcPr>
            <w:tcW w:w="10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9BDED9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10.53%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11828E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2"/>
                <w:szCs w:val="22"/>
              </w:rPr>
              <w:t>红色</w:t>
            </w:r>
          </w:p>
        </w:tc>
        <w:tc>
          <w:tcPr>
            <w:tcW w:w="11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7CE139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重点关注</w:t>
            </w:r>
          </w:p>
        </w:tc>
      </w:tr>
      <w:tr w14:paraId="009DA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2592359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指标二</w:t>
            </w:r>
          </w:p>
        </w:tc>
        <w:tc>
          <w:tcPr>
            <w:tcW w:w="4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6CAE4B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接入超过1年，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0&lt;</w:t>
            </w:r>
            <w:r>
              <w:rPr>
                <w:rFonts w:ascii="微软雅黑" w:hAnsi="微软雅黑" w:eastAsia="微软雅黑" w:cs="微软雅黑"/>
                <w:sz w:val="22"/>
                <w:szCs w:val="22"/>
              </w:rPr>
              <w:t>总收益&lt;10w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4F5C3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49</w:t>
            </w:r>
          </w:p>
        </w:tc>
        <w:tc>
          <w:tcPr>
            <w:tcW w:w="10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EE3B5D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42.98%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893B45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2"/>
                <w:szCs w:val="22"/>
              </w:rPr>
              <w:t>红色</w:t>
            </w:r>
          </w:p>
        </w:tc>
        <w:tc>
          <w:tcPr>
            <w:tcW w:w="11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607C42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重点关注</w:t>
            </w:r>
          </w:p>
        </w:tc>
      </w:tr>
      <w:tr w14:paraId="79A98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1D0BC32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  <w:lang w:eastAsia="zh-CN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三</w:t>
            </w:r>
          </w:p>
        </w:tc>
        <w:tc>
          <w:tcPr>
            <w:tcW w:w="4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00B993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接入超过1年，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0&lt;</w:t>
            </w:r>
            <w:r>
              <w:rPr>
                <w:rFonts w:ascii="微软雅黑" w:hAnsi="微软雅黑" w:eastAsia="微软雅黑" w:cs="微软雅黑"/>
                <w:sz w:val="22"/>
                <w:szCs w:val="22"/>
              </w:rPr>
              <w:t>总收益&lt;5w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56EB1F0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39</w:t>
            </w:r>
          </w:p>
        </w:tc>
        <w:tc>
          <w:tcPr>
            <w:tcW w:w="10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19A7F9A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34.21%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538BB2A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2"/>
                <w:szCs w:val="22"/>
              </w:rPr>
              <w:t>红色</w:t>
            </w:r>
          </w:p>
        </w:tc>
        <w:tc>
          <w:tcPr>
            <w:tcW w:w="11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0AB6853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重点关注</w:t>
            </w:r>
          </w:p>
        </w:tc>
      </w:tr>
      <w:tr w14:paraId="7D7D7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168B7AF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  <w:lang w:bidi="ar-SA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四</w:t>
            </w:r>
          </w:p>
        </w:tc>
        <w:tc>
          <w:tcPr>
            <w:tcW w:w="4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62E9DC9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接入超过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3个月，小于1年</w:t>
            </w:r>
            <w:r>
              <w:rPr>
                <w:rFonts w:ascii="微软雅黑" w:hAnsi="微软雅黑" w:eastAsia="微软雅黑" w:cs="微软雅黑"/>
                <w:sz w:val="22"/>
                <w:szCs w:val="22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总收益为0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6681A93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21</w:t>
            </w:r>
          </w:p>
        </w:tc>
        <w:tc>
          <w:tcPr>
            <w:tcW w:w="10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42F6C4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18.42%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A6F97C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  <w:lang w:bidi="ar-SA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2"/>
                <w:szCs w:val="22"/>
              </w:rPr>
              <w:t>红色</w:t>
            </w:r>
          </w:p>
        </w:tc>
        <w:tc>
          <w:tcPr>
            <w:tcW w:w="11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738A061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  <w:lang w:bidi="ar-SA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重点关注</w:t>
            </w:r>
          </w:p>
        </w:tc>
      </w:tr>
      <w:tr w14:paraId="395D4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3B25439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指标五</w:t>
            </w:r>
          </w:p>
        </w:tc>
        <w:tc>
          <w:tcPr>
            <w:tcW w:w="4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07DE781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25年前接入，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0&lt;</w:t>
            </w:r>
            <w:r>
              <w:rPr>
                <w:rFonts w:ascii="微软雅黑" w:hAnsi="微软雅黑" w:eastAsia="微软雅黑" w:cs="微软雅黑"/>
                <w:sz w:val="22"/>
                <w:szCs w:val="22"/>
              </w:rPr>
              <w:t>25年收益&lt;10w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EA806E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37</w:t>
            </w:r>
          </w:p>
        </w:tc>
        <w:tc>
          <w:tcPr>
            <w:tcW w:w="10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61D07AD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32.46%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2ABE100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ED7D31"/>
                <w:sz w:val="22"/>
                <w:szCs w:val="22"/>
              </w:rPr>
              <w:t>橙色</w:t>
            </w:r>
          </w:p>
        </w:tc>
        <w:tc>
          <w:tcPr>
            <w:tcW w:w="11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0FA3A70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需改进</w:t>
            </w:r>
          </w:p>
        </w:tc>
      </w:tr>
      <w:tr w14:paraId="41EC2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5DA8E3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  <w:lang w:bidi="ar-SA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指标六</w:t>
            </w:r>
          </w:p>
        </w:tc>
        <w:tc>
          <w:tcPr>
            <w:tcW w:w="4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CA6B21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25年前接入，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0&lt;</w:t>
            </w:r>
            <w:r>
              <w:rPr>
                <w:rFonts w:ascii="微软雅黑" w:hAnsi="微软雅黑" w:eastAsia="微软雅黑" w:cs="微软雅黑"/>
                <w:sz w:val="22"/>
                <w:szCs w:val="22"/>
              </w:rPr>
              <w:t>25年收益&lt;5w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DB0631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33</w:t>
            </w:r>
          </w:p>
        </w:tc>
        <w:tc>
          <w:tcPr>
            <w:tcW w:w="10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58EB3C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28.95%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B4BD53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ED7D31"/>
                <w:sz w:val="22"/>
                <w:szCs w:val="22"/>
              </w:rPr>
              <w:t>橙色</w:t>
            </w:r>
          </w:p>
        </w:tc>
        <w:tc>
          <w:tcPr>
            <w:tcW w:w="11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48610A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需改进</w:t>
            </w:r>
          </w:p>
        </w:tc>
      </w:tr>
      <w:tr w14:paraId="6BCC6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2FC7ADF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  <w:lang w:bidi="ar-SA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七</w:t>
            </w:r>
          </w:p>
        </w:tc>
        <w:tc>
          <w:tcPr>
            <w:tcW w:w="4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AE0C9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26年产生收益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1673BE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2"/>
                <w:szCs w:val="24"/>
                <w:lang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0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39BECD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29.82%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549372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C000"/>
                <w:sz w:val="22"/>
                <w:szCs w:val="22"/>
              </w:rPr>
              <w:t>黄色</w:t>
            </w:r>
          </w:p>
        </w:tc>
        <w:tc>
          <w:tcPr>
            <w:tcW w:w="11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5B29AF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观察</w:t>
            </w:r>
          </w:p>
        </w:tc>
      </w:tr>
      <w:tr w14:paraId="75F0A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5283EEC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八</w:t>
            </w:r>
          </w:p>
        </w:tc>
        <w:tc>
          <w:tcPr>
            <w:tcW w:w="4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AFC530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25年有收益，26年无</w:t>
            </w:r>
          </w:p>
        </w:tc>
        <w:tc>
          <w:tcPr>
            <w:tcW w:w="5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0E8D753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10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17FB31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17.54%</w:t>
            </w:r>
          </w:p>
        </w:tc>
        <w:tc>
          <w:tcPr>
            <w:tcW w:w="10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6683D81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7F7F7F"/>
                <w:sz w:val="22"/>
                <w:szCs w:val="22"/>
              </w:rPr>
              <w:t>灰色</w:t>
            </w:r>
          </w:p>
        </w:tc>
        <w:tc>
          <w:tcPr>
            <w:tcW w:w="11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7C35073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流失风险</w:t>
            </w:r>
          </w:p>
        </w:tc>
      </w:tr>
    </w:tbl>
    <w:p w14:paraId="3842920F">
      <w:pPr>
        <w:rPr>
          <w:rFonts w:ascii="宋体" w:hAnsi="宋体" w:eastAsia="宋体" w:cs="宋体"/>
          <w:sz w:val="24"/>
          <w:szCs w:val="24"/>
        </w:rPr>
      </w:pPr>
      <w:r>
        <w:rPr>
          <w:b/>
          <w:bCs/>
        </w:rPr>
        <w:t>接入超1年</w:t>
      </w:r>
      <w:r>
        <w:rPr>
          <w:rFonts w:ascii="宋体" w:hAnsi="宋体" w:eastAsia="宋体" w:cs="宋体"/>
          <w:b/>
          <w:bCs/>
          <w:sz w:val="24"/>
          <w:szCs w:val="24"/>
        </w:rPr>
        <w:t>专区收益偏低</w:t>
      </w:r>
    </w:p>
    <w:p w14:paraId="2885E5B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接入超1年但长期零收益的专区共 12 个；长期低收益专区（总收益 10w 以下）共计49个，占比较高，</w:t>
      </w:r>
      <w:r>
        <w:t>进一步分析收益5w以下的专区</w:t>
      </w:r>
      <w:r>
        <w:rPr>
          <w:rFonts w:hint="eastAsia" w:eastAsia="宋体"/>
          <w:lang w:eastAsia="zh-CN"/>
        </w:rPr>
        <w:t>，</w:t>
      </w:r>
      <w:r>
        <w:t>数量为39个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4B241C0D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中期接入专区零收益占比高</w:t>
      </w:r>
    </w:p>
    <w:p w14:paraId="5049B0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接入时长 3 个月至 1 年的专区中，无收益专区有 21 个，需作为重点关注对象。</w:t>
      </w:r>
    </w:p>
    <w:p w14:paraId="2BE9513C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早期接入专区运营效率不足</w:t>
      </w:r>
    </w:p>
    <w:p w14:paraId="1D2136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25 年前接入的专区中，25 年收益在</w:t>
      </w:r>
      <w:r>
        <w:rPr>
          <w:rFonts w:hint="eastAsia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  <w:szCs w:val="24"/>
        </w:rPr>
        <w:t>w以下的有3</w:t>
      </w:r>
      <w:r>
        <w:rPr>
          <w:rFonts w:hint="eastAsia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个，</w:t>
      </w:r>
      <w:r>
        <w:rPr>
          <w:rFonts w:hint="eastAsia" w:eastAsia="宋体" w:cs="宋体"/>
          <w:sz w:val="24"/>
          <w:szCs w:val="24"/>
          <w:lang w:val="en-US" w:eastAsia="zh-CN"/>
        </w:rPr>
        <w:t>5w以下的有33个，</w:t>
      </w:r>
      <w:r>
        <w:rPr>
          <w:rFonts w:hint="eastAsia" w:ascii="宋体" w:hAnsi="宋体" w:eastAsia="宋体" w:cs="宋体"/>
          <w:sz w:val="24"/>
          <w:szCs w:val="24"/>
        </w:rPr>
        <w:t>反映出早期接入专区的运营效率存在明显问题。</w:t>
      </w:r>
    </w:p>
    <w:p w14:paraId="0EF0C979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存量专区存在客户流失风险</w:t>
      </w:r>
    </w:p>
    <w:p w14:paraId="420975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有20个专区在25年产生收益，但26年暂无收益，存在客户流失风险，需重点跟进。</w:t>
      </w:r>
    </w:p>
    <w:p w14:paraId="2DA22E0B">
      <w:pPr>
        <w:pStyle w:val="5"/>
        <w:numPr>
          <w:ilvl w:val="2"/>
          <w:numId w:val="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大企业专区分析</w:t>
      </w:r>
    </w:p>
    <w:p w14:paraId="5ECFD8CC">
      <w:pPr>
        <w:numPr>
          <w:ilvl w:val="0"/>
          <w:numId w:val="0"/>
        </w:numPr>
        <w:rPr>
          <w:rFonts w:hint="default" w:eastAsia="宋体" w:cs="宋体"/>
          <w:sz w:val="24"/>
          <w:szCs w:val="24"/>
          <w:lang w:val="en-US" w:eastAsia="zh-CN"/>
        </w:rPr>
      </w:pPr>
      <w:r>
        <w:rPr>
          <w:rFonts w:hint="eastAsia" w:eastAsia="宋体" w:cs="宋体"/>
          <w:sz w:val="24"/>
          <w:szCs w:val="24"/>
          <w:lang w:val="en-US" w:eastAsia="zh-CN"/>
        </w:rPr>
        <w:t>大企业专区共22个，具体各项指标分析如下。其中总收益10w以下（包括0收益）占比45.45%，需重点关注，25年存在收益，26年尚无收益的有2个，需要优先关注下。</w:t>
      </w:r>
    </w:p>
    <w:tbl>
      <w:tblPr>
        <w:tblStyle w:val="32"/>
        <w:tblW w:w="88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"/>
        <w:gridCol w:w="4254"/>
        <w:gridCol w:w="513"/>
        <w:gridCol w:w="1054"/>
        <w:gridCol w:w="1007"/>
        <w:gridCol w:w="1124"/>
      </w:tblGrid>
      <w:tr w14:paraId="2B20E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7B2DB77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指标</w:t>
            </w:r>
          </w:p>
        </w:tc>
        <w:tc>
          <w:tcPr>
            <w:tcW w:w="4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6E6AFF9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条件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7A8D134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数量</w:t>
            </w:r>
          </w:p>
        </w:tc>
        <w:tc>
          <w:tcPr>
            <w:tcW w:w="10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60486BE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  <w:t>占比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2295965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风险等级</w:t>
            </w:r>
          </w:p>
        </w:tc>
        <w:tc>
          <w:tcPr>
            <w:tcW w:w="11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59F37C4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备注</w:t>
            </w:r>
          </w:p>
        </w:tc>
      </w:tr>
      <w:tr w14:paraId="1AC9A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6F36E9B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指标一</w:t>
            </w:r>
          </w:p>
        </w:tc>
        <w:tc>
          <w:tcPr>
            <w:tcW w:w="4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760F68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接入超过1年，总收益为0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C2F758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0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737D5F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9.09%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83873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2"/>
                <w:szCs w:val="22"/>
              </w:rPr>
              <w:t>红色</w:t>
            </w:r>
          </w:p>
        </w:tc>
        <w:tc>
          <w:tcPr>
            <w:tcW w:w="11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3146E4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重点关注</w:t>
            </w:r>
          </w:p>
        </w:tc>
      </w:tr>
      <w:tr w14:paraId="42031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0927F66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指标二</w:t>
            </w:r>
          </w:p>
        </w:tc>
        <w:tc>
          <w:tcPr>
            <w:tcW w:w="4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B7E3F3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接入超过1年，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0&lt;</w:t>
            </w:r>
            <w:r>
              <w:rPr>
                <w:rFonts w:ascii="微软雅黑" w:hAnsi="微软雅黑" w:eastAsia="微软雅黑" w:cs="微软雅黑"/>
                <w:sz w:val="22"/>
                <w:szCs w:val="22"/>
              </w:rPr>
              <w:t>总收益&lt;10w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71BAC9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10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18FAA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36.36%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EDEF06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2"/>
                <w:szCs w:val="22"/>
              </w:rPr>
              <w:t>红色</w:t>
            </w:r>
          </w:p>
        </w:tc>
        <w:tc>
          <w:tcPr>
            <w:tcW w:w="11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D26C2F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重点关注</w:t>
            </w:r>
          </w:p>
        </w:tc>
      </w:tr>
      <w:tr w14:paraId="51C0C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62012B6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  <w:lang w:eastAsia="zh-CN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三</w:t>
            </w:r>
          </w:p>
        </w:tc>
        <w:tc>
          <w:tcPr>
            <w:tcW w:w="4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7AD0565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接入超过1年，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0&lt;</w:t>
            </w:r>
            <w:r>
              <w:rPr>
                <w:rFonts w:ascii="微软雅黑" w:hAnsi="微软雅黑" w:eastAsia="微软雅黑" w:cs="微软雅黑"/>
                <w:sz w:val="22"/>
                <w:szCs w:val="22"/>
              </w:rPr>
              <w:t>总收益&lt;5w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091F9DE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10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67E01BD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22.73%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757371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2"/>
                <w:szCs w:val="22"/>
              </w:rPr>
              <w:t>红色</w:t>
            </w:r>
          </w:p>
        </w:tc>
        <w:tc>
          <w:tcPr>
            <w:tcW w:w="11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6C2D135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重点关注</w:t>
            </w:r>
          </w:p>
        </w:tc>
      </w:tr>
      <w:tr w14:paraId="53A37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72B4F4F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  <w:lang w:bidi="ar-SA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四</w:t>
            </w:r>
          </w:p>
        </w:tc>
        <w:tc>
          <w:tcPr>
            <w:tcW w:w="4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042449E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接入超过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3个月，小于1年</w:t>
            </w:r>
            <w:r>
              <w:rPr>
                <w:rFonts w:ascii="微软雅黑" w:hAnsi="微软雅黑" w:eastAsia="微软雅黑" w:cs="微软雅黑"/>
                <w:sz w:val="22"/>
                <w:szCs w:val="22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总收益为0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6E80B18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0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5711C00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13.64%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1664C61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  <w:lang w:bidi="ar-SA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2"/>
                <w:szCs w:val="22"/>
              </w:rPr>
              <w:t>红色</w:t>
            </w:r>
          </w:p>
        </w:tc>
        <w:tc>
          <w:tcPr>
            <w:tcW w:w="11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79F77F2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  <w:lang w:bidi="ar-SA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重点关注</w:t>
            </w:r>
          </w:p>
        </w:tc>
      </w:tr>
      <w:tr w14:paraId="4E381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2C3FF55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指标五</w:t>
            </w:r>
          </w:p>
        </w:tc>
        <w:tc>
          <w:tcPr>
            <w:tcW w:w="4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2D8DA56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25年前接入，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0&lt;</w:t>
            </w:r>
            <w:r>
              <w:rPr>
                <w:rFonts w:ascii="微软雅黑" w:hAnsi="微软雅黑" w:eastAsia="微软雅黑" w:cs="微软雅黑"/>
                <w:sz w:val="22"/>
                <w:szCs w:val="22"/>
              </w:rPr>
              <w:t>25年收益&lt;10w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7677FA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7</w:t>
            </w:r>
          </w:p>
        </w:tc>
        <w:tc>
          <w:tcPr>
            <w:tcW w:w="10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2D4283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31.82%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1DB91E8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ED7D31"/>
                <w:sz w:val="22"/>
                <w:szCs w:val="22"/>
              </w:rPr>
              <w:t>橙色</w:t>
            </w:r>
          </w:p>
        </w:tc>
        <w:tc>
          <w:tcPr>
            <w:tcW w:w="11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E3E962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需改进</w:t>
            </w:r>
          </w:p>
        </w:tc>
      </w:tr>
      <w:tr w14:paraId="7620D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2B87436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  <w:lang w:bidi="ar-SA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指标六</w:t>
            </w:r>
          </w:p>
        </w:tc>
        <w:tc>
          <w:tcPr>
            <w:tcW w:w="4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7A722F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25年前接入，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0&lt;</w:t>
            </w:r>
            <w:r>
              <w:rPr>
                <w:rFonts w:ascii="微软雅黑" w:hAnsi="微软雅黑" w:eastAsia="微软雅黑" w:cs="微软雅黑"/>
                <w:sz w:val="22"/>
                <w:szCs w:val="22"/>
              </w:rPr>
              <w:t>25年收益&lt;5w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EC967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10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49C9E1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22.73%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8535D7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ED7D31"/>
                <w:sz w:val="22"/>
                <w:szCs w:val="22"/>
              </w:rPr>
              <w:t>橙色</w:t>
            </w:r>
          </w:p>
        </w:tc>
        <w:tc>
          <w:tcPr>
            <w:tcW w:w="11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CC6C75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需改进</w:t>
            </w:r>
          </w:p>
        </w:tc>
      </w:tr>
      <w:tr w14:paraId="4CD41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1E3DF9E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  <w:lang w:bidi="ar-SA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七</w:t>
            </w:r>
          </w:p>
        </w:tc>
        <w:tc>
          <w:tcPr>
            <w:tcW w:w="4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91161A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26年产生收益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19BA07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12</w:t>
            </w:r>
          </w:p>
        </w:tc>
        <w:tc>
          <w:tcPr>
            <w:tcW w:w="10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410CED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54.55%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5E6620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C000"/>
                <w:sz w:val="22"/>
                <w:szCs w:val="22"/>
              </w:rPr>
              <w:t>黄色</w:t>
            </w:r>
          </w:p>
        </w:tc>
        <w:tc>
          <w:tcPr>
            <w:tcW w:w="11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043277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观察</w:t>
            </w:r>
          </w:p>
        </w:tc>
      </w:tr>
      <w:tr w14:paraId="5AC1B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6E9B77E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八</w:t>
            </w:r>
          </w:p>
        </w:tc>
        <w:tc>
          <w:tcPr>
            <w:tcW w:w="4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0DFF4C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25年有收益，26年无</w:t>
            </w:r>
          </w:p>
        </w:tc>
        <w:tc>
          <w:tcPr>
            <w:tcW w:w="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20D22F0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0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32CC9B4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9.09%</w:t>
            </w:r>
          </w:p>
        </w:tc>
        <w:tc>
          <w:tcPr>
            <w:tcW w:w="10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597D2EB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7F7F7F"/>
                <w:sz w:val="22"/>
                <w:szCs w:val="22"/>
              </w:rPr>
              <w:t>灰色</w:t>
            </w:r>
          </w:p>
        </w:tc>
        <w:tc>
          <w:tcPr>
            <w:tcW w:w="11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381D98F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流失风险</w:t>
            </w:r>
          </w:p>
        </w:tc>
      </w:tr>
    </w:tbl>
    <w:p w14:paraId="2A587FE1">
      <w:pPr>
        <w:numPr>
          <w:ilvl w:val="0"/>
          <w:numId w:val="0"/>
        </w:numPr>
        <w:ind w:leftChars="0"/>
        <w:rPr>
          <w:rFonts w:hint="default" w:eastAsia="宋体" w:cs="宋体"/>
          <w:sz w:val="24"/>
          <w:szCs w:val="24"/>
          <w:lang w:val="en-US" w:eastAsia="zh-CN"/>
        </w:rPr>
      </w:pPr>
    </w:p>
    <w:p w14:paraId="601B72F7">
      <w:pPr>
        <w:pStyle w:val="4"/>
      </w:pPr>
      <w:r>
        <w:t>1.2 风险等级分布</w:t>
      </w:r>
    </w:p>
    <w:p w14:paraId="759AED22">
      <w:r>
        <w:t>根据收益水平、接入时长、趋势变化等维度，我们将专区划分为四个风险等级：</w:t>
      </w:r>
    </w:p>
    <w:p w14:paraId="0723032A">
      <w:pPr>
        <w:numPr>
          <w:ilvl w:val="0"/>
          <w:numId w:val="0"/>
        </w:numPr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C00000"/>
          <w:sz w:val="24"/>
          <w:szCs w:val="24"/>
        </w:rPr>
        <w:t>【红色-重点关注】</w:t>
      </w:r>
    </w:p>
    <w:p w14:paraId="4D88CA36">
      <w:pPr>
        <w:rPr>
          <w:rFonts w:hint="default" w:eastAsia="宋体"/>
          <w:lang w:val="en-US" w:eastAsia="zh-CN"/>
        </w:rPr>
      </w:pPr>
      <w:r>
        <w:t>处理对象：接入超过一年，但长期零收益或者低收益专区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或刚接入一年内无收益的;接入超过3个月，总收益为0的专区；</w:t>
      </w:r>
    </w:p>
    <w:p w14:paraId="272C7740">
      <w:r>
        <w:t>处理措施：</w:t>
      </w:r>
    </w:p>
    <w:p w14:paraId="068D5F96">
      <w:pPr>
        <w:pStyle w:val="16"/>
      </w:pPr>
      <w:r>
        <w:t>逐一排查专区运营状态，确认是否仍在正常服务客户</w:t>
      </w:r>
    </w:p>
    <w:p w14:paraId="00BF4EAB">
      <w:pPr>
        <w:pStyle w:val="16"/>
      </w:pPr>
      <w:r>
        <w:t>对于长期无交易的专区，评估是否继续投入运营成本</w:t>
      </w:r>
    </w:p>
    <w:p w14:paraId="0F60A6E1">
      <w:pPr>
        <w:pStyle w:val="16"/>
      </w:pPr>
      <w:r>
        <w:t>制定专区下线计划，释放运维资源</w:t>
      </w:r>
    </w:p>
    <w:p w14:paraId="3908B555">
      <w:pPr>
        <w:pStyle w:val="16"/>
      </w:pPr>
      <w:r>
        <w:t>对于仍有潜力的专区，制定专项提升计划，明确责任人和时间节点</w:t>
      </w:r>
    </w:p>
    <w:p w14:paraId="1AB2C7A7">
      <w:pPr>
        <w:rPr>
          <w:b/>
          <w:bCs/>
          <w:color w:val="ED7D31"/>
        </w:rPr>
      </w:pPr>
      <w:r>
        <w:rPr>
          <w:b/>
          <w:bCs/>
          <w:color w:val="ED7D31"/>
        </w:rPr>
        <w:t>【橙色-需改进】</w:t>
      </w:r>
    </w:p>
    <w:p w14:paraId="750DDCA4">
      <w:r>
        <w:t>处理对象：25年前接入，25年存在收益但小于10w</w:t>
      </w:r>
    </w:p>
    <w:p w14:paraId="0701922F">
      <w:r>
        <w:t>处理措施：</w:t>
      </w:r>
    </w:p>
    <w:p w14:paraId="18C9A448">
      <w:pPr>
        <w:pStyle w:val="16"/>
      </w:pPr>
      <w:r>
        <w:t>分析专区情况，找出收益低的原因，是否客户业务量上限，是否存在上量可能</w:t>
      </w:r>
    </w:p>
    <w:p w14:paraId="230BAC4C">
      <w:pPr>
        <w:numPr>
          <w:ilvl w:val="0"/>
          <w:numId w:val="0"/>
        </w:numPr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FFC000"/>
          <w:sz w:val="24"/>
          <w:szCs w:val="24"/>
        </w:rPr>
        <w:t>【 黄色-观察】</w:t>
      </w:r>
    </w:p>
    <w:p w14:paraId="5E16D235">
      <w:r>
        <w:t>26年产生收益的专区，运营状态良好，继续保持观察。</w:t>
      </w:r>
    </w:p>
    <w:p w14:paraId="35FAA00B">
      <w:pPr>
        <w:numPr>
          <w:ilvl w:val="0"/>
          <w:numId w:val="0"/>
        </w:numPr>
        <w:rPr>
          <w:rFonts w:ascii="微软雅黑" w:hAnsi="微软雅黑" w:eastAsia="微软雅黑" w:cs="微软雅黑"/>
          <w:b/>
          <w:bCs/>
          <w:color w:val="7F7F7F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7F7F7F"/>
          <w:sz w:val="24"/>
          <w:szCs w:val="24"/>
        </w:rPr>
        <w:t>【 灰色-流失风险】</w:t>
      </w:r>
    </w:p>
    <w:p w14:paraId="63153866">
      <w:r>
        <w:t>处理对象：25年有收益但26年无收益专区</w:t>
      </w:r>
    </w:p>
    <w:p w14:paraId="53FCB4CB">
      <w:r>
        <w:t>处理措施：</w:t>
      </w:r>
    </w:p>
    <w:p w14:paraId="0A76B82E">
      <w:pPr>
        <w:pStyle w:val="16"/>
      </w:pPr>
      <w:r>
        <w:t>优先安排人员对该部分专区进行情况了解</w:t>
      </w:r>
    </w:p>
    <w:p w14:paraId="1708529F">
      <w:pPr>
        <w:pStyle w:val="16"/>
      </w:pPr>
      <w:r>
        <w:t>了解客户流失原因</w:t>
      </w:r>
    </w:p>
    <w:p w14:paraId="2A9CE276">
      <w:pPr>
        <w:pStyle w:val="3"/>
      </w:pPr>
      <w:r>
        <w:t>二、收益分析</w:t>
      </w:r>
    </w:p>
    <w:p w14:paraId="00FD39EA">
      <w:pPr>
        <w:pStyle w:val="4"/>
      </w:pPr>
      <w:r>
        <w:t>2.1 25年收益分布</w:t>
      </w:r>
    </w:p>
    <w:p w14:paraId="0D1A18C7">
      <w:pPr>
        <w:ind w:firstLine="480" w:firstLineChars="200"/>
      </w:pPr>
      <w:r>
        <w:rPr>
          <w:rFonts w:hint="eastAsia"/>
        </w:rPr>
        <w:t>针对25年前接入的零收益及低收益专区，我们进一步分析其2025年总收益分布情况。数据显示，61个零收益及低收益专区，零收益专区25个（占比41%），0-5万元收益区间专区32个（占比52%），5-10万元区间仅4个（占比7%）</w:t>
      </w:r>
      <w:r>
        <w:rPr>
          <w:rFonts w:hint="eastAsia" w:eastAsia="宋体"/>
          <w:lang w:eastAsia="zh-CN"/>
        </w:rPr>
        <w:t>，</w:t>
      </w:r>
      <w:r>
        <w:rPr>
          <w:rFonts w:hint="eastAsia"/>
        </w:rPr>
        <w:t>超过九成专区收益不足5万元，反映出低收益专区普遍存在运营效率偏低的问题</w:t>
      </w:r>
      <w:r>
        <w:t>。</w:t>
      </w:r>
    </w:p>
    <w:p w14:paraId="48E93240"/>
    <w:p w14:paraId="2ABB5E18">
      <w:pPr>
        <w:widowControl w:val="0"/>
        <w:spacing w:after="200" w:line="240" w:lineRule="auto"/>
        <w:jc w:val="both"/>
        <w:rPr>
          <w:rFonts w:ascii="微软雅黑" w:hAnsi="微软雅黑" w:eastAsia="微软雅黑" w:cs="微软雅黑"/>
          <w:szCs w:val="24"/>
        </w:rPr>
      </w:pPr>
      <w:r>
        <w:rPr>
          <w:rFonts w:hint="eastAsia" w:ascii="微软雅黑" w:hAnsi="微软雅黑" w:eastAsia="微软雅黑" w:cs="微软雅黑"/>
          <w:szCs w:val="24"/>
          <w:lang w:eastAsia="zh-CN"/>
        </w:rPr>
        <w:drawing>
          <wp:inline distT="0" distB="0" distL="114300" distR="114300">
            <wp:extent cx="5911215" cy="2349500"/>
            <wp:effectExtent l="0" t="0" r="4445" b="3810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2349500"/>
                    </a:xfrm>
                    <a:prstGeom prst="rect">
                      <a:avLst/>
                    </a:prstGeom>
                    <a:extLst>
                      <a:ext uri="{8CAD56D8-0F58-4FB8-B24C-77498146470C}">
                        <wpswe:webExtensionRef xmlns:wpswe="http://www.wps.cn/officeDocument/2018/webExtension" r:id="rId6"/>
                      </a:ext>
                      <wpswe:webExtensionRef xmlns:wpswe="http://www.wps.cn/officeDocument/2018/webExtension" r:id="rId6"/>
                    </a:extLst>
                  </pic:spPr>
                </pic:pic>
              </a:graphicData>
            </a:graphic>
          </wp:inline>
        </w:drawing>
      </w:r>
    </w:p>
    <w:p w14:paraId="7E8BC1BE">
      <w:pPr>
        <w:widowControl w:val="0"/>
        <w:spacing w:after="300" w:line="240" w:lineRule="auto"/>
        <w:jc w:val="center"/>
        <w:rPr>
          <w:rFonts w:ascii="微软雅黑" w:hAnsi="微软雅黑" w:eastAsia="微软雅黑" w:cs="微软雅黑"/>
          <w:szCs w:val="24"/>
        </w:rPr>
      </w:pPr>
      <w:r>
        <w:rPr>
          <w:rFonts w:ascii="微软雅黑" w:hAnsi="微软雅黑" w:eastAsia="微软雅黑" w:cs="微软雅黑"/>
          <w:i/>
          <w:iCs/>
          <w:sz w:val="20"/>
          <w:szCs w:val="20"/>
        </w:rPr>
        <w:t>图</w:t>
      </w:r>
      <w:r>
        <w:rPr>
          <w:rFonts w:hint="eastAsia" w:ascii="微软雅黑" w:hAnsi="微软雅黑" w:eastAsia="微软雅黑" w:cs="微软雅黑"/>
          <w:i/>
          <w:iCs/>
          <w:sz w:val="20"/>
          <w:szCs w:val="20"/>
          <w:lang w:val="en-US" w:eastAsia="zh-CN"/>
        </w:rPr>
        <w:t>1</w:t>
      </w:r>
      <w:r>
        <w:rPr>
          <w:rFonts w:ascii="微软雅黑" w:hAnsi="微软雅黑" w:eastAsia="微软雅黑" w:cs="微软雅黑"/>
          <w:i/>
          <w:iCs/>
          <w:sz w:val="20"/>
          <w:szCs w:val="20"/>
        </w:rPr>
        <w:t>：25年前接入专区收益分布（25年总收益&lt;10万）</w:t>
      </w:r>
    </w:p>
    <w:p w14:paraId="2E00F5A2">
      <w:pPr>
        <w:pStyle w:val="4"/>
        <w:rPr>
          <w:rFonts w:hint="default"/>
          <w:lang w:val="en-US"/>
        </w:rPr>
      </w:pPr>
      <w:r>
        <w:t>2.</w:t>
      </w:r>
      <w:r>
        <w:rPr>
          <w:rFonts w:hint="eastAsia" w:eastAsia="宋体"/>
          <w:lang w:val="en-US" w:eastAsia="zh-CN"/>
        </w:rPr>
        <w:t>2</w:t>
      </w:r>
      <w:r>
        <w:t xml:space="preserve"> </w:t>
      </w:r>
      <w:r>
        <w:rPr>
          <w:rFonts w:hint="eastAsia" w:eastAsia="宋体"/>
          <w:lang w:val="en-US" w:eastAsia="zh-CN"/>
        </w:rPr>
        <w:t>分公司零收益/低收益分析</w:t>
      </w:r>
    </w:p>
    <w:p w14:paraId="24E3458D">
      <w:pPr>
        <w:keepNext/>
        <w:jc w:val="center"/>
      </w:pPr>
    </w:p>
    <w:p w14:paraId="50B6DAB2">
      <w:pPr>
        <w:keepNext/>
        <w:ind w:firstLine="720" w:firstLineChars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交易济南分公司、交易武汉分公司、交易郑州分公司专区开设较多，同时其中大多数专区为零收益、低收益专区，交易呼和浩特分公司、交易乌鲁木齐分公司，低收益专区占比也较多。</w:t>
      </w:r>
    </w:p>
    <w:tbl>
      <w:tblPr>
        <w:tblStyle w:val="33"/>
        <w:tblW w:w="88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475"/>
        <w:gridCol w:w="840"/>
        <w:gridCol w:w="1068"/>
        <w:gridCol w:w="964"/>
        <w:gridCol w:w="1012"/>
        <w:gridCol w:w="963"/>
        <w:gridCol w:w="980"/>
        <w:gridCol w:w="974"/>
      </w:tblGrid>
      <w:tr w14:paraId="51553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7CF3989E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</w:pPr>
            <w:bookmarkStart w:id="0" w:name="_GoBack"/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2CBA2FB4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7765144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  <w:t>专区总数</w:t>
            </w:r>
          </w:p>
        </w:tc>
        <w:tc>
          <w:tcPr>
            <w:tcW w:w="30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08625E5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  <w:t>25年前接入专区25年收益情况</w:t>
            </w:r>
          </w:p>
        </w:tc>
        <w:tc>
          <w:tcPr>
            <w:tcW w:w="29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56FC354E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  <w:t>接入超3个月专区总收益情况</w:t>
            </w:r>
          </w:p>
        </w:tc>
      </w:tr>
      <w:tr w14:paraId="5D94E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BF9FF8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DD87A1C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532AE96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7A30474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  <w:t>0收益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33CD5EB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  <w:t>0-5w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5AE8351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  <w:t>5-10w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1B6C84C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  <w:t>0收益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4D2D520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  <w:t>0-5w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3617659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  <w:t>5-10w</w:t>
            </w:r>
          </w:p>
        </w:tc>
      </w:tr>
      <w:tr w14:paraId="770A4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20EC3E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FA5D14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交易北京分公司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6A54BD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1C233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DED16A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25E2A8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FEF66E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B51A3C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4C33F1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</w:tr>
      <w:tr w14:paraId="30737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046C53F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77E1B3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交易兵团分公司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CEDCF6C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C8DEF7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34A4A6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EEE038D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FA9AFBA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DBBCFEF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3E556E8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</w:tr>
      <w:tr w14:paraId="301FE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16B01A4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10F66EF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交易呼和浩特分公司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A632A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C43AD68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D4EB50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1E999EF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EA550B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01DFA6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E527381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</w:tr>
      <w:tr w14:paraId="6D249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2D7D86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FA235AF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交易济南分公司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F03DCF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CF99AD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B8F1B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B1EE9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9519064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72DFB3A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  <w:t>15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3B34398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</w:tr>
      <w:tr w14:paraId="7B175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A47F2FC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D0FBFDA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交易沈阳分公司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001C141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2161921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F2ACCE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CA3975E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93AE4E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A34A8A8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0BC45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</w:tr>
      <w:tr w14:paraId="52B05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33B453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2596E9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交易武汉分公司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160ED7A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DDCAC8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99CB87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D9BBF6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777B6B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47F9082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3BB2C5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</w:tr>
      <w:tr w14:paraId="1FFA3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E95A151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C3C4A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交易乌鲁木齐分公司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FC55E2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8DF5F22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72154E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38310E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42F593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2D3AB4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B764AE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3A6FD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8F0AA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F54B9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交易郑州分公司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DBB674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29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57F0D76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E59D74F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8E79EC2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36D7782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3231C7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  <w:t>14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B609026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</w:tr>
      <w:tr w14:paraId="3F531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FC0ED04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74208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数字采购沈阳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C09C446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18B1A9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30793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D16DEA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28EFA38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A393E4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02BC07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</w:tr>
      <w:tr w14:paraId="270D2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E112ABE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1F709F1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交易长春分公司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5AB91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5341A8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E16BF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0D3FC4F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1CAB8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90FF4B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D886CB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</w:tr>
      <w:tr w14:paraId="39F11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CFB47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A598A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石家庄分公司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4012FF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19CB8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802F4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B71E5A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86960DD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C72DE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447F80C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</w:tr>
      <w:bookmarkEnd w:id="0"/>
    </w:tbl>
    <w:p w14:paraId="6FCA3FFB">
      <w:pPr>
        <w:jc w:val="center"/>
      </w:pPr>
    </w:p>
    <w:p w14:paraId="2115E7D9">
      <w:pPr>
        <w:pStyle w:val="4"/>
      </w:pPr>
      <w:r>
        <w:t>2.</w:t>
      </w:r>
      <w:r>
        <w:rPr>
          <w:rFonts w:hint="eastAsia" w:eastAsia="宋体"/>
          <w:lang w:val="en-US" w:eastAsia="zh-CN"/>
        </w:rPr>
        <w:t>3</w:t>
      </w:r>
      <w:r>
        <w:t xml:space="preserve"> 流失风险专区TOP10</w:t>
      </w:r>
    </w:p>
    <w:p w14:paraId="36DB1749">
      <w:r>
        <w:t>以下10个专区在2025年产生较高收益，但2026年至今暂无收益记录，存在较高的客户流失或业务停滞风险，建议优先安排客户经理进行回访和原因排查。</w:t>
      </w:r>
    </w:p>
    <w:p w14:paraId="364C87FB"/>
    <w:p w14:paraId="76F74B8B">
      <w:pPr>
        <w:jc w:val="center"/>
      </w:pPr>
      <w:r>
        <w:drawing>
          <wp:inline distT="0" distB="0" distL="114300" distR="114300">
            <wp:extent cx="6138545" cy="2719705"/>
            <wp:effectExtent l="0" t="0" r="381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8545" cy="272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10A5">
      <w:pPr>
        <w:pStyle w:val="3"/>
      </w:pPr>
      <w:r>
        <w:rPr>
          <w:rFonts w:hint="eastAsia" w:eastAsia="宋体"/>
          <w:lang w:val="en-US" w:eastAsia="zh-CN"/>
        </w:rPr>
        <w:t>三</w:t>
      </w:r>
      <w:r>
        <w:t>、</w:t>
      </w:r>
      <w:r>
        <w:rPr>
          <w:rFonts w:hint="eastAsia" w:eastAsia="宋体"/>
          <w:lang w:val="en-US" w:eastAsia="zh-CN"/>
        </w:rPr>
        <w:t>成本</w:t>
      </w:r>
      <w:r>
        <w:t>分析</w:t>
      </w:r>
    </w:p>
    <w:p w14:paraId="1BC16913">
      <w:pPr>
        <w:ind w:firstLine="480" w:firstLineChars="20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目前平台0收益专区共40个，其中接入时间超过3个月的0收益专区有33个，其中人工成本超过3w的专区有4个，需要重点关注下。</w:t>
      </w:r>
    </w:p>
    <w:tbl>
      <w:tblPr>
        <w:tblStyle w:val="33"/>
        <w:tblW w:w="88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5287"/>
        <w:gridCol w:w="2389"/>
      </w:tblGrid>
      <w:tr w14:paraId="48702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548DD4"/>
            <w:vAlign w:val="center"/>
          </w:tcPr>
          <w:p w14:paraId="1BE82A7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0" w:type="auto"/>
            <w:shd w:val="clear" w:color="auto" w:fill="548DD4"/>
            <w:vAlign w:val="center"/>
          </w:tcPr>
          <w:p w14:paraId="4087AE6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  <w:t>专区名称</w:t>
            </w:r>
          </w:p>
        </w:tc>
        <w:tc>
          <w:tcPr>
            <w:tcW w:w="2389" w:type="dxa"/>
            <w:shd w:val="clear" w:color="auto" w:fill="548DD4"/>
            <w:vAlign w:val="center"/>
          </w:tcPr>
          <w:p w14:paraId="1703615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  <w:t>人工成本</w:t>
            </w:r>
          </w:p>
        </w:tc>
      </w:tr>
      <w:tr w14:paraId="6F393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777CB12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微软雅黑" w:eastAsia="ＭＳ 明朝" w:cs="微软雅黑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Calibri" w:hAnsi="微软雅黑" w:eastAsia="ＭＳ 明朝" w:cs="微软雅黑"/>
                <w:sz w:val="21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47871BD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微软雅黑" w:eastAsia="ＭＳ 明朝" w:cs="微软雅黑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ascii="Calibri" w:hAnsi="Calibri" w:eastAsia="ＭＳ 明朝" w:cs="Times New Roman"/>
                <w:sz w:val="21"/>
              </w:rPr>
              <w:t>焦作市全要素阳光交易平台</w:t>
            </w:r>
          </w:p>
        </w:tc>
        <w:tc>
          <w:tcPr>
            <w:tcW w:w="2389" w:type="dxa"/>
            <w:vAlign w:val="center"/>
          </w:tcPr>
          <w:p w14:paraId="051CBE7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Calibri" w:hAnsi="微软雅黑" w:eastAsia="ＭＳ 明朝" w:cs="微软雅黑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ascii="Calibri" w:hAnsi="Calibri" w:eastAsia="ＭＳ 明朝" w:cs="Times New Roman"/>
                <w:sz w:val="21"/>
              </w:rPr>
              <w:t>52197.73元</w:t>
            </w:r>
          </w:p>
        </w:tc>
      </w:tr>
      <w:tr w14:paraId="2E8B3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3FA0434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微软雅黑" w:eastAsia="ＭＳ 明朝" w:cs="微软雅黑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Calibri" w:hAnsi="微软雅黑" w:eastAsia="ＭＳ 明朝" w:cs="微软雅黑"/>
                <w:sz w:val="21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5C3429F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微软雅黑" w:eastAsia="ＭＳ 明朝" w:cs="微软雅黑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ascii="Calibri" w:hAnsi="Calibri" w:eastAsia="ＭＳ 明朝" w:cs="Times New Roman"/>
                <w:sz w:val="21"/>
              </w:rPr>
              <w:t>本溪阳光数字化招标采购平台</w:t>
            </w:r>
          </w:p>
        </w:tc>
        <w:tc>
          <w:tcPr>
            <w:tcW w:w="2389" w:type="dxa"/>
            <w:vAlign w:val="center"/>
          </w:tcPr>
          <w:p w14:paraId="2995D31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Calibri" w:hAnsi="微软雅黑" w:eastAsia="ＭＳ 明朝" w:cs="微软雅黑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ascii="Calibri" w:hAnsi="Calibri" w:eastAsia="ＭＳ 明朝" w:cs="Times New Roman"/>
                <w:sz w:val="21"/>
              </w:rPr>
              <w:t>44794.02元</w:t>
            </w:r>
          </w:p>
        </w:tc>
      </w:tr>
      <w:tr w14:paraId="5450E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DC20C8C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微软雅黑" w:eastAsia="ＭＳ 明朝" w:cs="微软雅黑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Calibri" w:hAnsi="微软雅黑" w:eastAsia="ＭＳ 明朝" w:cs="微软雅黑"/>
                <w:sz w:val="21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</w:tcPr>
          <w:p w14:paraId="3E80010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微软雅黑" w:eastAsia="ＭＳ 明朝" w:cs="微软雅黑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ascii="Calibri" w:hAnsi="Calibri" w:eastAsia="ＭＳ 明朝" w:cs="Times New Roman"/>
                <w:sz w:val="21"/>
              </w:rPr>
              <w:t>内蒙古招采专区</w:t>
            </w:r>
          </w:p>
        </w:tc>
        <w:tc>
          <w:tcPr>
            <w:tcW w:w="2389" w:type="dxa"/>
            <w:vAlign w:val="center"/>
          </w:tcPr>
          <w:p w14:paraId="1314DBB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Calibri" w:hAnsi="微软雅黑" w:eastAsia="ＭＳ 明朝" w:cs="微软雅黑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ascii="Calibri" w:hAnsi="Calibri" w:eastAsia="ＭＳ 明朝" w:cs="Times New Roman"/>
                <w:sz w:val="21"/>
              </w:rPr>
              <w:t>32449.52元</w:t>
            </w:r>
          </w:p>
        </w:tc>
      </w:tr>
      <w:tr w14:paraId="30B34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5" w:type="dxa"/>
            <w:vAlign w:val="center"/>
          </w:tcPr>
          <w:p w14:paraId="64608B91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微软雅黑" w:eastAsia="ＭＳ 明朝" w:cs="微软雅黑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Calibri" w:hAnsi="微软雅黑" w:eastAsia="ＭＳ 明朝" w:cs="微软雅黑"/>
                <w:sz w:val="21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5287" w:type="dxa"/>
            <w:vAlign w:val="center"/>
          </w:tcPr>
          <w:p w14:paraId="7971FDA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微软雅黑" w:eastAsia="ＭＳ 明朝" w:cs="微软雅黑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ascii="Calibri" w:hAnsi="Calibri" w:eastAsia="ＭＳ 明朝" w:cs="Times New Roman"/>
                <w:sz w:val="21"/>
              </w:rPr>
              <w:t>庭州嘉泽工程招投标平台</w:t>
            </w:r>
          </w:p>
        </w:tc>
        <w:tc>
          <w:tcPr>
            <w:tcW w:w="2389" w:type="dxa"/>
            <w:vAlign w:val="center"/>
          </w:tcPr>
          <w:p w14:paraId="3B65BB5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Calibri" w:hAnsi="微软雅黑" w:eastAsia="ＭＳ 明朝" w:cs="微软雅黑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ascii="Calibri" w:hAnsi="Calibri" w:eastAsia="ＭＳ 明朝" w:cs="Times New Roman"/>
                <w:sz w:val="21"/>
              </w:rPr>
              <w:t>30285.87元</w:t>
            </w:r>
          </w:p>
        </w:tc>
      </w:tr>
    </w:tbl>
    <w:p w14:paraId="4AF1480C">
      <w:pPr>
        <w:jc w:val="both"/>
        <w:rPr>
          <w:rFonts w:hint="eastAsia" w:eastAsia="宋体"/>
          <w:lang w:val="en-US" w:eastAsia="zh-CN"/>
        </w:rPr>
      </w:pPr>
    </w:p>
    <w:p w14:paraId="1680A7CD">
      <w:pPr>
        <w:jc w:val="both"/>
        <w:rPr>
          <w:rFonts w:hint="default" w:eastAsia="宋体"/>
          <w:lang w:val="en-US" w:eastAsia="zh-CN"/>
        </w:rPr>
      </w:pPr>
    </w:p>
    <w:p w14:paraId="3CD512EA">
      <w:pPr>
        <w:jc w:val="center"/>
      </w:pPr>
    </w:p>
    <w:p w14:paraId="27835913">
      <w:pPr>
        <w:pStyle w:val="3"/>
      </w:pPr>
      <w:r>
        <w:rPr>
          <w:rFonts w:hint="eastAsia" w:eastAsia="宋体"/>
          <w:lang w:val="en-US" w:eastAsia="zh-CN"/>
        </w:rPr>
        <w:t>四</w:t>
      </w:r>
      <w:r>
        <w:t>、关键任务</w:t>
      </w:r>
    </w:p>
    <w:tbl>
      <w:tblPr>
        <w:tblStyle w:val="33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4450"/>
        <w:gridCol w:w="1174"/>
        <w:gridCol w:w="1846"/>
        <w:gridCol w:w="886"/>
      </w:tblGrid>
      <w:tr w14:paraId="0DF56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86" w:type="dxa"/>
            <w:shd w:val="clear" w:color="auto" w:fill="548DD4"/>
            <w:vAlign w:val="center"/>
          </w:tcPr>
          <w:p w14:paraId="3DCDA91B">
            <w:pPr>
              <w:widowControl w:val="0"/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4450" w:type="dxa"/>
            <w:shd w:val="clear" w:color="auto" w:fill="548DD4"/>
            <w:vAlign w:val="center"/>
          </w:tcPr>
          <w:p w14:paraId="691B515E">
            <w:pPr>
              <w:widowControl w:val="0"/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  <w:t>实施工作</w:t>
            </w:r>
          </w:p>
        </w:tc>
        <w:tc>
          <w:tcPr>
            <w:tcW w:w="1174" w:type="dxa"/>
            <w:shd w:val="clear" w:color="auto" w:fill="548DD4"/>
            <w:vAlign w:val="center"/>
          </w:tcPr>
          <w:p w14:paraId="79AFD7BC">
            <w:pPr>
              <w:widowControl w:val="0"/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  <w:t>负责人</w:t>
            </w:r>
          </w:p>
        </w:tc>
        <w:tc>
          <w:tcPr>
            <w:tcW w:w="1846" w:type="dxa"/>
            <w:shd w:val="clear" w:color="auto" w:fill="548DD4"/>
            <w:vAlign w:val="center"/>
          </w:tcPr>
          <w:p w14:paraId="4EEEEF79">
            <w:pPr>
              <w:widowControl w:val="0"/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  <w:t>计划完成节点</w:t>
            </w:r>
          </w:p>
        </w:tc>
        <w:tc>
          <w:tcPr>
            <w:tcW w:w="886" w:type="dxa"/>
            <w:shd w:val="clear" w:color="auto" w:fill="548DD4"/>
            <w:vAlign w:val="center"/>
          </w:tcPr>
          <w:p w14:paraId="6CC23B2C">
            <w:pPr>
              <w:widowControl w:val="0"/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19B25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6" w:type="dxa"/>
            <w:vAlign w:val="center"/>
          </w:tcPr>
          <w:p w14:paraId="6D2E14FF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450" w:type="dxa"/>
            <w:vAlign w:val="center"/>
          </w:tcPr>
          <w:p w14:paraId="29A9479A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对25年有收益但26年未产生收益的大企业侧专区进行情况了解，确认专区情况，看是否存在上量可能（中国民航专区、昌吉城建市政招采平台）</w:t>
            </w:r>
          </w:p>
        </w:tc>
        <w:tc>
          <w:tcPr>
            <w:tcW w:w="1174" w:type="dxa"/>
            <w:vAlign w:val="center"/>
          </w:tcPr>
          <w:p w14:paraId="24BCFC3E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陈海勇/钟明珠</w:t>
            </w:r>
          </w:p>
        </w:tc>
        <w:tc>
          <w:tcPr>
            <w:tcW w:w="1846" w:type="dxa"/>
            <w:vAlign w:val="center"/>
          </w:tcPr>
          <w:p w14:paraId="73E380E5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2026年4月17日</w:t>
            </w:r>
          </w:p>
        </w:tc>
        <w:tc>
          <w:tcPr>
            <w:tcW w:w="886" w:type="dxa"/>
            <w:vAlign w:val="center"/>
          </w:tcPr>
          <w:p w14:paraId="794736DE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</w:p>
        </w:tc>
      </w:tr>
      <w:tr w14:paraId="058E3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86" w:type="dxa"/>
            <w:vAlign w:val="center"/>
          </w:tcPr>
          <w:p w14:paraId="77BEC8AF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4450" w:type="dxa"/>
            <w:vAlign w:val="center"/>
          </w:tcPr>
          <w:p w14:paraId="3B74C8C5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对接入未超一年的零收益专区摸排，看是否存在上量可能，专区开设初期容易上量，需要重点关注。</w:t>
            </w:r>
          </w:p>
        </w:tc>
        <w:tc>
          <w:tcPr>
            <w:tcW w:w="1174" w:type="dxa"/>
            <w:vAlign w:val="center"/>
          </w:tcPr>
          <w:p w14:paraId="184FEC03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陈海勇/钟明珠</w:t>
            </w:r>
          </w:p>
        </w:tc>
        <w:tc>
          <w:tcPr>
            <w:tcW w:w="1846" w:type="dxa"/>
            <w:vAlign w:val="center"/>
          </w:tcPr>
          <w:p w14:paraId="3D05638A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2026年4月30日</w:t>
            </w:r>
          </w:p>
        </w:tc>
        <w:tc>
          <w:tcPr>
            <w:tcW w:w="886" w:type="dxa"/>
            <w:vAlign w:val="center"/>
          </w:tcPr>
          <w:p w14:paraId="45646C96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</w:p>
        </w:tc>
      </w:tr>
      <w:tr w14:paraId="4121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6" w:type="dxa"/>
            <w:vAlign w:val="center"/>
          </w:tcPr>
          <w:p w14:paraId="722C0ABB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4450" w:type="dxa"/>
            <w:vAlign w:val="center"/>
          </w:tcPr>
          <w:p w14:paraId="08B2B8BA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对于接入超一年的低收益的大企业侧专区逐一排查，看是否存在上量可能</w:t>
            </w:r>
          </w:p>
        </w:tc>
        <w:tc>
          <w:tcPr>
            <w:tcW w:w="1174" w:type="dxa"/>
            <w:vAlign w:val="center"/>
          </w:tcPr>
          <w:p w14:paraId="33424C0C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陈海勇/钟明珠</w:t>
            </w:r>
          </w:p>
        </w:tc>
        <w:tc>
          <w:tcPr>
            <w:tcW w:w="1846" w:type="dxa"/>
            <w:vAlign w:val="center"/>
          </w:tcPr>
          <w:p w14:paraId="4D0F803A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2026年5月31日</w:t>
            </w:r>
          </w:p>
        </w:tc>
        <w:tc>
          <w:tcPr>
            <w:tcW w:w="886" w:type="dxa"/>
            <w:vAlign w:val="center"/>
          </w:tcPr>
          <w:p w14:paraId="7CE8BF39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</w:p>
        </w:tc>
      </w:tr>
      <w:tr w14:paraId="073F3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6" w:type="dxa"/>
            <w:vAlign w:val="center"/>
          </w:tcPr>
          <w:p w14:paraId="4457F167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4450" w:type="dxa"/>
            <w:vAlign w:val="center"/>
          </w:tcPr>
          <w:p w14:paraId="3AFD59B9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对于26年产生收益大企业侧专区持续关注，定期关注情况，并针对有潜力专区制定上量计划并实施</w:t>
            </w:r>
          </w:p>
        </w:tc>
        <w:tc>
          <w:tcPr>
            <w:tcW w:w="1174" w:type="dxa"/>
            <w:vAlign w:val="center"/>
          </w:tcPr>
          <w:p w14:paraId="55E9E7CE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陈海勇/钟明珠</w:t>
            </w:r>
          </w:p>
        </w:tc>
        <w:tc>
          <w:tcPr>
            <w:tcW w:w="1846" w:type="dxa"/>
            <w:vAlign w:val="center"/>
          </w:tcPr>
          <w:p w14:paraId="2858F3D3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持续关注</w:t>
            </w:r>
          </w:p>
        </w:tc>
        <w:tc>
          <w:tcPr>
            <w:tcW w:w="886" w:type="dxa"/>
            <w:vAlign w:val="center"/>
          </w:tcPr>
          <w:p w14:paraId="31267D51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</w:p>
        </w:tc>
      </w:tr>
    </w:tbl>
    <w:p w14:paraId="72C807C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1D7BC5"/>
    <w:multiLevelType w:val="multilevel"/>
    <w:tmpl w:val="D21D7BC5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1C2E9A"/>
    <w:rsid w:val="04273BA4"/>
    <w:rsid w:val="0B9A6ABA"/>
    <w:rsid w:val="106B68C8"/>
    <w:rsid w:val="10DC1574"/>
    <w:rsid w:val="10E30C50"/>
    <w:rsid w:val="10F47904"/>
    <w:rsid w:val="12913E5E"/>
    <w:rsid w:val="1A815666"/>
    <w:rsid w:val="25304D52"/>
    <w:rsid w:val="3AA1724F"/>
    <w:rsid w:val="43AA7BAC"/>
    <w:rsid w:val="4E8A5B90"/>
    <w:rsid w:val="52A42F98"/>
    <w:rsid w:val="5E5550B8"/>
    <w:rsid w:val="62DB47B4"/>
    <w:rsid w:val="69C05578"/>
    <w:rsid w:val="6A6869FF"/>
    <w:rsid w:val="6B4E646B"/>
    <w:rsid w:val="6D575A7F"/>
    <w:rsid w:val="708741CD"/>
    <w:rsid w:val="71117075"/>
    <w:rsid w:val="72CF0F43"/>
    <w:rsid w:val="7630676D"/>
    <w:rsid w:val="785506C7"/>
    <w:rsid w:val="7AD26045"/>
    <w:rsid w:val="7BF4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www.wps.cn/officeDocument/2018/webExtension" Target="webExtensions/webExtension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word/webExtensions/_rels/webExtension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png"/><Relationship Id="rId1" Type="http://schemas.openxmlformats.org/officeDocument/2006/relationships/package" Target="../embeddings/Workbook1.xlsx"/></Relationships>
</file>

<file path=word/webExtensions/webExtension1.xml><?xml version="1.0" encoding="utf-8"?>
<wpswe:webExtension xmlns:wpswe="http://www.wps.cn/officeDocument/2018/webExtension" xmlns:webet="https://web.wps.cn/et/2018/main" webet:type="Normal" type="0" webet:id="">
  <wpswe:extSource id="dschart" version="1.0"/>
  <wpswe:properties>
    <wpswe:property key="DiscardFirstCodeChange" value="0"/>
    <wpswe:property key="autoSnapshot" value="0"/>
    <wpswe:property key="dschart" value="{&quot;dschart_data&quot;:{&quot;blockId&quot;:&quot;161249688700346085&quot;,&quot;chart_type&quot;:&quot;柱状图&quot;,&quot;classifty_type&quot;:[&quot;比较类&quot;],&quot;dataSrc&quot;:{&quot;data&quot;:[[[&quot;地区&quot;,&quot;专区数量&quot;],[&quot;0&quot;,&quot;25&quot;],[&quot;0-5万&quot;,&quot;32&quot;],[&quot;5-10万&quot;,&quot;4&quot;]]],&quot;dataType&quot;:&quot;obejct-table&quot;,&quot;download&quot;:false,&quot;srcType&quot;:&quot;local&quot;,&quot;url&quot;:&quot;&quot;},&quot;function_type&quot;:[&quot;柱形图&quot;],&quot;gif&quot;:&quot;//personal.wpscdn.cn/app/ds/frame/v2/images/444734748594536323.gif?imageView2/2/w/500/quality/90&quot;,&quot;index&quot;:0,&quot;isFree&quot;:&quot;0&quot;,&quot;label&quot;:&quot;&lt;e-barbasic-chart&gt;&quot;,&quot;projectId&quot;:&quot;444734748594536323&quot;,&quot;props&quot;:{&quot;animation&quot;:{&quot;duration&quot;:&quot;2&quot;,&quot;easeStyle&quot;:&quot;&quot;,&quot;endPause&quot;:&quot;1&quot;,&quot;moveOptions&quot;:[&quot;纵向整体拉伸&quot;,&quot;纵向分组拉伸&quot;,&quot;纵向分类拉伸&quot;,&quot;横向分组展开&quot;,&quot;横向同步展开&quot;,&quot;横向分类展开&quot;],&quot;moveStyle&quot;:&quot;纵向整体拉伸&quot;,&quot;startDelay&quot;:&quot;0&quot;,&quot;transition&quot;:true},&quot;axis&quot;:{&quot;color&quot;:&quot;#a1a1a1&quot;,&quot;grid&quot;:{&quot;color&quot;:&quot;#ccc&quot;,&quot;gridLineWidth&quot;:&quot;1&quot;,&quot;lineStyle&quot;:&quot;dashline&quot;,&quot;show&quot;:&quot;x&quot;},&quot;x&quot;:{&quot;axisColor&quot;:&quot;#bfbfbf&quot;,&quot;axisLineWidth&quot;:&quot;1&quot;,&quot;axisShow&quot;:true,&quot;labelAngle&quot;:&quot;0&quot;,&quot;labelDirection&quot;:&quot;自动&quot;,&quot;labelDirectionOptions&quot;:[&quot;自动&quot;,&quot;横排&quot;,&quot;竖排&quot;],&quot;labelShow&quot;:true,&quot;name&quot;:&quot;&quot;},&quot;y&quot;:{&quot;axisColor&quot;:&quot;#bfbfbf&quot;,&quot;axisLineWidth&quot;:&quot;1&quot;,&quot;axisShow&quot;:false,&quot;labelShow&quot;:true,&quot;labelSuffix&quot;:&quot;&quot;,&quot;name&quot;:&quot;&quot;,&quot;range&quot;:[],&quot;stepOfLabel&quot;:&quot;&quot;}},&quot;backgroundColor&quot;:&quot;#ffffffff&quot;,&quot;borderColor&quot;:&quot;#ffffff00&quot;,&quot;colors&quot;:{&quot;colorControlers&quot;:[&quot;multiple&quot;],&quot;list&quot;:[&quot;#4350f3ff&quot;],&quot;type&quot;:&quot;multiple&quot;},&quot;display&quot;:{&quot;bar4CornerRadius&quot;:[0,0,0,0],&quot;barWidthPercent&quot;:&quot;0.5&quot;,&quot;barborderColor&quot;:&quot;&quot;,&quot;barborderWidth&quot;:&quot;0&quot;,&quot;fillOpacity&quot;:&quot;1&quot;},&quot;font&quot;:{&quot;color&quot;:&quot;#545454&quot;,&quot;fontFamily&quot;:&quot;微软雅黑&quot;,&quot;fontSize&quot;:&quot;14&quot;},&quot;label&quot;:{&quot;display&quot;:true,&quot;positionChoice&quot;:&quot;上面&quot;,&quot;positionOptions&quot;:[&quot;上面&quot;,&quot;内部居下&quot;],&quot;suffix&quot;:&quot;&quot;,&quot;textLabel&quot;:{&quot;color&quot;:&quot;#545454&quot;,&quot;fontFamily&quot;:&quot;黑体&quot;,&quot;fontSize&quot;:&quot;14&quot;}},&quot;legend&quot;:{&quot;color&quot;:&quot;#333333ff&quot;,&quot;fontFamily&quot;:&quot;微软雅黑&quot;,&quot;fontSize&quot;:&quot;14&quot;,&quot;lineHeight&quot;:&quot;15&quot;,&quot;show&quot;:true,&quot;style&quot;:&quot;&quot;,&quot;styleOptions&quot;:[],&quot;xPosition&quot;:&quot;right&quot;,&quot;yPosition&quot;:&quot;top&quot;},&quot;logoDisplay&quot;:{&quot;bottomLineHeight&quot;:&quot;15&quot;,&quot;imgHeight&quot;:&quot;32&quot;,&quot;imgUrl&quot;:&quot;https://ss1.dydata.io/newchartLogo.png&quot;,&quot;show&quot;:true,&quot;topLineHeight&quot;:&quot;11&quot;},&quot;map&quot;:[[{&quot;allowType&quot;:[&quot;string&quot;],&quot;configurable&quot;:false,&quot;function&quot;:&quot;objCol&quot;,&quot;index&quot;:0,&quot;isLegend&quot;:false,&quot;name&quot;:&quot;X轴对象&quot;},{&quot;allowType&quot;:[&quot;number&quot;],&quot;configurable&quot;:true,&quot;function&quot;:&quot;vCol&quot;,&quot;index&quot;:1,&quot;isLegend&quot;:false,&quot;name&quot;:&quot;数值列&quot;}]],&quot;numberFormat&quot;:{&quot;decimalPlaces&quot;:&quot;&quot;,&quot;style&quot;:&quot;1000.00&quot;},&quot;paddings&quot;:{&quot;bottom&quot;:&quot;33&quot;,&quot;chartBottom&quot;:&quot;5&quot;,&quot;left&quot;:&quot;24&quot;,&quot;right&quot;:&quot;24&quot;,&quot;top&quot;:&quot;24&quot;},&quot;publishDisplay&quot;:{&quot;color&quot;:&quot;#878787&quot;,&quot;fontFamily&quot;:&quot;黑体&quot;,&quot;fontSize&quot;:&quot;14&quot;,&quot;show&quot;:true,&quot;text&quot;:&quot;镝数出品&quot;},&quot;shadow&quot;:{&quot;display&quot;:false,&quot;shadowAngle&quot;:&quot;45&quot;,&quot;shadowBlur&quot;:&quot;5&quot;,&quot;shadowColor&quot;:&quot;#c6c6c6&quot;,&quot;shadowOpacity&quot;:&quot;100&quot;,&quot;shadowRadius&quot;:&quot;3&quot;},&quot;size&quot;:{&quot;height&quot;:249.03846153846155,&quot;ratio&quot;:&quot;&quot;,&quot;rotate&quot;:0,&quot;width&quot;:626.9230769230769},&quot;sourceDisplay&quot;:{&quot;color&quot;:&quot;#878787&quot;,&quot;fontFamily&quot;:&quot;黑体&quot;,&quot;fontSize&quot;:&quot;14&quot;,&quot;show&quot;:false,&quot;text&quot;:&quot;数据来源：示例数据&quot;,&quot;topLineHeight&quot;:&quot;15&quot;,&quot;xPosition&quot;:&quot;left&quot;,&quot;yPosition&quot;:&quot;bottom&quot;},&quot;titleDisplay&quot;:{&quot;color&quot;:&quot;#333333ff&quot;,&quot;fontFamily&quot;:&quot;阿里巴巴普惠体 常规&quot;,&quot;fontSize&quot;:&quot;11&quot;,&quot;lineHeight&quot;:&quot;10&quot;,&quot;show&quot;:true,&quot;text&quot;:&quot;25年前接入专区收益分布（25年收益小于10w)&quot;,&quot;totalHeight&quot;:&quot;39&quot;,&quot;xPosition&quot;:&quot;center&quot;,&quot;yPosition&quot;:&quot;top&quot;},&quot;tooltip&quot;:false,&quot;unitDisplay&quot;:{&quot;bottomLineHeight&quot;:&quot;15&quot;,&quot;color&quot;:&quot;#999999&quot;,&quot;fontFamily&quot;:&quot;阿里巴巴普惠体常规&quot;,&quot;fontSize&quot;:&quot;14&quot;,&quot;show&quot;:false,&quot;text&quot;:&quot;单位：万元&quot;,&quot;xPosition&quot;:&quot;left&quot;,&quot;yPosition&quot;:&quot;top&quot;},&quot;watermarkDisplay&quot;:{&quot;imgHeight&quot;:&quot;80&quot;,&quot;imgUrl&quot;:&quot;https://ss1.dydata.io/newchartWatermark.png&quot;,&quot;imgWidth&quot;:&quot;80&quot;,&quot;show&quot;:false}},&quot;templateId&quot;:&quot;444734748594536323-9&quot;,&quot;templateSwitch&quot;:&quot;cross&quot;,&quot;theme&quot;:{&quot;axis&quot;:{&quot;color&quot;:&quot;#a1a1a1&quot;},&quot;backgroundColor&quot;:&quot;#FFFFFF&quot;,&quot;colors&quot;:[&quot;#5AAEF3&quot;,&quot;#62D9AD&quot;,&quot;#5B6E96&quot;,&quot;#a8dffa&quot;,&quot;#ffdc4c&quot;,&quot;#FF974C&quot;,&quot;#E65A56&quot;,&quot;#6D61E4&quot;,&quot;#4A6FE2&quot;,&quot;#6D9AE7&quot;,&quot;#23C2DB&quot;,&quot;#D4EC59&quot;,&quot;#FFE88E&quot;,&quot;#FEB64D&quot;,&quot;#FB6E6C&quot;],&quot;fonts&quot;:{&quot;accessoryColor&quot;:&quot;#878787&quot;,&quot;color&quot;:&quot;#545454&quot;,&quot;fontFamily&quot;:&quot;黑体&quot;,&quot;fontSize&quot;:&quot;14&quot;},&quot;grid&quot;:{&quot;color&quot;:&quot;#ccc&quot;},&quot;name&quot;:&quot;默认主题&quot;,&quot;price&quot;:&quot;0.0&quot;,&quot;shapeColor&quot;:1,&quot;themeId&quot;:&quot;18&quot;,&quot;titleFont&quot;:{&quot;color&quot;:&quot;#4c4c4c&quot;,&quot;fontFamily&quot;:&quot;黑体&quot;,&quot;fontSize&quot;:&quot;36&quot;}},&quot;thumb&quot;:&quot;//personal.wpscdn.cn/app/ds/frame/v2/images/444734748594536323-9.jpg&quot;,&quot;title&quot;:&quot;基础柱状图&quot;,&quot;type&quot;:&quot;chart&quot;},&quot;dschart_id&quot;:&quot;444734748594536323-9&quot;,&quot;id&quot;:&quot;350&quot;}"/>
    <wpswe:property key="isUseCommonErrorPage" value="false"/>
    <wpswe:property key="loadingImage" value="res:/icons/WebChartLoading_wps.svg"/>
    <wpswe:property key="useSourceFormat" value="true"/>
  </wpswe:properties>
  <wpswe:watchingCache>
    <wpswe:linkPath>C:/Users/63111/AppData/Local/Temp/wps.eOwLUy/Workbook1.xlsx</wpswe:linkPath>
  </wpswe:watchingCache>
  <wpswe:snapshot xmlns:r="http://schemas.openxmlformats.org/officeDocument/2006/relationships" r:embed="rId2"/>
  <wpswe:externalData xmlns:r="http://schemas.openxmlformats.org/officeDocument/2006/relationships" r:id="rId1"/>
  <wpswe:url>https://clientweb.docer.wps.cn/docer-ds/web-shape-1.0.0/?id=350&amp;dschart_id=444734748594536323-9&amp;from=writer&amp;productEntry=insert&amp;sceneEntry=rec-90</wpswe:url>
  <wpswe:constantSnapshot>false</wpswe:constantSnapshot>
</wps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2194</Words>
  <Characters>2458</Characters>
  <Lines>0</Lines>
  <Paragraphs>0</Paragraphs>
  <TotalTime>45</TotalTime>
  <ScaleCrop>false</ScaleCrop>
  <LinksUpToDate>false</LinksUpToDate>
  <CharactersWithSpaces>2482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陈海勇</cp:lastModifiedBy>
  <dcterms:modified xsi:type="dcterms:W3CDTF">2026-04-10T12:12:55Z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eyJoZGlkIjoiOWQ4NzQ2NDA2Mjk4MzBjMjFlZDk1ZWU3MWU0M2U3MTgiLCJ1c2VySWQiOiI0MjIzNjk0MzYifQ==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641B0505977241EAB34C53A4D0BD60FC_12</vt:lpwstr>
  </property>
</Properties>
</file>