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新点e交易专区（中原/华北）收益成本</w:t>
      </w:r>
    </w:p>
    <w:p>
      <w:r>
        <w:t>近期基于新点e交易平台各专区的运营数据，从收益、成本、时间维度进行深度分析。通过部分指标的统计分析，我们发现当前平台存在一定数量的零收益、低收益专区，需要引起重点关注并采取针对性措施。</w:t>
      </w:r>
    </w:p>
    <w:p>
      <w:r>
        <w:t>数据统计范围涵盖中原、华北等区域共114个专区，重点分析确认接入时间、25年总收益、26年总收益、总成本等关键指标。通过建立风险分级体系（红色-重点关注、橙色-需改进、黄色-观察、灰色-流失风险）。</w:t>
      </w:r>
    </w:p>
    <w:p>
      <w:r>
        <w:t>本次统计识别出一批需重点关注的低收益专区，其中纳入红色等级预警的有 61 个、橙色等级预警的有 21 个（两类等级存在部分专区重叠），另有灰色等级 20 个。从数据趋势来看，部分早期接入的专区已出现运营效率低下、客户活跃度下降等问题。</w:t>
      </w:r>
    </w:p>
    <w:p>
      <w:r>
        <w:t>对于长期无收益且无可挽救价值的专区，建议果断下线以节约运营成本；对于有潜力的专区，加大资源投入和运营支持。</w:t>
      </w:r>
    </w:p>
    <w:p>
      <w:pPr>
        <w:pStyle w:val="Heading1"/>
      </w:pPr>
      <w:r>
        <w:t>一、核心数据概览</w:t>
      </w:r>
    </w:p>
    <w:p>
      <w:pPr>
        <w:pStyle w:val="Heading2"/>
      </w:pPr>
      <w:r>
        <w:t>1.1 七大指标统计</w:t>
      </w:r>
    </w:p>
    <w:p>
      <w:r>
        <w:t>从上表可以看出，接入超1年，但长期零收益专区为0的有12个，长期低收益专区（总收益10w以下）共计49个，占比较高，因收益10w以下的专区过多，故进一步分析收益5w以下的专区，数量为39个；接入3个月至1年但无收益的专区有21个，需要重点关注；25年前接入但25年收益在5w以下的专区有33个，反映出早期接入专区的运营效率问题；特别值得关注的是，有20个专区在25年产生收益但26年暂无收益，存在客户流失风险；此外，接入超过半年但仍无收益的专区有19个，需要重点关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指标一</w:t>
            </w:r>
          </w:p>
        </w:tc>
        <w:tc>
          <w:tcPr>
            <w:tcW w:type="dxa" w:w="1728"/>
          </w:tcPr>
          <w:p>
            <w:r>
              <w:t>接入超过1年，总收益为0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  <w:tc>
          <w:tcPr>
            <w:tcW w:type="dxa" w:w="1728"/>
          </w:tcPr>
          <w:p>
            <w:r>
              <w:t>重点关注</w:t>
            </w:r>
          </w:p>
        </w:tc>
      </w:tr>
      <w:tr>
        <w:tc>
          <w:tcPr>
            <w:tcW w:type="dxa" w:w="1728"/>
          </w:tcPr>
          <w:p>
            <w:r>
              <w:t>指标二</w:t>
            </w:r>
          </w:p>
        </w:tc>
        <w:tc>
          <w:tcPr>
            <w:tcW w:type="dxa" w:w="1728"/>
          </w:tcPr>
          <w:p>
            <w:r>
              <w:t>接入超过1年，0&lt;总收益&lt;10w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  <w:tc>
          <w:tcPr>
            <w:tcW w:type="dxa" w:w="1728"/>
          </w:tcPr>
          <w:p>
            <w:r>
              <w:t>重点关注</w:t>
            </w:r>
          </w:p>
        </w:tc>
      </w:tr>
      <w:tr>
        <w:tc>
          <w:tcPr>
            <w:tcW w:type="dxa" w:w="1728"/>
          </w:tcPr>
          <w:p>
            <w:r>
              <w:t>指标三</w:t>
            </w:r>
          </w:p>
        </w:tc>
        <w:tc>
          <w:tcPr>
            <w:tcW w:type="dxa" w:w="1728"/>
          </w:tcPr>
          <w:p>
            <w:r>
              <w:t>接入超过1年，0&lt;总收益&lt;5w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  <w:tc>
          <w:tcPr>
            <w:tcW w:type="dxa" w:w="1728"/>
          </w:tcPr>
          <w:p>
            <w:r>
              <w:t>重点关注</w:t>
            </w:r>
          </w:p>
        </w:tc>
      </w:tr>
      <w:tr>
        <w:tc>
          <w:tcPr>
            <w:tcW w:type="dxa" w:w="1728"/>
          </w:tcPr>
          <w:p>
            <w:r>
              <w:t>指标四</w:t>
            </w:r>
          </w:p>
        </w:tc>
        <w:tc>
          <w:tcPr>
            <w:tcW w:type="dxa" w:w="1728"/>
          </w:tcPr>
          <w:p>
            <w:r>
              <w:t>接入超过3个月，小于1年，总收益为0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  <w:tc>
          <w:tcPr>
            <w:tcW w:type="dxa" w:w="1728"/>
          </w:tcPr>
          <w:p>
            <w:r>
              <w:t>重点关注</w:t>
            </w:r>
          </w:p>
        </w:tc>
      </w:tr>
      <w:tr>
        <w:tc>
          <w:tcPr>
            <w:tcW w:type="dxa" w:w="1728"/>
          </w:tcPr>
          <w:p>
            <w:r>
              <w:t>指标五</w:t>
            </w:r>
          </w:p>
        </w:tc>
        <w:tc>
          <w:tcPr>
            <w:tcW w:type="dxa" w:w="1728"/>
          </w:tcPr>
          <w:p>
            <w:r>
              <w:t>25年前接入，0&lt;25年收益&lt;5w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橙色</w:t>
            </w:r>
          </w:p>
        </w:tc>
        <w:tc>
          <w:tcPr>
            <w:tcW w:type="dxa" w:w="1728"/>
          </w:tcPr>
          <w:p>
            <w:r>
              <w:t>需改进</w:t>
            </w:r>
          </w:p>
        </w:tc>
      </w:tr>
      <w:tr>
        <w:tc>
          <w:tcPr>
            <w:tcW w:type="dxa" w:w="1728"/>
          </w:tcPr>
          <w:p>
            <w:r>
              <w:t>指标六</w:t>
            </w:r>
          </w:p>
        </w:tc>
        <w:tc>
          <w:tcPr>
            <w:tcW w:type="dxa" w:w="1728"/>
          </w:tcPr>
          <w:p>
            <w:r>
              <w:t>26年产生收益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黄色</w:t>
            </w:r>
          </w:p>
        </w:tc>
        <w:tc>
          <w:tcPr>
            <w:tcW w:type="dxa" w:w="1728"/>
          </w:tcPr>
          <w:p>
            <w:r>
              <w:t>观察</w:t>
            </w:r>
          </w:p>
        </w:tc>
      </w:tr>
      <w:tr>
        <w:tc>
          <w:tcPr>
            <w:tcW w:type="dxa" w:w="1728"/>
          </w:tcPr>
          <w:p>
            <w:r>
              <w:t>指标七</w:t>
            </w:r>
          </w:p>
        </w:tc>
        <w:tc>
          <w:tcPr>
            <w:tcW w:type="dxa" w:w="1728"/>
          </w:tcPr>
          <w:p>
            <w:r>
              <w:t>25年有收益，26年无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灰色</w:t>
            </w:r>
          </w:p>
        </w:tc>
        <w:tc>
          <w:tcPr>
            <w:tcW w:type="dxa" w:w="1728"/>
          </w:tcPr>
          <w:p>
            <w:r>
              <w:t>流失风险</w:t>
            </w:r>
          </w:p>
        </w:tc>
      </w:tr>
      <w:tr>
        <w:tc>
          <w:tcPr>
            <w:tcW w:type="dxa" w:w="1728"/>
          </w:tcPr>
          <w:p>
            <w:r>
              <w:t>指标八</w:t>
            </w:r>
          </w:p>
        </w:tc>
        <w:tc>
          <w:tcPr>
            <w:tcW w:type="dxa" w:w="1728"/>
          </w:tcPr>
          <w:p>
            <w:r>
              <w:t>接入超半年，总收益为0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深红</w:t>
            </w:r>
          </w:p>
        </w:tc>
        <w:tc>
          <w:tcPr>
            <w:tcW w:type="dxa" w:w="1728"/>
          </w:tcPr>
          <w:p>
            <w:r>
              <w:t>紧急关注</w:t>
            </w:r>
          </w:p>
        </w:tc>
      </w:tr>
    </w:tbl>
    <w:p>
      <w:pPr>
        <w:pStyle w:val="Heading2"/>
      </w:pPr>
      <w:r>
        <w:t>1.2 风险等级分布</w:t>
      </w:r>
    </w:p>
    <w:p>
      <w:r>
        <w:t>根据收益水平、接入时长、趋势变化等维度，我们将专区划分为四个风险等级：</w:t>
      </w:r>
    </w:p>
    <w:p>
      <w:pPr>
        <w:pStyle w:val="Heading3"/>
      </w:pPr>
      <w:r>
        <w:t>【红色-重点关注】</w:t>
      </w:r>
    </w:p>
    <w:p>
      <w:r>
        <w:t>处理对象：接入超过一年，但长期零收益或者低收益专区</w:t>
      </w:r>
    </w:p>
    <w:p>
      <w:r>
        <w:t>处理措施：</w:t>
      </w:r>
    </w:p>
    <w:p>
      <w:pPr>
        <w:pStyle w:val="ListBullet"/>
      </w:pPr>
      <w:r>
        <w:t>逐一排查专区运营状态，确认是否仍在正常服务客户</w:t>
      </w:r>
    </w:p>
    <w:p>
      <w:pPr>
        <w:pStyle w:val="ListBullet"/>
      </w:pPr>
      <w:r>
        <w:t>对于长期无交易的专区，评估是否继续投入运营成本</w:t>
      </w:r>
    </w:p>
    <w:p>
      <w:pPr>
        <w:pStyle w:val="ListBullet"/>
      </w:pPr>
      <w:r>
        <w:t>制定专区下线计划，释放运维资源</w:t>
      </w:r>
    </w:p>
    <w:p>
      <w:pPr>
        <w:pStyle w:val="ListBullet"/>
      </w:pPr>
      <w:r>
        <w:t>对于仍有潜力的专区，制定专项提升计划，明确责任人和时间节点</w:t>
      </w:r>
    </w:p>
    <w:p>
      <w:pPr>
        <w:pStyle w:val="Heading3"/>
      </w:pPr>
      <w:r>
        <w:t>【橙色-需改进】</w:t>
      </w:r>
    </w:p>
    <w:p>
      <w:r>
        <w:t>处理对象：25年前接入，25年存在收益但小于10w</w:t>
      </w:r>
    </w:p>
    <w:p>
      <w:r>
        <w:t>处理措施：</w:t>
      </w:r>
    </w:p>
    <w:p>
      <w:pPr>
        <w:pStyle w:val="ListBullet"/>
      </w:pPr>
      <w:r>
        <w:t>分析专区情况，找出收益低的原因，是否客户业务量上限，是否存在上量可能</w:t>
      </w:r>
    </w:p>
    <w:p>
      <w:pPr>
        <w:pStyle w:val="Heading3"/>
      </w:pPr>
      <w:r>
        <w:t>【黄色-观察】</w:t>
      </w:r>
    </w:p>
    <w:p>
      <w:r>
        <w:t>26年产生收益的专区，运营状态良好，继续保持观察。</w:t>
      </w:r>
    </w:p>
    <w:p>
      <w:pPr>
        <w:pStyle w:val="Heading3"/>
      </w:pPr>
      <w:r>
        <w:t>【灰色-流失风险】</w:t>
      </w:r>
    </w:p>
    <w:p>
      <w:r>
        <w:t>处理对象：25年有收益但26年无收益专区</w:t>
      </w:r>
    </w:p>
    <w:p>
      <w:r>
        <w:t>处理措施：</w:t>
      </w:r>
    </w:p>
    <w:p>
      <w:pPr>
        <w:pStyle w:val="ListBullet"/>
      </w:pPr>
      <w:r>
        <w:t>优先安排人员对该部分专区进行情况了解</w:t>
      </w:r>
    </w:p>
    <w:p>
      <w:pPr>
        <w:pStyle w:val="ListBullet"/>
      </w:pPr>
      <w:r>
        <w:t>了解客户流失原因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5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risk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二、收益分析</w:t>
      </w:r>
    </w:p>
    <w:p>
      <w:pPr>
        <w:pStyle w:val="Heading2"/>
      </w:pPr>
      <w:r>
        <w:t>2.1 25年收益分布</w:t>
      </w:r>
    </w:p>
    <w:p>
      <w:r>
        <w:t>针对25年前接入的低收益专区，我们进一步分析其25年总收益分布情况。从数据来看，收益分布呈现明显的两极分化特征：大部分专区集中在0-3万元区间，而收益在7-10万元区间的专区数量相对较少。这一分布特征表明，当前低收益专区普遍存在运营效率不高的问题，需要系统性分析原因并制定提升策略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2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revenu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流失风险专区TOP10</w:t>
      </w:r>
    </w:p>
    <w:p>
      <w:r>
        <w:t>以下10个专区在2025年产生较高收益，但2026年至今暂无收益记录，存在较高的客户流失或业务停滞风险，建议优先安排客户经理进行回访和原因排查。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op10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三、后续处理建议</w:t>
      </w:r>
    </w:p>
    <w:p>
      <w:r>
        <w:t>基于以上数据分析，针对不同类型的低收益专区，我们提出以下分类处理建议：</w:t>
      </w:r>
    </w:p>
    <w:p>
      <w:pPr>
        <w:pStyle w:val="Heading2"/>
      </w:pPr>
      <w:r>
        <w:t>3.1 红色等级专区（立即处理）</w:t>
      </w:r>
    </w:p>
    <w:p>
      <w:r>
        <w:t>处理对象：接入超过一年，但长期零收益或者低收益专区</w:t>
      </w:r>
    </w:p>
    <w:p>
      <w:r>
        <w:t>处理措施：</w:t>
      </w:r>
    </w:p>
    <w:p>
      <w:pPr>
        <w:pStyle w:val="ListBullet"/>
      </w:pPr>
      <w:r>
        <w:t>逐一排查专区运营状态，确认是否仍在正常服务客户</w:t>
      </w:r>
    </w:p>
    <w:p>
      <w:pPr>
        <w:pStyle w:val="ListBullet"/>
      </w:pPr>
      <w:r>
        <w:t>对于长期无交易的专区，评估是否继续投入运营成本</w:t>
      </w:r>
    </w:p>
    <w:p>
      <w:pPr>
        <w:pStyle w:val="ListBullet"/>
      </w:pPr>
      <w:r>
        <w:t>制定专区下线计划，释放运维资源</w:t>
      </w:r>
    </w:p>
    <w:p>
      <w:pPr>
        <w:pStyle w:val="ListBullet"/>
      </w:pPr>
      <w:r>
        <w:t>对于仍有潜力的专区，制定专项提升计划，明确责任人和时间节点</w:t>
      </w:r>
    </w:p>
    <w:p>
      <w:pPr>
        <w:pStyle w:val="Heading2"/>
      </w:pPr>
      <w:r>
        <w:t>3.2 灰色等级专区（紧急跟进）</w:t>
      </w:r>
    </w:p>
    <w:p>
      <w:r>
        <w:t>处理对象：25年有收益但26年无收益专区</w:t>
      </w:r>
    </w:p>
    <w:p>
      <w:r>
        <w:t>处理措施：</w:t>
      </w:r>
    </w:p>
    <w:p>
      <w:pPr>
        <w:pStyle w:val="ListBullet"/>
      </w:pPr>
      <w:r>
        <w:t>优先安排人员对该部分专区进行情况了解</w:t>
      </w:r>
    </w:p>
    <w:p>
      <w:pPr>
        <w:pStyle w:val="ListBullet"/>
      </w:pPr>
      <w:r>
        <w:t>了解客户流失原因</w:t>
      </w:r>
    </w:p>
    <w:p>
      <w:pPr>
        <w:pStyle w:val="Heading2"/>
      </w:pPr>
      <w:r>
        <w:t>3.3 橙色等级专区（持续优化）</w:t>
      </w:r>
    </w:p>
    <w:p>
      <w:r>
        <w:t>处理对象：25年前接入，25年存在收益但小于10w</w:t>
      </w:r>
    </w:p>
    <w:p>
      <w:r>
        <w:t>处理措施：</w:t>
      </w:r>
    </w:p>
    <w:p>
      <w:pPr>
        <w:pStyle w:val="ListBullet"/>
      </w:pPr>
      <w:r>
        <w:t>分析专区情况，找出收益低的原因，是否客户业务量上限，是否存在上量可能</w:t>
      </w:r>
    </w:p>
    <w:p>
      <w:pPr>
        <w:pStyle w:val="Heading1"/>
      </w:pPr>
      <w:r>
        <w:t>四、关键任务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实施工作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计划完成节点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对25年有收益但26年未产生收益的大企业侧专区进行摸排</w:t>
            </w:r>
          </w:p>
        </w:tc>
        <w:tc>
          <w:tcPr>
            <w:tcW w:type="dxa" w:w="1728"/>
          </w:tcPr>
          <w:p>
            <w:r>
              <w:t>陈海勇/钟明珠</w:t>
            </w:r>
          </w:p>
        </w:tc>
        <w:tc>
          <w:tcPr>
            <w:tcW w:type="dxa" w:w="1728"/>
          </w:tcPr>
          <w:p>
            <w:r>
              <w:t>2026年4月17日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对于接入超一年的低收益的大企业侧专区逐一排查，看是否存在上量可能</w:t>
            </w:r>
          </w:p>
        </w:tc>
        <w:tc>
          <w:tcPr>
            <w:tcW w:type="dxa" w:w="1728"/>
          </w:tcPr>
          <w:p>
            <w:r>
              <w:t>陈海勇/钟明珠</w:t>
            </w:r>
          </w:p>
        </w:tc>
        <w:tc>
          <w:tcPr>
            <w:tcW w:type="dxa" w:w="1728"/>
          </w:tcPr>
          <w:p>
            <w:r>
              <w:t>2026年4月30日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对接入超一年的零收益专区摸排，看是否存在上量可能，确认是否需要执行下线操作</w:t>
            </w:r>
          </w:p>
        </w:tc>
        <w:tc>
          <w:tcPr>
            <w:tcW w:type="dxa" w:w="1728"/>
          </w:tcPr>
          <w:p>
            <w:r>
              <w:t>陈海勇/钟明珠</w:t>
            </w:r>
          </w:p>
        </w:tc>
        <w:tc>
          <w:tcPr>
            <w:tcW w:type="dxa" w:w="1728"/>
          </w:tcPr>
          <w:p>
            <w:r>
              <w:t>2026年5月31日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对于26年产生收益专区持续关注</w:t>
            </w:r>
          </w:p>
        </w:tc>
        <w:tc>
          <w:tcPr>
            <w:tcW w:type="dxa" w:w="1728"/>
          </w:tcPr>
          <w:p>
            <w:r>
              <w:t>陈海勇/钟明珠</w:t>
            </w:r>
          </w:p>
        </w:tc>
        <w:tc>
          <w:tcPr>
            <w:tcW w:type="dxa" w:w="1728"/>
          </w:tcPr>
          <w:p>
            <w:r>
              <w:t>2026年5月31日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【附录】</w:t>
      </w:r>
    </w:p>
    <w:p>
      <w:r>
        <w:t>详细数据请参见附件《中原华北区专区数据_成本更新.xlsx》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